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highlight w:val="yellow"/>
          <w:u w:val="single"/>
        </w:rPr>
      </w:pPr>
      <w:r>
        <w:rPr>
          <w:rFonts w:hint="eastAsia"/>
        </w:rPr>
        <w:t xml:space="preserve"> </w:t>
      </w:r>
      <w:r>
        <w:t xml:space="preserve">   </w:t>
      </w:r>
      <w:r>
        <w:rPr>
          <w:rFonts w:hint="eastAsia"/>
          <w:highlight w:val="yellow"/>
        </w:rPr>
        <w:t>1.1.项目名</w:t>
      </w:r>
      <w:r>
        <w:rPr>
          <w:rFonts w:hint="eastAsia"/>
          <w:highlight w:val="yellow"/>
          <w:u w:val="single"/>
        </w:rPr>
        <w:t>称：2024年窗帘、床帘类年度招标采购项目</w:t>
      </w:r>
    </w:p>
    <w:p>
      <w:pPr>
        <w:pStyle w:val="2"/>
        <w:ind w:firstLine="480" w:firstLineChars="200"/>
        <w:rPr>
          <w:highlight w:val="yellow"/>
        </w:rPr>
      </w:pPr>
      <w:r>
        <w:rPr>
          <w:rFonts w:hint="eastAsia"/>
          <w:highlight w:val="yellow"/>
        </w:rPr>
        <w:t>1.2.项目编号：</w:t>
      </w:r>
      <w:r>
        <w:rPr>
          <w:highlight w:val="yellow"/>
          <w:u w:val="single"/>
        </w:rPr>
        <w:t xml:space="preserve"> </w:t>
      </w:r>
      <w:r>
        <w:rPr>
          <w:rFonts w:hint="eastAsia"/>
          <w:highlight w:val="yellow"/>
          <w:u w:val="single"/>
          <w:lang w:eastAsia="zh-CN"/>
        </w:rPr>
        <w:t>桂东招</w:t>
      </w:r>
      <w:r>
        <w:rPr>
          <w:rFonts w:hint="eastAsia"/>
          <w:highlight w:val="yellow"/>
          <w:u w:val="single"/>
          <w:lang w:val="en-US" w:eastAsia="zh-CN"/>
        </w:rPr>
        <w:t>2024009</w:t>
      </w:r>
      <w:r>
        <w:rPr>
          <w:highlight w:val="yellow"/>
          <w:u w:val="single"/>
        </w:rPr>
        <w:t xml:space="preserve">   </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20823308"/>
      <w:bookmarkEnd w:id="38"/>
      <w:bookmarkStart w:id="39" w:name="_Toc16938552"/>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cs="宋体"/>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三、开标一览表</w:t>
      </w:r>
    </w:p>
    <w:p>
      <w:pPr>
        <w:widowControl/>
        <w:spacing w:line="360" w:lineRule="auto"/>
        <w:ind w:firstLine="480" w:firstLineChars="200"/>
        <w:jc w:val="left"/>
        <w:rPr>
          <w:kern w:val="0"/>
          <w:sz w:val="24"/>
          <w:szCs w:val="24"/>
        </w:rPr>
      </w:pPr>
      <w:r>
        <w:rPr>
          <w:rFonts w:hint="eastAsia" w:cs="宋体"/>
          <w:kern w:val="0"/>
          <w:sz w:val="24"/>
          <w:szCs w:val="24"/>
        </w:rPr>
        <w:t>四、投标配置与分项明细报价表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五、技术参数响应及偏离表</w:t>
      </w:r>
    </w:p>
    <w:p>
      <w:pPr>
        <w:widowControl/>
        <w:spacing w:line="360" w:lineRule="auto"/>
        <w:ind w:firstLine="480" w:firstLineChars="200"/>
        <w:jc w:val="left"/>
        <w:rPr>
          <w:rFonts w:cs="宋体"/>
          <w:kern w:val="0"/>
          <w:sz w:val="24"/>
          <w:szCs w:val="24"/>
        </w:rPr>
      </w:pPr>
      <w:r>
        <w:rPr>
          <w:rFonts w:hint="eastAsia" w:cs="宋体"/>
          <w:kern w:val="0"/>
          <w:sz w:val="24"/>
          <w:szCs w:val="24"/>
        </w:rPr>
        <w:t>六、资信证明文件技术支持性文件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七、服务承诺</w:t>
      </w:r>
    </w:p>
    <w:p>
      <w:pPr>
        <w:widowControl/>
        <w:spacing w:line="360" w:lineRule="auto"/>
        <w:ind w:firstLine="480" w:firstLineChars="200"/>
        <w:jc w:val="left"/>
        <w:rPr>
          <w:rFonts w:cs="宋体"/>
          <w:kern w:val="0"/>
          <w:sz w:val="24"/>
          <w:szCs w:val="24"/>
        </w:rPr>
      </w:pPr>
      <w:r>
        <w:rPr>
          <w:rFonts w:hint="eastAsia" w:cs="宋体"/>
          <w:kern w:val="0"/>
          <w:sz w:val="24"/>
          <w:szCs w:val="24"/>
        </w:rPr>
        <w:t>八、资信证明文件技术支持性文件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spacing w:line="360" w:lineRule="auto"/>
        <w:jc w:val="left"/>
        <w:rPr>
          <w:rFonts w:cs="宋体"/>
          <w:b/>
          <w:bCs/>
          <w:kern w:val="0"/>
          <w:sz w:val="38"/>
          <w:szCs w:val="38"/>
        </w:rPr>
      </w:pPr>
      <w:r>
        <w:rPr>
          <w:b/>
          <w:bCs/>
          <w:kern w:val="0"/>
          <w:sz w:val="27"/>
          <w:szCs w:val="27"/>
        </w:rPr>
        <w:br w:type="page"/>
      </w:r>
      <w:r>
        <w:rPr>
          <w:rFonts w:hint="eastAsia" w:cs="宋体"/>
          <w:b/>
          <w:bCs/>
          <w:kern w:val="0"/>
          <w:sz w:val="38"/>
          <w:szCs w:val="38"/>
        </w:rPr>
        <w:t>三、开标一览表</w:t>
      </w:r>
    </w:p>
    <w:tbl>
      <w:tblPr>
        <w:tblStyle w:val="7"/>
        <w:tblW w:w="8336" w:type="dxa"/>
        <w:tblInd w:w="0" w:type="dxa"/>
        <w:tblLayout w:type="fixed"/>
        <w:tblCellMar>
          <w:top w:w="15" w:type="dxa"/>
          <w:left w:w="15" w:type="dxa"/>
          <w:bottom w:w="15" w:type="dxa"/>
          <w:right w:w="15" w:type="dxa"/>
        </w:tblCellMar>
      </w:tblPr>
      <w:tblGrid>
        <w:gridCol w:w="3126"/>
        <w:gridCol w:w="1756"/>
        <w:gridCol w:w="1439"/>
        <w:gridCol w:w="2015"/>
      </w:tblGrid>
      <w:tr>
        <w:tblPrEx>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项目名称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8"/>
                <w:szCs w:val="28"/>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项目编号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8"/>
                <w:szCs w:val="28"/>
              </w:rPr>
            </w:pPr>
          </w:p>
        </w:tc>
      </w:tr>
      <w:tr>
        <w:tblPrEx>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投标人全称</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8"/>
                <w:szCs w:val="28"/>
              </w:rPr>
            </w:pPr>
          </w:p>
        </w:tc>
      </w:tr>
      <w:tr>
        <w:tblPrEx>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标段号</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8"/>
                <w:szCs w:val="28"/>
              </w:rPr>
            </w:pPr>
          </w:p>
        </w:tc>
      </w:tr>
      <w:tr>
        <w:tblPrEx>
          <w:tblCellMar>
            <w:top w:w="15" w:type="dxa"/>
            <w:left w:w="15" w:type="dxa"/>
            <w:bottom w:w="15" w:type="dxa"/>
            <w:right w:w="15" w:type="dxa"/>
          </w:tblCellMar>
        </w:tblPrEx>
        <w:trPr>
          <w:trHeight w:val="750"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投标报价</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（人民币元，含个税）</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大写：</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小写：</w:t>
            </w:r>
          </w:p>
        </w:tc>
      </w:tr>
      <w:tr>
        <w:tblPrEx>
          <w:tblCellMar>
            <w:top w:w="15" w:type="dxa"/>
            <w:left w:w="15" w:type="dxa"/>
            <w:bottom w:w="15" w:type="dxa"/>
            <w:right w:w="15" w:type="dxa"/>
          </w:tblCellMar>
        </w:tblPrEx>
        <w:trPr>
          <w:trHeight w:val="750"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增值税发票类型及税率</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增值税发票类型：增值税普通发票</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税率：   %</w:t>
            </w:r>
          </w:p>
        </w:tc>
      </w:tr>
      <w:tr>
        <w:tblPrEx>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供货时间</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8"/>
                <w:szCs w:val="28"/>
              </w:rPr>
            </w:pPr>
          </w:p>
        </w:tc>
      </w:tr>
      <w:tr>
        <w:tblPrEx>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质保期</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8"/>
                <w:szCs w:val="28"/>
              </w:rPr>
            </w:pPr>
          </w:p>
        </w:tc>
      </w:tr>
      <w:tr>
        <w:tblPrEx>
          <w:tblCellMar>
            <w:top w:w="15" w:type="dxa"/>
            <w:left w:w="15" w:type="dxa"/>
            <w:bottom w:w="15" w:type="dxa"/>
            <w:right w:w="15" w:type="dxa"/>
          </w:tblCellMar>
        </w:tblPrEx>
        <w:trPr>
          <w:trHeight w:val="375" w:hRule="atLeast"/>
        </w:trPr>
        <w:tc>
          <w:tcPr>
            <w:tcW w:w="3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8"/>
                <w:szCs w:val="28"/>
              </w:rPr>
            </w:pPr>
            <w:r>
              <w:rPr>
                <w:rFonts w:hint="eastAsia" w:ascii="宋体" w:hAnsi="宋体" w:cs="宋体"/>
                <w:color w:val="000000"/>
                <w:kern w:val="0"/>
                <w:sz w:val="28"/>
                <w:szCs w:val="28"/>
              </w:rPr>
              <w:t>对招标文件是否响应</w:t>
            </w:r>
          </w:p>
        </w:tc>
        <w:tc>
          <w:tcPr>
            <w:tcW w:w="52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8"/>
                <w:szCs w:val="28"/>
              </w:rPr>
            </w:pPr>
          </w:p>
        </w:tc>
      </w:tr>
    </w:tbl>
    <w:p>
      <w:pPr>
        <w:pStyle w:val="2"/>
        <w:rPr>
          <w:rFonts w:cs="宋体"/>
          <w:b/>
          <w:bCs/>
          <w:sz w:val="38"/>
          <w:szCs w:val="38"/>
        </w:rPr>
      </w:pPr>
    </w:p>
    <w:p>
      <w:pPr>
        <w:pStyle w:val="2"/>
        <w:rPr>
          <w:rFonts w:ascii="宋体" w:hAnsi="宋体" w:cs="宋体"/>
          <w:sz w:val="28"/>
          <w:szCs w:val="28"/>
        </w:rPr>
      </w:pPr>
      <w:r>
        <w:rPr>
          <w:rFonts w:hint="eastAsia" w:ascii="宋体" w:hAnsi="宋体" w:cs="宋体"/>
          <w:sz w:val="28"/>
          <w:szCs w:val="28"/>
        </w:rPr>
        <w:t>注:为方便开标唱标，应将《开标一览表》单独密封提交，并在信封上标明“《开标一览表》”字样。当含税价和不含税的计算结果不一致时，以不含税价=含税价/(1+税率)为准调整不含税价，小数点保留2位(四舍五入)。</w:t>
      </w:r>
    </w:p>
    <w:p>
      <w:pPr>
        <w:pStyle w:val="2"/>
        <w:rPr>
          <w:rFonts w:cs="宋体"/>
          <w:b/>
          <w:bCs/>
          <w:sz w:val="38"/>
          <w:szCs w:val="38"/>
        </w:rPr>
      </w:pPr>
    </w:p>
    <w:p>
      <w:pPr>
        <w:pStyle w:val="2"/>
        <w:rPr>
          <w:rFonts w:cs="宋体"/>
          <w:b/>
          <w:bCs/>
          <w:sz w:val="38"/>
          <w:szCs w:val="38"/>
        </w:rPr>
      </w:pPr>
    </w:p>
    <w:p>
      <w:pPr>
        <w:pStyle w:val="2"/>
        <w:rPr>
          <w:b/>
          <w:bCs/>
          <w:sz w:val="28"/>
          <w:szCs w:val="28"/>
        </w:rPr>
      </w:pPr>
    </w:p>
    <w:p>
      <w:pPr>
        <w:pStyle w:val="2"/>
        <w:rPr>
          <w:b/>
          <w:bCs/>
          <w:sz w:val="28"/>
          <w:szCs w:val="28"/>
        </w:rPr>
      </w:pPr>
    </w:p>
    <w:p>
      <w:pPr>
        <w:pStyle w:val="2"/>
      </w:pPr>
    </w:p>
    <w:p>
      <w:pPr>
        <w:widowControl/>
        <w:spacing w:line="360" w:lineRule="auto"/>
        <w:jc w:val="left"/>
        <w:rPr>
          <w:rFonts w:cs="宋体"/>
          <w:b/>
          <w:bCs/>
          <w:kern w:val="0"/>
          <w:sz w:val="38"/>
          <w:szCs w:val="38"/>
        </w:rPr>
      </w:pPr>
    </w:p>
    <w:p>
      <w:pPr>
        <w:widowControl/>
        <w:spacing w:line="360" w:lineRule="auto"/>
        <w:jc w:val="left"/>
        <w:rPr>
          <w:kern w:val="0"/>
          <w:sz w:val="28"/>
          <w:szCs w:val="28"/>
        </w:rPr>
      </w:pPr>
      <w:r>
        <w:rPr>
          <w:rFonts w:hint="eastAsia" w:cs="宋体"/>
          <w:b/>
          <w:bCs/>
          <w:kern w:val="0"/>
          <w:sz w:val="38"/>
          <w:szCs w:val="38"/>
        </w:rPr>
        <w:t>四、投标配置及分项明细报价表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p>
      <w:pPr>
        <w:pStyle w:val="2"/>
        <w:rPr>
          <w:rFonts w:cs="宋体"/>
          <w:b/>
          <w:bCs/>
        </w:rPr>
      </w:pPr>
    </w:p>
    <w:p>
      <w:pPr>
        <w:pStyle w:val="2"/>
        <w:rPr>
          <w:rFonts w:cs="宋体"/>
          <w:b/>
          <w:bCs/>
        </w:rPr>
      </w:pPr>
      <w:r>
        <w:rPr>
          <w:rFonts w:hint="eastAsia" w:cs="宋体"/>
          <w:b/>
          <w:bCs/>
        </w:rPr>
        <w:t>物资：</w:t>
      </w:r>
    </w:p>
    <w:tbl>
      <w:tblPr>
        <w:tblStyle w:val="8"/>
        <w:tblpPr w:leftFromText="180" w:rightFromText="180" w:vertAnchor="text" w:horzAnchor="page" w:tblpX="1182" w:tblpY="210"/>
        <w:tblOverlap w:val="never"/>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75"/>
        <w:gridCol w:w="765"/>
        <w:gridCol w:w="1605"/>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jc w:val="left"/>
              <w:rPr>
                <w:sz w:val="24"/>
                <w:szCs w:val="24"/>
              </w:rPr>
            </w:pPr>
            <w:r>
              <w:rPr>
                <w:rFonts w:hint="eastAsia"/>
                <w:sz w:val="24"/>
                <w:szCs w:val="24"/>
              </w:rPr>
              <w:t>序号</w:t>
            </w:r>
          </w:p>
        </w:tc>
        <w:tc>
          <w:tcPr>
            <w:tcW w:w="1575" w:type="dxa"/>
          </w:tcPr>
          <w:p>
            <w:pPr>
              <w:jc w:val="left"/>
              <w:rPr>
                <w:sz w:val="24"/>
                <w:szCs w:val="24"/>
              </w:rPr>
            </w:pPr>
            <w:r>
              <w:rPr>
                <w:rFonts w:hint="eastAsia"/>
                <w:sz w:val="24"/>
                <w:szCs w:val="24"/>
              </w:rPr>
              <w:t>项目</w:t>
            </w:r>
          </w:p>
        </w:tc>
        <w:tc>
          <w:tcPr>
            <w:tcW w:w="765" w:type="dxa"/>
          </w:tcPr>
          <w:p>
            <w:pPr>
              <w:jc w:val="left"/>
              <w:rPr>
                <w:sz w:val="24"/>
                <w:szCs w:val="24"/>
              </w:rPr>
            </w:pPr>
            <w:r>
              <w:rPr>
                <w:rFonts w:hint="eastAsia"/>
                <w:sz w:val="24"/>
                <w:szCs w:val="24"/>
              </w:rPr>
              <w:t>单位</w:t>
            </w:r>
          </w:p>
        </w:tc>
        <w:tc>
          <w:tcPr>
            <w:tcW w:w="1605" w:type="dxa"/>
          </w:tcPr>
          <w:p>
            <w:pPr>
              <w:jc w:val="left"/>
              <w:rPr>
                <w:sz w:val="24"/>
                <w:szCs w:val="24"/>
              </w:rPr>
            </w:pPr>
            <w:r>
              <w:rPr>
                <w:rFonts w:hint="eastAsia"/>
                <w:sz w:val="24"/>
                <w:szCs w:val="24"/>
              </w:rPr>
              <w:t>单价(元)</w:t>
            </w:r>
          </w:p>
        </w:tc>
        <w:tc>
          <w:tcPr>
            <w:tcW w:w="4466" w:type="dxa"/>
          </w:tcPr>
          <w:p>
            <w:pPr>
              <w:jc w:val="left"/>
              <w:rPr>
                <w:sz w:val="24"/>
                <w:szCs w:val="24"/>
              </w:rPr>
            </w:pPr>
            <w:r>
              <w:rPr>
                <w:rFonts w:hint="eastAsia"/>
                <w:sz w:val="24"/>
                <w:szCs w:val="24"/>
              </w:rPr>
              <w:t>备注</w:t>
            </w:r>
            <w:r>
              <w:rPr>
                <w:rFonts w:ascii="宋体" w:hAnsi="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jc w:val="center"/>
              <w:rPr>
                <w:sz w:val="24"/>
                <w:szCs w:val="24"/>
              </w:rPr>
            </w:pPr>
            <w:r>
              <w:rPr>
                <w:rFonts w:hint="eastAsia"/>
                <w:sz w:val="24"/>
                <w:szCs w:val="24"/>
              </w:rPr>
              <w:t>1</w:t>
            </w:r>
          </w:p>
        </w:tc>
        <w:tc>
          <w:tcPr>
            <w:tcW w:w="1575" w:type="dxa"/>
          </w:tcPr>
          <w:p>
            <w:pPr>
              <w:jc w:val="center"/>
              <w:rPr>
                <w:sz w:val="24"/>
                <w:szCs w:val="24"/>
              </w:rPr>
            </w:pPr>
            <w:r>
              <w:rPr>
                <w:rFonts w:hint="eastAsia"/>
                <w:sz w:val="24"/>
                <w:szCs w:val="24"/>
              </w:rPr>
              <w:t>阻燃纺织面料的窗帘（GB/T 17591-2006 《阻燃织物》B1级）</w:t>
            </w:r>
          </w:p>
        </w:tc>
        <w:tc>
          <w:tcPr>
            <w:tcW w:w="765" w:type="dxa"/>
          </w:tcPr>
          <w:p>
            <w:pPr>
              <w:jc w:val="center"/>
              <w:rPr>
                <w:sz w:val="24"/>
                <w:szCs w:val="24"/>
              </w:rPr>
            </w:pPr>
            <w:r>
              <w:rPr>
                <w:rFonts w:hint="eastAsia"/>
                <w:sz w:val="24"/>
                <w:szCs w:val="24"/>
              </w:rPr>
              <w:t>米</w:t>
            </w:r>
          </w:p>
        </w:tc>
        <w:tc>
          <w:tcPr>
            <w:tcW w:w="1605" w:type="dxa"/>
          </w:tcPr>
          <w:p>
            <w:pPr>
              <w:jc w:val="center"/>
              <w:rPr>
                <w:sz w:val="24"/>
                <w:szCs w:val="24"/>
              </w:rPr>
            </w:pPr>
          </w:p>
        </w:tc>
        <w:tc>
          <w:tcPr>
            <w:tcW w:w="4466" w:type="dxa"/>
          </w:tcPr>
          <w:p>
            <w:pPr>
              <w:jc w:val="left"/>
              <w:rPr>
                <w:color w:val="FF0000"/>
                <w:sz w:val="24"/>
                <w:szCs w:val="24"/>
              </w:rPr>
            </w:pPr>
            <w:r>
              <w:rPr>
                <w:rFonts w:hint="eastAsia"/>
                <w:color w:val="FF0000"/>
                <w:sz w:val="24"/>
                <w:szCs w:val="24"/>
              </w:rPr>
              <w:t>价格包括：窗帘布、轨道、挂钩、其余配件材料费</w:t>
            </w:r>
            <w:r>
              <w:rPr>
                <w:rFonts w:hint="eastAsia" w:ascii="宋体" w:hAnsi="宋体" w:cs="宋体"/>
                <w:color w:val="FF0000"/>
                <w:sz w:val="24"/>
                <w:szCs w:val="24"/>
              </w:rPr>
              <w:t>、运输费、安装人工等费用。</w:t>
            </w:r>
            <w:r>
              <w:rPr>
                <w:rFonts w:hint="eastAsia"/>
                <w:color w:val="FF0000"/>
                <w:sz w:val="24"/>
                <w:szCs w:val="24"/>
              </w:rPr>
              <w:t>价格以轨道长度为计算单位。帘布宽度为轨道的</w:t>
            </w:r>
            <w:r>
              <w:rPr>
                <w:rFonts w:ascii="Arial" w:hAnsi="Arial" w:cs="Arial"/>
                <w:color w:val="FF0000"/>
                <w:sz w:val="24"/>
                <w:szCs w:val="24"/>
              </w:rPr>
              <w:t>≥</w:t>
            </w:r>
            <w:r>
              <w:rPr>
                <w:rFonts w:hint="eastAsia"/>
                <w:color w:val="FF0000"/>
                <w:sz w:val="24"/>
                <w:szCs w:val="24"/>
              </w:rPr>
              <w:t>1.8倍，帘布每米4个挂钩；轨道每米8个轮钩。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jc w:val="center"/>
              <w:rPr>
                <w:sz w:val="24"/>
                <w:szCs w:val="24"/>
              </w:rPr>
            </w:pPr>
            <w:r>
              <w:rPr>
                <w:rFonts w:hint="eastAsia"/>
                <w:sz w:val="24"/>
                <w:szCs w:val="24"/>
              </w:rPr>
              <w:t>2</w:t>
            </w:r>
          </w:p>
        </w:tc>
        <w:tc>
          <w:tcPr>
            <w:tcW w:w="1575" w:type="dxa"/>
          </w:tcPr>
          <w:p>
            <w:pPr>
              <w:jc w:val="center"/>
              <w:rPr>
                <w:sz w:val="24"/>
                <w:szCs w:val="24"/>
              </w:rPr>
            </w:pPr>
            <w:r>
              <w:rPr>
                <w:rFonts w:hint="eastAsia"/>
                <w:sz w:val="24"/>
                <w:szCs w:val="24"/>
              </w:rPr>
              <w:t>阻燃纺织面料的医用床帘（GB/T 17591-2006 《阻燃织物》B1级）</w:t>
            </w:r>
          </w:p>
        </w:tc>
        <w:tc>
          <w:tcPr>
            <w:tcW w:w="765" w:type="dxa"/>
          </w:tcPr>
          <w:p>
            <w:pPr>
              <w:jc w:val="center"/>
              <w:rPr>
                <w:sz w:val="24"/>
                <w:szCs w:val="24"/>
              </w:rPr>
            </w:pPr>
            <w:r>
              <w:rPr>
                <w:rFonts w:hint="eastAsia"/>
                <w:sz w:val="24"/>
                <w:szCs w:val="24"/>
              </w:rPr>
              <w:t>米</w:t>
            </w:r>
          </w:p>
        </w:tc>
        <w:tc>
          <w:tcPr>
            <w:tcW w:w="1605" w:type="dxa"/>
          </w:tcPr>
          <w:p>
            <w:pPr>
              <w:jc w:val="center"/>
              <w:rPr>
                <w:sz w:val="24"/>
                <w:szCs w:val="24"/>
              </w:rPr>
            </w:pPr>
          </w:p>
        </w:tc>
        <w:tc>
          <w:tcPr>
            <w:tcW w:w="4466" w:type="dxa"/>
          </w:tcPr>
          <w:p>
            <w:pPr>
              <w:jc w:val="left"/>
              <w:rPr>
                <w:color w:val="FF0000"/>
                <w:sz w:val="24"/>
                <w:szCs w:val="24"/>
              </w:rPr>
            </w:pPr>
            <w:r>
              <w:rPr>
                <w:rFonts w:hint="eastAsia"/>
                <w:color w:val="FF0000"/>
                <w:sz w:val="24"/>
                <w:szCs w:val="24"/>
              </w:rPr>
              <w:t>价格包括：医用床帘布、轨道、挂钩、其余配件材料费</w:t>
            </w:r>
            <w:r>
              <w:rPr>
                <w:rFonts w:hint="eastAsia" w:ascii="宋体" w:hAnsi="宋体" w:cs="宋体"/>
                <w:color w:val="FF0000"/>
                <w:sz w:val="24"/>
                <w:szCs w:val="24"/>
              </w:rPr>
              <w:t>、运输费、安装人工等费用。</w:t>
            </w:r>
            <w:r>
              <w:rPr>
                <w:rFonts w:hint="eastAsia"/>
                <w:color w:val="FF0000"/>
                <w:sz w:val="24"/>
                <w:szCs w:val="24"/>
              </w:rPr>
              <w:t>价格以轨道长度为计算单位。帘布宽度为轨道的</w:t>
            </w:r>
            <w:r>
              <w:rPr>
                <w:rFonts w:ascii="Arial" w:hAnsi="Arial" w:cs="Arial"/>
                <w:color w:val="FF0000"/>
                <w:sz w:val="24"/>
                <w:szCs w:val="24"/>
              </w:rPr>
              <w:t>≥</w:t>
            </w:r>
            <w:r>
              <w:rPr>
                <w:rFonts w:hint="eastAsia"/>
                <w:color w:val="FF0000"/>
                <w:sz w:val="24"/>
                <w:szCs w:val="24"/>
              </w:rPr>
              <w:t>2倍，帘布每米4个挂钩；轨道每米8个轮钩。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tcPr>
          <w:p>
            <w:pPr>
              <w:jc w:val="center"/>
              <w:rPr>
                <w:sz w:val="24"/>
                <w:szCs w:val="24"/>
              </w:rPr>
            </w:pPr>
            <w:r>
              <w:rPr>
                <w:rFonts w:hint="eastAsia"/>
                <w:sz w:val="24"/>
                <w:szCs w:val="24"/>
              </w:rPr>
              <w:t>3</w:t>
            </w:r>
          </w:p>
        </w:tc>
        <w:tc>
          <w:tcPr>
            <w:tcW w:w="1575" w:type="dxa"/>
          </w:tcPr>
          <w:p>
            <w:pPr>
              <w:jc w:val="center"/>
              <w:rPr>
                <w:sz w:val="24"/>
                <w:szCs w:val="24"/>
              </w:rPr>
            </w:pPr>
            <w:r>
              <w:rPr>
                <w:rFonts w:hint="eastAsia"/>
                <w:sz w:val="24"/>
                <w:szCs w:val="24"/>
              </w:rPr>
              <w:t>窗、床帘轨道拆改位置</w:t>
            </w:r>
          </w:p>
        </w:tc>
        <w:tc>
          <w:tcPr>
            <w:tcW w:w="765" w:type="dxa"/>
          </w:tcPr>
          <w:p>
            <w:pPr>
              <w:jc w:val="center"/>
              <w:rPr>
                <w:sz w:val="24"/>
                <w:szCs w:val="24"/>
              </w:rPr>
            </w:pPr>
            <w:r>
              <w:rPr>
                <w:rFonts w:hint="eastAsia"/>
                <w:sz w:val="24"/>
                <w:szCs w:val="24"/>
              </w:rPr>
              <w:t>条</w:t>
            </w:r>
          </w:p>
        </w:tc>
        <w:tc>
          <w:tcPr>
            <w:tcW w:w="1605" w:type="dxa"/>
          </w:tcPr>
          <w:p>
            <w:pPr>
              <w:jc w:val="center"/>
              <w:rPr>
                <w:sz w:val="24"/>
                <w:szCs w:val="24"/>
              </w:rPr>
            </w:pPr>
          </w:p>
        </w:tc>
        <w:tc>
          <w:tcPr>
            <w:tcW w:w="4466" w:type="dxa"/>
          </w:tcPr>
          <w:p>
            <w:pPr>
              <w:jc w:val="left"/>
              <w:rPr>
                <w:color w:val="FF0000"/>
                <w:sz w:val="24"/>
                <w:szCs w:val="24"/>
              </w:rPr>
            </w:pPr>
            <w:r>
              <w:rPr>
                <w:rFonts w:hint="eastAsia"/>
                <w:color w:val="FF0000"/>
                <w:sz w:val="24"/>
                <w:szCs w:val="24"/>
              </w:rPr>
              <w:t>以条为单位计算，长度</w:t>
            </w:r>
            <w:r>
              <w:rPr>
                <w:rFonts w:ascii="Arial" w:hAnsi="Arial" w:cs="Arial"/>
                <w:color w:val="FF0000"/>
                <w:sz w:val="24"/>
                <w:szCs w:val="24"/>
              </w:rPr>
              <w:t>≤</w:t>
            </w:r>
            <w:r>
              <w:rPr>
                <w:rFonts w:hint="eastAsia"/>
                <w:color w:val="FF0000"/>
                <w:sz w:val="24"/>
                <w:szCs w:val="24"/>
              </w:rPr>
              <w:t>5米。价格包括材料费及人工费。</w:t>
            </w:r>
          </w:p>
        </w:tc>
      </w:tr>
    </w:tbl>
    <w:p>
      <w:pPr>
        <w:pStyle w:val="2"/>
        <w:ind w:firstLine="480" w:firstLineChars="200"/>
        <w:rPr>
          <w:rFonts w:hint="eastAsia"/>
        </w:rPr>
      </w:pPr>
      <w:r>
        <w:rPr>
          <w:rFonts w:hint="eastAsia"/>
        </w:rPr>
        <w:t>备注：本次招标以商品单价进行报价，本项目总预算约为 10 万元。采购数量将根据实际需求而定，最终以实际采购数量进行结算。</w:t>
      </w:r>
    </w:p>
    <w:p>
      <w:pPr>
        <w:pStyle w:val="2"/>
        <w:rPr>
          <w:rFonts w:hint="eastAsia"/>
        </w:rPr>
      </w:pPr>
    </w:p>
    <w:p>
      <w:pPr>
        <w:rPr>
          <w:rFonts w:cs="宋体"/>
          <w:b/>
          <w:bCs/>
          <w:kern w:val="0"/>
          <w:sz w:val="24"/>
          <w:szCs w:val="24"/>
        </w:rPr>
      </w:pPr>
      <w:r>
        <w:rPr>
          <w:rFonts w:hint="eastAsia" w:ascii="宋体" w:hAnsi="宋体" w:cs="宋体"/>
          <w:b/>
          <w:bCs/>
          <w:sz w:val="28"/>
          <w:szCs w:val="28"/>
        </w:rPr>
        <w:t>技术规格参数要求：</w:t>
      </w:r>
    </w:p>
    <w:p>
      <w:pPr>
        <w:ind w:firstLine="480" w:firstLineChars="200"/>
        <w:jc w:val="left"/>
        <w:rPr>
          <w:rFonts w:ascii="宋体" w:hAnsi="宋体" w:cs="宋体"/>
          <w:sz w:val="24"/>
          <w:szCs w:val="24"/>
        </w:rPr>
      </w:pPr>
      <w:r>
        <w:rPr>
          <w:rFonts w:hint="eastAsia" w:ascii="宋体" w:hAnsi="宋体" w:cs="宋体"/>
          <w:sz w:val="24"/>
          <w:szCs w:val="24"/>
        </w:rPr>
        <w:t>1、所有材料符合国家标准，行业要求，质量三包；</w:t>
      </w:r>
    </w:p>
    <w:p>
      <w:pPr>
        <w:ind w:firstLine="480" w:firstLineChars="200"/>
        <w:jc w:val="left"/>
        <w:rPr>
          <w:rFonts w:ascii="宋体" w:hAnsi="宋体" w:cs="宋体"/>
          <w:sz w:val="24"/>
          <w:szCs w:val="24"/>
        </w:rPr>
      </w:pPr>
      <w:r>
        <w:rPr>
          <w:rFonts w:hint="eastAsia" w:ascii="宋体" w:hAnsi="宋体" w:cs="宋体"/>
          <w:sz w:val="24"/>
          <w:szCs w:val="24"/>
        </w:rPr>
        <w:t>2、阻燃纺织面料的窗帘布材质、颜色具体要求：环保物理遮光布，遮光率≥90，防水、防尘，阻燃（国标B1级），淡蓝色；</w:t>
      </w:r>
    </w:p>
    <w:p>
      <w:pPr>
        <w:ind w:firstLine="480" w:firstLineChars="200"/>
        <w:jc w:val="left"/>
        <w:rPr>
          <w:rFonts w:ascii="宋体" w:hAnsi="宋体" w:cs="宋体"/>
          <w:sz w:val="24"/>
          <w:szCs w:val="24"/>
        </w:rPr>
      </w:pPr>
      <w:r>
        <w:rPr>
          <w:rFonts w:hint="eastAsia" w:ascii="宋体" w:hAnsi="宋体" w:cs="宋体"/>
          <w:sz w:val="24"/>
          <w:szCs w:val="24"/>
        </w:rPr>
        <w:t>3、医用床帘具有阻燃（国标B1级）、抗菌、三防（防水防油防污）、抗静电、抗病毒，医用床帘布上端通风网孔高度50-75cm，医用床帘布底端离地20-30cm；</w:t>
      </w:r>
    </w:p>
    <w:p>
      <w:pPr>
        <w:ind w:firstLine="480" w:firstLineChars="200"/>
        <w:jc w:val="left"/>
        <w:rPr>
          <w:rFonts w:ascii="宋体" w:hAnsi="宋体" w:cs="宋体"/>
          <w:sz w:val="24"/>
          <w:szCs w:val="24"/>
        </w:rPr>
      </w:pPr>
      <w:r>
        <w:rPr>
          <w:rFonts w:hint="eastAsia" w:ascii="宋体" w:hAnsi="宋体" w:cs="宋体"/>
          <w:sz w:val="24"/>
          <w:szCs w:val="24"/>
        </w:rPr>
        <w:t>4、轨道参数及要求：欧式大方轨，支重≥1.3kg，静音轨，铝材；</w:t>
      </w:r>
    </w:p>
    <w:p>
      <w:pPr>
        <w:ind w:firstLine="480" w:firstLineChars="200"/>
        <w:jc w:val="left"/>
        <w:rPr>
          <w:rFonts w:ascii="宋体" w:hAnsi="宋体" w:cs="宋体"/>
          <w:sz w:val="24"/>
          <w:szCs w:val="24"/>
        </w:rPr>
      </w:pPr>
      <w:r>
        <w:rPr>
          <w:rFonts w:hint="eastAsia" w:ascii="宋体" w:hAnsi="宋体" w:cs="宋体"/>
          <w:sz w:val="24"/>
          <w:szCs w:val="24"/>
        </w:rPr>
        <w:t>5、窗帘、医用床帘的安装需要做好轨道的加固。如遇铝扣板的天花板，应在三脚架或主骨上放条木方再上加固螺丝。</w:t>
      </w:r>
    </w:p>
    <w:p>
      <w:pPr>
        <w:widowControl/>
        <w:spacing w:line="360" w:lineRule="auto"/>
        <w:jc w:val="left"/>
        <w:rPr>
          <w:rFonts w:hint="eastAsia"/>
          <w:kern w:val="0"/>
          <w:sz w:val="24"/>
          <w:szCs w:val="24"/>
        </w:rPr>
      </w:pPr>
      <w:r>
        <w:rPr>
          <w:kern w:val="0"/>
          <w:sz w:val="24"/>
          <w:szCs w:val="24"/>
        </w:rPr>
        <w:t xml:space="preserve">                                 </w:t>
      </w:r>
    </w:p>
    <w:p>
      <w:pPr>
        <w:ind w:firstLine="480" w:firstLineChars="200"/>
        <w:jc w:val="right"/>
        <w:rPr>
          <w:rFonts w:ascii="宋体" w:hAnsi="宋体" w:cs="宋体"/>
          <w:sz w:val="24"/>
          <w:szCs w:val="24"/>
        </w:rPr>
      </w:pPr>
      <w:r>
        <w:rPr>
          <w:kern w:val="0"/>
          <w:sz w:val="24"/>
          <w:szCs w:val="24"/>
        </w:rPr>
        <w:t xml:space="preserve"> </w:t>
      </w:r>
      <w:r>
        <w:rPr>
          <w:rFonts w:hint="eastAsia" w:ascii="宋体" w:hAnsi="宋体" w:cs="宋体"/>
          <w:sz w:val="24"/>
          <w:szCs w:val="24"/>
        </w:rPr>
        <w:t>投标人（单位公章）：</w:t>
      </w:r>
    </w:p>
    <w:p>
      <w:pPr>
        <w:ind w:firstLine="480" w:firstLineChars="200"/>
        <w:jc w:val="righ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法定代表人或授权代表（签名）：</w:t>
      </w:r>
    </w:p>
    <w:p>
      <w:pPr>
        <w:widowControl/>
        <w:jc w:val="right"/>
        <w:rPr>
          <w:rFonts w:hint="eastAsia" w:ascii="宋体" w:hAnsi="宋体" w:cs="宋体"/>
          <w:sz w:val="24"/>
          <w:szCs w:val="24"/>
        </w:rPr>
      </w:pPr>
      <w:r>
        <w:rPr>
          <w:rFonts w:hint="eastAsia" w:ascii="宋体" w:hAnsi="宋体" w:cs="宋体"/>
          <w:sz w:val="24"/>
          <w:szCs w:val="24"/>
        </w:rPr>
        <w:t>联系人电话号码：</w:t>
      </w:r>
    </w:p>
    <w:p>
      <w:pPr>
        <w:widowControl/>
        <w:jc w:val="right"/>
        <w:rPr>
          <w:rFonts w:ascii="宋体" w:hAnsi="宋体" w:cs="宋体"/>
          <w:sz w:val="24"/>
          <w:szCs w:val="24"/>
        </w:rPr>
      </w:pPr>
      <w:r>
        <w:rPr>
          <w:rFonts w:hint="eastAsia" w:ascii="宋体" w:hAnsi="宋体" w:cs="宋体"/>
          <w:sz w:val="24"/>
          <w:szCs w:val="24"/>
        </w:rPr>
        <w:t>年     月    日</w:t>
      </w:r>
      <w:r>
        <w:rPr>
          <w:rFonts w:ascii="宋体" w:hAnsi="宋体" w:cs="宋体"/>
          <w:sz w:val="24"/>
          <w:szCs w:val="24"/>
        </w:rPr>
        <w:br w:type="page"/>
      </w:r>
    </w:p>
    <w:p>
      <w:pPr>
        <w:widowControl/>
        <w:ind w:right="760"/>
        <w:rPr>
          <w:rFonts w:ascii="宋体" w:hAnsi="宋体" w:cs="宋体"/>
          <w:sz w:val="24"/>
          <w:szCs w:val="24"/>
        </w:rPr>
      </w:pPr>
      <w:r>
        <w:rPr>
          <w:rFonts w:hint="eastAsia" w:cs="宋体"/>
          <w:b/>
          <w:bCs/>
          <w:kern w:val="0"/>
          <w:sz w:val="38"/>
          <w:szCs w:val="38"/>
        </w:rPr>
        <w:t>五、技术参数响应及偏离表</w:t>
      </w:r>
    </w:p>
    <w:p>
      <w:pPr>
        <w:widowControl/>
        <w:spacing w:line="360" w:lineRule="auto"/>
        <w:jc w:val="left"/>
        <w:rPr>
          <w:rFonts w:hint="eastAsia" w:cs="宋体"/>
          <w:kern w:val="0"/>
          <w:sz w:val="24"/>
          <w:szCs w:val="24"/>
        </w:rPr>
      </w:pP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tcPr>
          <w:p>
            <w:pPr>
              <w:widowControl/>
              <w:jc w:val="center"/>
              <w:textAlignment w:val="top"/>
            </w:pPr>
            <w:r>
              <w:rPr>
                <w:rFonts w:hint="eastAsia"/>
                <w:color w:val="000000"/>
                <w:kern w:val="0"/>
                <w:sz w:val="24"/>
                <w:szCs w:val="24"/>
              </w:rPr>
              <w:t>1</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tcPr>
          <w:p>
            <w:pPr>
              <w:widowControl/>
              <w:jc w:val="center"/>
              <w:textAlignment w:val="top"/>
            </w:pPr>
            <w:r>
              <w:rPr>
                <w:rFonts w:hint="eastAsia"/>
                <w:color w:val="000000"/>
                <w:kern w:val="0"/>
                <w:sz w:val="24"/>
                <w:szCs w:val="24"/>
              </w:rPr>
              <w:t>2</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tcPr>
          <w:p>
            <w:pPr>
              <w:widowControl/>
              <w:jc w:val="center"/>
              <w:textAlignment w:val="top"/>
            </w:pPr>
            <w:r>
              <w:rPr>
                <w:rFonts w:hint="eastAsia"/>
                <w:color w:val="000000"/>
                <w:kern w:val="0"/>
                <w:sz w:val="24"/>
                <w:szCs w:val="24"/>
              </w:rPr>
              <w:t>3</w:t>
            </w: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numPr>
          <w:ilvl w:val="0"/>
          <w:numId w:val="1"/>
        </w:numPr>
        <w:spacing w:line="360" w:lineRule="auto"/>
        <w:ind w:firstLine="480" w:firstLineChars="200"/>
        <w:jc w:val="left"/>
      </w:pPr>
      <w:r>
        <w:rPr>
          <w:rFonts w:hint="eastAsia" w:cs="宋体"/>
          <w:kern w:val="0"/>
          <w:sz w:val="24"/>
          <w:szCs w:val="24"/>
        </w:rPr>
        <w:t>行数不够，可自行添加。</w:t>
      </w:r>
      <w:bookmarkStart w:id="42" w:name="_Hlt26955054"/>
      <w:bookmarkEnd w:id="42"/>
    </w:p>
    <w:p>
      <w:pPr>
        <w:rPr>
          <w:rFonts w:cs="宋体"/>
          <w:b/>
          <w:bCs/>
          <w:kern w:val="0"/>
          <w:sz w:val="38"/>
          <w:szCs w:val="38"/>
        </w:rPr>
      </w:pPr>
      <w:r>
        <w:rPr>
          <w:rFonts w:hint="eastAsia" w:cs="宋体"/>
          <w:b/>
          <w:bCs/>
          <w:kern w:val="0"/>
          <w:sz w:val="38"/>
          <w:szCs w:val="38"/>
        </w:rPr>
        <w:br w:type="page"/>
      </w:r>
    </w:p>
    <w:p>
      <w:pPr>
        <w:widowControl/>
        <w:spacing w:line="360" w:lineRule="auto"/>
        <w:jc w:val="left"/>
        <w:rPr>
          <w:rFonts w:cs="宋体"/>
          <w:b/>
          <w:bCs/>
          <w:kern w:val="0"/>
          <w:sz w:val="38"/>
          <w:szCs w:val="38"/>
        </w:rPr>
      </w:pPr>
      <w:r>
        <w:rPr>
          <w:rFonts w:hint="eastAsia" w:cs="宋体"/>
          <w:b/>
          <w:bCs/>
          <w:kern w:val="0"/>
          <w:sz w:val="38"/>
          <w:szCs w:val="38"/>
        </w:rPr>
        <w:t>六、资信证明文件技术支持性文件</w:t>
      </w:r>
    </w:p>
    <w:p>
      <w:pPr>
        <w:pStyle w:val="2"/>
      </w:pPr>
    </w:p>
    <w:p>
      <w:pPr>
        <w:pStyle w:val="2"/>
      </w:pPr>
    </w:p>
    <w:p>
      <w:pPr>
        <w:widowControl/>
        <w:spacing w:line="351" w:lineRule="atLeast"/>
        <w:jc w:val="left"/>
        <w:rPr>
          <w:rFonts w:cs="宋体"/>
          <w:b/>
          <w:bCs/>
          <w:kern w:val="0"/>
          <w:sz w:val="38"/>
          <w:szCs w:val="38"/>
        </w:rPr>
      </w:pPr>
    </w:p>
    <w:p>
      <w:pPr>
        <w:widowControl/>
        <w:spacing w:line="351" w:lineRule="atLeast"/>
        <w:jc w:val="left"/>
        <w:rPr>
          <w:rFonts w:cs="宋体"/>
          <w:b/>
          <w:bCs/>
          <w:kern w:val="0"/>
          <w:sz w:val="38"/>
          <w:szCs w:val="38"/>
        </w:rPr>
      </w:pPr>
    </w:p>
    <w:p>
      <w:pPr>
        <w:widowControl/>
        <w:spacing w:line="351" w:lineRule="atLeast"/>
        <w:jc w:val="left"/>
        <w:rPr>
          <w:rFonts w:cs="宋体"/>
          <w:b/>
          <w:bCs/>
          <w:kern w:val="0"/>
          <w:sz w:val="38"/>
          <w:szCs w:val="38"/>
        </w:rPr>
      </w:pPr>
    </w:p>
    <w:p>
      <w:pPr>
        <w:widowControl/>
        <w:spacing w:line="351" w:lineRule="atLeast"/>
        <w:jc w:val="left"/>
        <w:rPr>
          <w:rFonts w:cs="宋体"/>
          <w:b/>
          <w:bCs/>
          <w:kern w:val="0"/>
          <w:sz w:val="38"/>
          <w:szCs w:val="38"/>
        </w:rPr>
      </w:pPr>
      <w:r>
        <w:rPr>
          <w:rFonts w:hint="eastAsia" w:cs="宋体"/>
          <w:b/>
          <w:bCs/>
          <w:kern w:val="0"/>
          <w:sz w:val="38"/>
          <w:szCs w:val="38"/>
        </w:rPr>
        <w:br w:type="page"/>
      </w:r>
    </w:p>
    <w:p>
      <w:pPr>
        <w:widowControl/>
        <w:spacing w:line="351" w:lineRule="atLeast"/>
        <w:jc w:val="left"/>
        <w:rPr>
          <w:b/>
          <w:bCs/>
          <w:kern w:val="0"/>
          <w:sz w:val="18"/>
          <w:szCs w:val="18"/>
        </w:rPr>
      </w:pPr>
      <w:r>
        <w:rPr>
          <w:rFonts w:hint="eastAsia" w:cs="宋体"/>
          <w:b/>
          <w:bCs/>
          <w:kern w:val="0"/>
          <w:sz w:val="38"/>
          <w:szCs w:val="38"/>
        </w:rPr>
        <w:t>七、服务承诺</w:t>
      </w:r>
    </w:p>
    <w:p>
      <w:pPr>
        <w:widowControl/>
        <w:spacing w:line="351" w:lineRule="atLeast"/>
        <w:jc w:val="left"/>
        <w:rPr>
          <w:b/>
          <w:bCs/>
          <w:kern w:val="0"/>
          <w:sz w:val="18"/>
          <w:szCs w:val="18"/>
        </w:rPr>
      </w:pPr>
    </w:p>
    <w:p>
      <w:pPr>
        <w:pStyle w:val="2"/>
        <w:rPr>
          <w:b/>
          <w:bCs/>
          <w:sz w:val="18"/>
          <w:szCs w:val="18"/>
        </w:rPr>
      </w:pPr>
    </w:p>
    <w:p>
      <w:pPr>
        <w:pStyle w:val="2"/>
        <w:rPr>
          <w:b/>
          <w:bCs/>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八、资信证明文件技术支持性文件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58F9A"/>
    <w:multiLevelType w:val="singleLevel"/>
    <w:tmpl w:val="32358F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U2MmVkY2Q0YWFlYTRhNGY5NmRkNTVhZTk4YjM3MTgifQ=="/>
    <w:docVar w:name="KY_MEDREF_DOCUID" w:val="{B36404EC-8561-4065-A8A7-89E4E638730E}"/>
    <w:docVar w:name="KY_MEDREF_VERSION" w:val="3"/>
  </w:docVars>
  <w:rsids>
    <w:rsidRoot w:val="00272502"/>
    <w:rsid w:val="0003201A"/>
    <w:rsid w:val="000D44A9"/>
    <w:rsid w:val="000F7E1D"/>
    <w:rsid w:val="002061F1"/>
    <w:rsid w:val="00241CD6"/>
    <w:rsid w:val="00272502"/>
    <w:rsid w:val="00282C65"/>
    <w:rsid w:val="00290522"/>
    <w:rsid w:val="002F723D"/>
    <w:rsid w:val="00317F90"/>
    <w:rsid w:val="005327B1"/>
    <w:rsid w:val="00555C74"/>
    <w:rsid w:val="006608B5"/>
    <w:rsid w:val="006B597B"/>
    <w:rsid w:val="006C41DE"/>
    <w:rsid w:val="00717973"/>
    <w:rsid w:val="007457BE"/>
    <w:rsid w:val="007625D4"/>
    <w:rsid w:val="007E7B84"/>
    <w:rsid w:val="00847936"/>
    <w:rsid w:val="00892010"/>
    <w:rsid w:val="009262B2"/>
    <w:rsid w:val="00930B92"/>
    <w:rsid w:val="009A323D"/>
    <w:rsid w:val="00A16A96"/>
    <w:rsid w:val="00AA7EEC"/>
    <w:rsid w:val="00B0231E"/>
    <w:rsid w:val="00B07E30"/>
    <w:rsid w:val="00B40A24"/>
    <w:rsid w:val="00B46DA6"/>
    <w:rsid w:val="00C10DFE"/>
    <w:rsid w:val="00C12761"/>
    <w:rsid w:val="00C559D2"/>
    <w:rsid w:val="00CB33B3"/>
    <w:rsid w:val="00D0151B"/>
    <w:rsid w:val="00D3013F"/>
    <w:rsid w:val="00D51599"/>
    <w:rsid w:val="00D56E97"/>
    <w:rsid w:val="00D61BC0"/>
    <w:rsid w:val="00E43714"/>
    <w:rsid w:val="00E5502A"/>
    <w:rsid w:val="00ED1FB2"/>
    <w:rsid w:val="00FA4EFF"/>
    <w:rsid w:val="01114588"/>
    <w:rsid w:val="013C0944"/>
    <w:rsid w:val="06044F47"/>
    <w:rsid w:val="151A745D"/>
    <w:rsid w:val="184706AA"/>
    <w:rsid w:val="1C045EE6"/>
    <w:rsid w:val="203D1D11"/>
    <w:rsid w:val="28130C31"/>
    <w:rsid w:val="515556AC"/>
    <w:rsid w:val="55A86A51"/>
    <w:rsid w:val="5E716297"/>
    <w:rsid w:val="6BDD07A9"/>
    <w:rsid w:val="6EEC2F7A"/>
    <w:rsid w:val="6F54596D"/>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semiHidden/>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6"/>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Char"/>
    <w:basedOn w:val="15"/>
    <w:link w:val="6"/>
    <w:semiHidden/>
    <w:qFormat/>
    <w:uiPriority w:val="99"/>
    <w:rPr>
      <w:rFonts w:ascii="Times New Roman" w:hAnsi="Times New Roman" w:eastAsia="宋体" w:cs="Times New Roman"/>
      <w:b/>
      <w:bCs/>
      <w:szCs w:val="21"/>
    </w:rPr>
  </w:style>
  <w:style w:type="character" w:customStyle="1" w:styleId="17">
    <w:name w:val="font21"/>
    <w:basedOn w:val="9"/>
    <w:qFormat/>
    <w:uiPriority w:val="0"/>
    <w:rPr>
      <w:rFonts w:hint="eastAsia" w:ascii="宋体" w:hAnsi="宋体" w:eastAsia="宋体" w:cs="宋体"/>
      <w:color w:val="000000"/>
      <w:sz w:val="22"/>
      <w:szCs w:val="22"/>
      <w:u w:val="none"/>
    </w:rPr>
  </w:style>
  <w:style w:type="character" w:customStyle="1" w:styleId="18">
    <w:name w:val="font41"/>
    <w:basedOn w:val="9"/>
    <w:qFormat/>
    <w:uiPriority w:val="0"/>
    <w:rPr>
      <w:rFonts w:hint="eastAsia" w:ascii="宋体" w:hAnsi="宋体" w:eastAsia="宋体" w:cs="宋体"/>
      <w:color w:val="000000"/>
      <w:sz w:val="24"/>
      <w:szCs w:val="24"/>
      <w:u w:val="none"/>
    </w:rPr>
  </w:style>
  <w:style w:type="character" w:customStyle="1" w:styleId="19">
    <w:name w:val="font31"/>
    <w:basedOn w:val="9"/>
    <w:qFormat/>
    <w:uiPriority w:val="0"/>
    <w:rPr>
      <w:rFonts w:hint="eastAsia" w:ascii="宋体" w:hAnsi="宋体" w:eastAsia="宋体" w:cs="宋体"/>
      <w:color w:val="000000"/>
      <w:sz w:val="24"/>
      <w:szCs w:val="24"/>
      <w:u w:val="none"/>
    </w:rPr>
  </w:style>
  <w:style w:type="character" w:customStyle="1" w:styleId="20">
    <w:name w:val="font101"/>
    <w:basedOn w:val="9"/>
    <w:qFormat/>
    <w:uiPriority w:val="0"/>
    <w:rPr>
      <w:rFonts w:hint="eastAsia" w:ascii="宋体" w:hAnsi="宋体" w:eastAsia="宋体" w:cs="宋体"/>
      <w:color w:val="FF0000"/>
      <w:sz w:val="24"/>
      <w:szCs w:val="24"/>
      <w:u w:val="none"/>
    </w:rPr>
  </w:style>
  <w:style w:type="character" w:customStyle="1" w:styleId="21">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1376</Words>
  <Characters>7846</Characters>
  <Lines>65</Lines>
  <Paragraphs>18</Paragraphs>
  <TotalTime>0</TotalTime>
  <ScaleCrop>false</ScaleCrop>
  <LinksUpToDate>false</LinksUpToDate>
  <CharactersWithSpaces>9204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2024-07-19T08:27:00Z</dcterms:created>
  <dc:creator>c k</dc:creator>
  <cp:lastModifiedBy>lenovo</cp:lastModifiedBy>
  <dcterms:modified xsi:type="dcterms:W3CDTF">2024-07-23T01:27:43Z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660BB168DAE648A9B6329025E03A1C9E</vt:lpwstr>
  </property>
</Properties>
</file>