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312" w:afterLines="100" w:line="240" w:lineRule="auto"/>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广西壮族自治区桂东人民医院窗帘、床帘采购合同（草稿）</w:t>
      </w:r>
    </w:p>
    <w:p>
      <w:pPr>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甲方： 广西壮族自治区桂东人民医院                        　　　　　　　　　</w:t>
      </w:r>
    </w:p>
    <w:p>
      <w:pPr>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 xml:space="preserve">乙方：  </w:t>
      </w:r>
      <w:r>
        <w:rPr>
          <w:rFonts w:hint="eastAsia" w:ascii="宋体" w:hAnsi="宋体" w:eastAsia="宋体" w:cs="Times New Roman"/>
          <w:color w:val="000000"/>
          <w:szCs w:val="21"/>
          <w:lang w:val="en-US" w:eastAsia="zh-CN"/>
        </w:rPr>
        <w:t xml:space="preserve">xxxxxxxxxx </w:t>
      </w:r>
      <w:r>
        <w:rPr>
          <w:rFonts w:hint="eastAsia" w:ascii="宋体" w:hAnsi="宋体" w:eastAsia="宋体" w:cs="Times New Roman"/>
          <w:color w:val="000000"/>
          <w:szCs w:val="21"/>
        </w:rPr>
        <w:t xml:space="preserve">              </w:t>
      </w:r>
    </w:p>
    <w:p>
      <w:pPr>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lang w:eastAsia="zh-CN"/>
        </w:rPr>
        <w:t>合同编号：</w:t>
      </w:r>
      <w:r>
        <w:rPr>
          <w:rFonts w:hint="eastAsia" w:ascii="宋体" w:hAnsi="宋体" w:eastAsia="宋体" w:cs="Times New Roman"/>
          <w:color w:val="000000"/>
          <w:szCs w:val="21"/>
        </w:rPr>
        <w:t xml:space="preserve">  </w:t>
      </w:r>
      <w:r>
        <w:rPr>
          <w:rFonts w:hint="eastAsia" w:ascii="宋体" w:hAnsi="宋体" w:eastAsia="宋体" w:cs="Times New Roman"/>
          <w:color w:val="000000"/>
          <w:szCs w:val="21"/>
          <w:lang w:val="en-US" w:eastAsia="zh-CN"/>
        </w:rPr>
        <w:t xml:space="preserve">xxxxxxxxxx </w:t>
      </w:r>
      <w:r>
        <w:rPr>
          <w:rFonts w:hint="eastAsia" w:ascii="宋体" w:hAnsi="宋体" w:eastAsia="宋体" w:cs="Times New Roman"/>
          <w:color w:val="000000"/>
          <w:szCs w:val="21"/>
        </w:rPr>
        <w:t xml:space="preserve">          </w:t>
      </w:r>
    </w:p>
    <w:p>
      <w:pPr>
        <w:snapToGrid w:val="0"/>
        <w:spacing w:line="360" w:lineRule="auto"/>
        <w:ind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根据《中华人民共和国政府采购法》、《中华人民共和国民法典》等法律、法规规定，按照采购文件规定条款和中标供应商的投标文件承诺，甲、乙双方在平等互利基础上</w:t>
      </w:r>
      <w:r>
        <w:rPr>
          <w:rFonts w:hint="eastAsia" w:ascii="宋体" w:hAnsi="宋体" w:eastAsia="宋体" w:cs="Times New Roman"/>
          <w:color w:val="000000"/>
          <w:szCs w:val="21"/>
          <w:lang w:val="en-US" w:eastAsia="zh-CN"/>
        </w:rPr>
        <w:t>,</w:t>
      </w:r>
      <w:r>
        <w:rPr>
          <w:rFonts w:hint="eastAsia" w:ascii="宋体" w:hAnsi="宋体" w:eastAsia="宋体" w:cs="Times New Roman"/>
          <w:color w:val="000000"/>
          <w:szCs w:val="21"/>
        </w:rPr>
        <w:t>甲乙双方签订本合同。</w:t>
      </w:r>
    </w:p>
    <w:tbl>
      <w:tblPr>
        <w:tblStyle w:val="7"/>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908"/>
        <w:gridCol w:w="648"/>
        <w:gridCol w:w="877"/>
        <w:gridCol w:w="585"/>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jc w:val="left"/>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序号</w:t>
            </w:r>
          </w:p>
        </w:tc>
        <w:tc>
          <w:tcPr>
            <w:tcW w:w="1908" w:type="dxa"/>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货物名称</w:t>
            </w:r>
          </w:p>
        </w:tc>
        <w:tc>
          <w:tcPr>
            <w:tcW w:w="648" w:type="dxa"/>
          </w:tcPr>
          <w:p>
            <w:pPr>
              <w:jc w:val="left"/>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单位</w:t>
            </w:r>
          </w:p>
        </w:tc>
        <w:tc>
          <w:tcPr>
            <w:tcW w:w="877" w:type="dxa"/>
          </w:tcPr>
          <w:p>
            <w:pPr>
              <w:jc w:val="left"/>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中标单价(元)</w:t>
            </w:r>
          </w:p>
        </w:tc>
        <w:tc>
          <w:tcPr>
            <w:tcW w:w="585" w:type="dxa"/>
          </w:tcPr>
          <w:p>
            <w:pPr>
              <w:jc w:val="left"/>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数量</w:t>
            </w:r>
          </w:p>
        </w:tc>
        <w:tc>
          <w:tcPr>
            <w:tcW w:w="4466" w:type="dxa"/>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1</w:t>
            </w:r>
          </w:p>
        </w:tc>
        <w:tc>
          <w:tcPr>
            <w:tcW w:w="1908" w:type="dxa"/>
          </w:tcPr>
          <w:p>
            <w:pPr>
              <w:jc w:val="left"/>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阻燃纺织面料的窗帘（GB/T 17591-2006 《阻燃织物》B1级）</w:t>
            </w:r>
          </w:p>
        </w:tc>
        <w:tc>
          <w:tcPr>
            <w:tcW w:w="648" w:type="dxa"/>
          </w:tcPr>
          <w:p>
            <w:pPr>
              <w:jc w:val="center"/>
              <w:rPr>
                <w:rFonts w:hint="eastAsia" w:ascii="宋体" w:hAnsi="宋体" w:eastAsia="宋体" w:cs="Times New Roman"/>
                <w:bCs/>
                <w:color w:val="auto"/>
                <w:kern w:val="2"/>
                <w:sz w:val="21"/>
                <w:szCs w:val="21"/>
                <w:lang w:val="en-US" w:eastAsia="zh-CN" w:bidi="ar-SA"/>
              </w:rPr>
            </w:pPr>
          </w:p>
          <w:p>
            <w:pPr>
              <w:jc w:val="center"/>
              <w:rPr>
                <w:rFonts w:hint="eastAsia" w:ascii="宋体" w:hAnsi="宋体" w:eastAsia="宋体" w:cs="Times New Roman"/>
                <w:bCs/>
                <w:color w:val="auto"/>
                <w:kern w:val="2"/>
                <w:sz w:val="21"/>
                <w:szCs w:val="21"/>
                <w:lang w:val="en-US" w:eastAsia="zh-CN" w:bidi="ar-SA"/>
              </w:rPr>
            </w:pPr>
          </w:p>
          <w:p>
            <w:pPr>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米</w:t>
            </w:r>
          </w:p>
        </w:tc>
        <w:tc>
          <w:tcPr>
            <w:tcW w:w="877" w:type="dxa"/>
          </w:tcPr>
          <w:p>
            <w:pPr>
              <w:jc w:val="center"/>
              <w:rPr>
                <w:rFonts w:hint="default" w:ascii="宋体" w:hAnsi="宋体" w:eastAsia="宋体" w:cs="Times New Roman"/>
                <w:bCs/>
                <w:color w:val="auto"/>
                <w:kern w:val="2"/>
                <w:sz w:val="21"/>
                <w:szCs w:val="21"/>
                <w:lang w:val="en-US" w:eastAsia="zh-CN" w:bidi="ar-SA"/>
              </w:rPr>
            </w:pPr>
          </w:p>
        </w:tc>
        <w:tc>
          <w:tcPr>
            <w:tcW w:w="585" w:type="dxa"/>
            <w:vMerge w:val="restart"/>
          </w:tcPr>
          <w:p>
            <w:pPr>
              <w:jc w:val="center"/>
              <w:rPr>
                <w:rFonts w:hint="eastAsia" w:ascii="宋体" w:hAnsi="宋体" w:eastAsia="宋体" w:cs="Times New Roman"/>
                <w:bCs/>
                <w:color w:val="auto"/>
                <w:kern w:val="2"/>
                <w:sz w:val="21"/>
                <w:szCs w:val="21"/>
                <w:lang w:val="en-US" w:eastAsia="zh-CN" w:bidi="ar-SA"/>
              </w:rPr>
            </w:pPr>
          </w:p>
          <w:p>
            <w:pPr>
              <w:jc w:val="center"/>
              <w:rPr>
                <w:rFonts w:hint="eastAsia" w:ascii="宋体" w:hAnsi="宋体" w:eastAsia="宋体" w:cs="Times New Roman"/>
                <w:bCs/>
                <w:color w:val="auto"/>
                <w:kern w:val="2"/>
                <w:sz w:val="21"/>
                <w:szCs w:val="21"/>
                <w:lang w:val="en-US" w:eastAsia="zh-CN" w:bidi="ar-SA"/>
              </w:rPr>
            </w:pPr>
          </w:p>
          <w:p>
            <w:pPr>
              <w:jc w:val="both"/>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按实际需求量</w:t>
            </w:r>
          </w:p>
        </w:tc>
        <w:tc>
          <w:tcPr>
            <w:tcW w:w="4466" w:type="dxa"/>
            <w:vAlign w:val="top"/>
          </w:tcPr>
          <w:p>
            <w:pPr>
              <w:jc w:val="left"/>
              <w:rPr>
                <w:rFonts w:hint="eastAsia" w:ascii="宋体" w:hAnsi="宋体" w:eastAsia="宋体" w:cs="Times New Roman"/>
                <w:bCs/>
                <w:color w:val="auto"/>
                <w:kern w:val="2"/>
                <w:sz w:val="21"/>
                <w:szCs w:val="21"/>
                <w:lang w:val="en-US" w:eastAsia="zh-CN" w:bidi="ar-SA"/>
              </w:rPr>
            </w:pPr>
            <w:r>
              <w:rPr>
                <w:rFonts w:hint="eastAsia"/>
                <w:color w:val="FF0000"/>
                <w:sz w:val="24"/>
                <w:szCs w:val="24"/>
                <w:vertAlign w:val="baseline"/>
                <w:lang w:val="en-US" w:eastAsia="zh-CN"/>
              </w:rPr>
              <w:t>价格包括：窗帘布、轨道、挂钩、其余配件材料费</w:t>
            </w:r>
            <w:r>
              <w:rPr>
                <w:rFonts w:hint="eastAsia" w:ascii="宋体" w:hAnsi="宋体" w:cs="宋体"/>
                <w:color w:val="FF0000"/>
                <w:sz w:val="24"/>
                <w:szCs w:val="24"/>
                <w:lang w:val="en-US" w:eastAsia="zh-CN"/>
              </w:rPr>
              <w:t>、运输费、安装人工等费用。</w:t>
            </w:r>
            <w:r>
              <w:rPr>
                <w:rFonts w:hint="eastAsia"/>
                <w:color w:val="FF0000"/>
                <w:sz w:val="24"/>
                <w:szCs w:val="24"/>
                <w:vertAlign w:val="baseline"/>
                <w:lang w:val="en-US" w:eastAsia="zh-CN"/>
              </w:rPr>
              <w:t>价格以轨道长度为计算单位。帘布宽度为轨道的</w:t>
            </w:r>
            <w:r>
              <w:rPr>
                <w:rFonts w:hint="default" w:ascii="Arial" w:hAnsi="Arial" w:cs="Arial"/>
                <w:color w:val="FF0000"/>
                <w:sz w:val="24"/>
                <w:szCs w:val="24"/>
                <w:vertAlign w:val="baseline"/>
                <w:lang w:val="en-US" w:eastAsia="zh-CN"/>
              </w:rPr>
              <w:t>≥</w:t>
            </w:r>
            <w:r>
              <w:rPr>
                <w:rFonts w:hint="eastAsia"/>
                <w:color w:val="FF0000"/>
                <w:sz w:val="24"/>
                <w:szCs w:val="24"/>
                <w:vertAlign w:val="baseline"/>
                <w:lang w:val="en-US" w:eastAsia="zh-CN"/>
              </w:rPr>
              <w:t>1.8倍，帘布每米4个挂钩；轨道每米8个轮钩。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2</w:t>
            </w:r>
          </w:p>
        </w:tc>
        <w:tc>
          <w:tcPr>
            <w:tcW w:w="1908" w:type="dxa"/>
          </w:tcPr>
          <w:p>
            <w:pPr>
              <w:jc w:val="left"/>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阻燃纺织面料的医用床帘（GB/T 17591-2006 《阻燃织物》B1级）</w:t>
            </w:r>
          </w:p>
        </w:tc>
        <w:tc>
          <w:tcPr>
            <w:tcW w:w="648" w:type="dxa"/>
          </w:tcPr>
          <w:p>
            <w:pPr>
              <w:jc w:val="center"/>
              <w:rPr>
                <w:rFonts w:hint="eastAsia" w:ascii="宋体" w:hAnsi="宋体" w:eastAsia="宋体" w:cs="Times New Roman"/>
                <w:bCs/>
                <w:color w:val="auto"/>
                <w:kern w:val="2"/>
                <w:sz w:val="21"/>
                <w:szCs w:val="21"/>
                <w:lang w:val="en-US" w:eastAsia="zh-CN" w:bidi="ar-SA"/>
              </w:rPr>
            </w:pPr>
          </w:p>
          <w:p>
            <w:pPr>
              <w:jc w:val="center"/>
              <w:rPr>
                <w:rFonts w:hint="eastAsia" w:ascii="宋体" w:hAnsi="宋体" w:eastAsia="宋体" w:cs="Times New Roman"/>
                <w:bCs/>
                <w:color w:val="auto"/>
                <w:kern w:val="2"/>
                <w:sz w:val="21"/>
                <w:szCs w:val="21"/>
                <w:lang w:val="en-US" w:eastAsia="zh-CN" w:bidi="ar-SA"/>
              </w:rPr>
            </w:pPr>
          </w:p>
          <w:p>
            <w:pPr>
              <w:jc w:val="center"/>
              <w:rPr>
                <w:rFonts w:hint="eastAsia" w:ascii="宋体" w:hAnsi="宋体" w:eastAsia="宋体" w:cs="Times New Roman"/>
                <w:bCs/>
                <w:color w:val="auto"/>
                <w:kern w:val="2"/>
                <w:sz w:val="21"/>
                <w:szCs w:val="21"/>
                <w:lang w:val="en-US" w:eastAsia="zh-CN" w:bidi="ar-SA"/>
              </w:rPr>
            </w:pPr>
            <w:r>
              <w:rPr>
                <w:rFonts w:hint="eastAsia" w:ascii="宋体" w:hAnsi="宋体" w:eastAsia="宋体" w:cs="Times New Roman"/>
                <w:bCs/>
                <w:color w:val="auto"/>
                <w:kern w:val="2"/>
                <w:sz w:val="21"/>
                <w:szCs w:val="21"/>
                <w:lang w:val="en-US" w:eastAsia="zh-CN" w:bidi="ar-SA"/>
              </w:rPr>
              <w:t>米</w:t>
            </w:r>
          </w:p>
        </w:tc>
        <w:tc>
          <w:tcPr>
            <w:tcW w:w="877" w:type="dxa"/>
          </w:tcPr>
          <w:p>
            <w:pPr>
              <w:jc w:val="center"/>
              <w:rPr>
                <w:rFonts w:hint="default" w:ascii="宋体" w:hAnsi="宋体" w:eastAsia="宋体" w:cs="Times New Roman"/>
                <w:bCs/>
                <w:color w:val="auto"/>
                <w:kern w:val="2"/>
                <w:sz w:val="21"/>
                <w:szCs w:val="21"/>
                <w:lang w:val="en-US" w:eastAsia="zh-CN" w:bidi="ar-SA"/>
              </w:rPr>
            </w:pPr>
          </w:p>
        </w:tc>
        <w:tc>
          <w:tcPr>
            <w:tcW w:w="585" w:type="dxa"/>
            <w:vMerge w:val="continue"/>
          </w:tcPr>
          <w:p>
            <w:pPr>
              <w:jc w:val="center"/>
              <w:rPr>
                <w:rFonts w:hint="eastAsia" w:ascii="宋体" w:hAnsi="宋体" w:eastAsia="宋体" w:cs="Times New Roman"/>
                <w:bCs/>
                <w:color w:val="auto"/>
                <w:kern w:val="2"/>
                <w:sz w:val="21"/>
                <w:szCs w:val="21"/>
                <w:lang w:val="en-US" w:eastAsia="zh-CN" w:bidi="ar-SA"/>
              </w:rPr>
            </w:pPr>
          </w:p>
        </w:tc>
        <w:tc>
          <w:tcPr>
            <w:tcW w:w="4466" w:type="dxa"/>
            <w:vAlign w:val="top"/>
          </w:tcPr>
          <w:p>
            <w:pPr>
              <w:jc w:val="left"/>
              <w:rPr>
                <w:rFonts w:hint="eastAsia" w:ascii="宋体" w:hAnsi="宋体" w:eastAsia="宋体" w:cs="Times New Roman"/>
                <w:bCs/>
                <w:color w:val="auto"/>
                <w:kern w:val="2"/>
                <w:sz w:val="21"/>
                <w:szCs w:val="21"/>
                <w:lang w:val="en-US" w:eastAsia="zh-CN" w:bidi="ar-SA"/>
              </w:rPr>
            </w:pPr>
            <w:r>
              <w:rPr>
                <w:rFonts w:hint="eastAsia"/>
                <w:color w:val="FF0000"/>
                <w:sz w:val="24"/>
                <w:szCs w:val="24"/>
                <w:vertAlign w:val="baseline"/>
                <w:lang w:val="en-US" w:eastAsia="zh-CN"/>
              </w:rPr>
              <w:t>价格包括：医用床帘布、轨道、挂钩、其余配件材料费</w:t>
            </w:r>
            <w:r>
              <w:rPr>
                <w:rFonts w:hint="eastAsia" w:ascii="宋体" w:hAnsi="宋体" w:cs="宋体"/>
                <w:color w:val="FF0000"/>
                <w:sz w:val="24"/>
                <w:szCs w:val="24"/>
                <w:lang w:val="en-US" w:eastAsia="zh-CN"/>
              </w:rPr>
              <w:t>、运输费、安装人工等费用。</w:t>
            </w:r>
            <w:r>
              <w:rPr>
                <w:rFonts w:hint="eastAsia"/>
                <w:color w:val="FF0000"/>
                <w:sz w:val="24"/>
                <w:szCs w:val="24"/>
                <w:vertAlign w:val="baseline"/>
                <w:lang w:val="en-US" w:eastAsia="zh-CN"/>
              </w:rPr>
              <w:t>价格以轨道长度为计算单位。帘布宽度为轨道的</w:t>
            </w:r>
            <w:r>
              <w:rPr>
                <w:rFonts w:hint="default" w:ascii="Arial" w:hAnsi="Arial" w:cs="Arial"/>
                <w:color w:val="FF0000"/>
                <w:sz w:val="24"/>
                <w:szCs w:val="24"/>
                <w:vertAlign w:val="baseline"/>
                <w:lang w:val="en-US" w:eastAsia="zh-CN"/>
              </w:rPr>
              <w:t>≥</w:t>
            </w:r>
            <w:r>
              <w:rPr>
                <w:rFonts w:hint="eastAsia"/>
                <w:color w:val="FF0000"/>
                <w:sz w:val="24"/>
                <w:szCs w:val="24"/>
                <w:vertAlign w:val="baseline"/>
                <w:lang w:val="en-US" w:eastAsia="zh-CN"/>
              </w:rPr>
              <w:t>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top"/>
          </w:tcPr>
          <w:p>
            <w:pPr>
              <w:jc w:val="center"/>
              <w:rPr>
                <w:rFonts w:hint="eastAsia" w:ascii="宋体" w:hAnsi="宋体" w:eastAsia="宋体" w:cs="Times New Roman"/>
                <w:bCs/>
                <w:color w:val="auto"/>
                <w:kern w:val="2"/>
                <w:sz w:val="21"/>
                <w:szCs w:val="21"/>
                <w:lang w:val="en-US" w:eastAsia="zh-CN" w:bidi="ar-SA"/>
              </w:rPr>
            </w:pPr>
            <w:r>
              <w:rPr>
                <w:rFonts w:hint="eastAsia"/>
                <w:sz w:val="24"/>
                <w:szCs w:val="24"/>
                <w:vertAlign w:val="baseline"/>
                <w:lang w:val="en-US" w:eastAsia="zh-CN"/>
              </w:rPr>
              <w:t>3</w:t>
            </w:r>
          </w:p>
        </w:tc>
        <w:tc>
          <w:tcPr>
            <w:tcW w:w="1908" w:type="dxa"/>
            <w:vAlign w:val="top"/>
          </w:tcPr>
          <w:p>
            <w:pPr>
              <w:jc w:val="center"/>
              <w:rPr>
                <w:rFonts w:hint="eastAsia" w:ascii="宋体" w:hAnsi="宋体" w:eastAsia="宋体" w:cs="Times New Roman"/>
                <w:bCs/>
                <w:color w:val="auto"/>
                <w:kern w:val="2"/>
                <w:sz w:val="21"/>
                <w:szCs w:val="21"/>
                <w:lang w:val="en-US" w:eastAsia="zh-CN" w:bidi="ar-SA"/>
              </w:rPr>
            </w:pPr>
            <w:r>
              <w:rPr>
                <w:rFonts w:hint="eastAsia"/>
                <w:sz w:val="24"/>
                <w:szCs w:val="24"/>
                <w:vertAlign w:val="baseline"/>
                <w:lang w:val="en-US" w:eastAsia="zh-CN"/>
              </w:rPr>
              <w:t>窗、床帘轨道拆改位置</w:t>
            </w:r>
          </w:p>
        </w:tc>
        <w:tc>
          <w:tcPr>
            <w:tcW w:w="648" w:type="dxa"/>
            <w:vAlign w:val="top"/>
          </w:tcPr>
          <w:p>
            <w:pPr>
              <w:jc w:val="center"/>
              <w:rPr>
                <w:rFonts w:hint="eastAsia" w:ascii="宋体" w:hAnsi="宋体" w:eastAsia="宋体" w:cs="Times New Roman"/>
                <w:bCs/>
                <w:color w:val="auto"/>
                <w:kern w:val="2"/>
                <w:sz w:val="21"/>
                <w:szCs w:val="21"/>
                <w:lang w:val="en-US" w:eastAsia="zh-CN" w:bidi="ar-SA"/>
              </w:rPr>
            </w:pPr>
            <w:r>
              <w:rPr>
                <w:rFonts w:hint="eastAsia"/>
                <w:sz w:val="24"/>
                <w:szCs w:val="24"/>
                <w:vertAlign w:val="baseline"/>
                <w:lang w:val="en-US" w:eastAsia="zh-CN"/>
              </w:rPr>
              <w:t>条</w:t>
            </w:r>
          </w:p>
        </w:tc>
        <w:tc>
          <w:tcPr>
            <w:tcW w:w="877" w:type="dxa"/>
            <w:vAlign w:val="top"/>
          </w:tcPr>
          <w:p>
            <w:pPr>
              <w:jc w:val="center"/>
              <w:rPr>
                <w:rFonts w:hint="default" w:ascii="宋体" w:hAnsi="宋体" w:eastAsia="宋体" w:cs="Times New Roman"/>
                <w:bCs/>
                <w:color w:val="auto"/>
                <w:kern w:val="2"/>
                <w:sz w:val="21"/>
                <w:szCs w:val="21"/>
                <w:lang w:val="en-US" w:eastAsia="zh-CN" w:bidi="ar-SA"/>
              </w:rPr>
            </w:pPr>
          </w:p>
        </w:tc>
        <w:tc>
          <w:tcPr>
            <w:tcW w:w="585" w:type="dxa"/>
            <w:vMerge w:val="continue"/>
          </w:tcPr>
          <w:p>
            <w:pPr>
              <w:jc w:val="center"/>
              <w:rPr>
                <w:rFonts w:hint="eastAsia" w:ascii="宋体" w:hAnsi="宋体" w:eastAsia="宋体" w:cs="Times New Roman"/>
                <w:bCs/>
                <w:color w:val="auto"/>
                <w:kern w:val="2"/>
                <w:sz w:val="21"/>
                <w:szCs w:val="21"/>
                <w:lang w:val="en-US" w:eastAsia="zh-CN" w:bidi="ar-SA"/>
              </w:rPr>
            </w:pPr>
          </w:p>
        </w:tc>
        <w:tc>
          <w:tcPr>
            <w:tcW w:w="4466" w:type="dxa"/>
            <w:vAlign w:val="top"/>
          </w:tcPr>
          <w:p>
            <w:pPr>
              <w:jc w:val="left"/>
              <w:rPr>
                <w:rFonts w:hint="eastAsia" w:ascii="宋体" w:hAnsi="宋体" w:eastAsia="宋体" w:cs="Times New Roman"/>
                <w:bCs/>
                <w:color w:val="auto"/>
                <w:kern w:val="2"/>
                <w:sz w:val="21"/>
                <w:szCs w:val="21"/>
                <w:lang w:val="en-US" w:eastAsia="zh-CN" w:bidi="ar-SA"/>
              </w:rPr>
            </w:pPr>
            <w:r>
              <w:rPr>
                <w:rFonts w:hint="eastAsia"/>
                <w:color w:val="FF0000"/>
                <w:sz w:val="24"/>
                <w:szCs w:val="24"/>
                <w:vertAlign w:val="baseline"/>
                <w:lang w:val="en-US" w:eastAsia="zh-CN"/>
              </w:rPr>
              <w:t>以条为单位计算，长度</w:t>
            </w:r>
            <w:r>
              <w:rPr>
                <w:rFonts w:hint="default" w:ascii="Arial" w:hAnsi="Arial" w:cs="Arial"/>
                <w:color w:val="FF0000"/>
                <w:sz w:val="24"/>
                <w:szCs w:val="24"/>
                <w:vertAlign w:val="baseline"/>
                <w:lang w:val="en-US" w:eastAsia="zh-CN"/>
              </w:rPr>
              <w:t>≤</w:t>
            </w:r>
            <w:r>
              <w:rPr>
                <w:rFonts w:hint="eastAsia"/>
                <w:color w:val="FF0000"/>
                <w:sz w:val="24"/>
                <w:szCs w:val="24"/>
                <w:vertAlign w:val="baseline"/>
                <w:lang w:val="en-US" w:eastAsia="zh-CN"/>
              </w:rPr>
              <w:t>5米。价格包括材料费及人工费。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left"/>
        <w:textAlignment w:val="auto"/>
        <w:outlineLvl w:val="9"/>
        <w:rPr>
          <w:rFonts w:ascii="宋体" w:hAnsi="宋体" w:cs="宋体"/>
          <w:b/>
          <w:bCs/>
          <w:sz w:val="28"/>
          <w:szCs w:val="28"/>
        </w:rPr>
      </w:pPr>
    </w:p>
    <w:p>
      <w:pPr>
        <w:pStyle w:val="10"/>
        <w:ind w:firstLine="315" w:firstLineChars="150"/>
        <w:rPr>
          <w:rFonts w:hint="default" w:ascii="宋体" w:hAnsi="宋体" w:eastAsia="宋体" w:cs="Times New Roman"/>
          <w:bCs/>
          <w:color w:val="FF0000"/>
          <w:kern w:val="2"/>
          <w:sz w:val="21"/>
          <w:szCs w:val="21"/>
          <w:lang w:val="en-US" w:eastAsia="zh-CN"/>
        </w:rPr>
      </w:pPr>
      <w:r>
        <w:rPr>
          <w:rFonts w:hint="eastAsia" w:ascii="宋体" w:hAnsi="宋体" w:cs="Times New Roman"/>
          <w:bCs/>
          <w:color w:val="auto"/>
          <w:kern w:val="2"/>
          <w:sz w:val="21"/>
          <w:szCs w:val="21"/>
        </w:rPr>
        <w:t>备注：</w:t>
      </w:r>
      <w:r>
        <w:rPr>
          <w:rFonts w:hint="eastAsia" w:ascii="宋体" w:hAnsi="宋体" w:cs="Times New Roman"/>
          <w:bCs/>
          <w:color w:val="auto"/>
          <w:kern w:val="2"/>
          <w:sz w:val="21"/>
          <w:szCs w:val="21"/>
          <w:lang w:val="en-US" w:eastAsia="zh-CN"/>
        </w:rPr>
        <w:t>1.</w:t>
      </w:r>
      <w:r>
        <w:rPr>
          <w:rFonts w:hint="eastAsia" w:ascii="宋体" w:hAnsi="宋体" w:cs="Times New Roman"/>
          <w:bCs/>
          <w:color w:val="auto"/>
          <w:kern w:val="2"/>
          <w:sz w:val="21"/>
          <w:szCs w:val="21"/>
        </w:rPr>
        <w:t>本合同约定的货物单价已包含购买货物及售后服务所发生的全部费用，包括但不限于运输费、保险费、保管费、装卸费、安装费、售后服务费用、税费等。货物单价在本合同履行过程中保持不变，经甲乙双方协商一致以书面形式予以变更的除外。</w:t>
      </w:r>
      <w:r>
        <w:rPr>
          <w:rFonts w:hint="eastAsia" w:ascii="宋体" w:hAnsi="宋体" w:cs="Times New Roman"/>
          <w:bCs/>
          <w:color w:val="auto"/>
          <w:kern w:val="2"/>
          <w:sz w:val="21"/>
          <w:szCs w:val="21"/>
          <w:lang w:val="en-US" w:eastAsia="zh-CN"/>
        </w:rPr>
        <w:t>2.本合同限价10万元，如在服务期限内用完10万元，合同即自动终止。</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第二条　质量要求</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1.乙方所提供的产品名称、商标品牌、生产厂家、规格型号、技术参数等质量必须与招标文件规定及投标文件承诺相一致。</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rPr>
        <w:t>2.乙方所提供的货物必须是全新、未使用的原装产品，且在正常安装、使用和保养条件下，其使用寿命期内各项指标均达到招标文件规定或者投标文件承诺的质量要求。</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第三条　权利保证</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1.乙方应保证所提供货物在使用时不会侵犯任何第三方的专利权、商标权、工业设计权或者其他权利。</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2.乙方应按招标文件规定或者投标文件承诺的时间向甲方提供使用货物的有关技术资料。</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pPr>
        <w:snapToGrid w:val="0"/>
        <w:spacing w:line="360" w:lineRule="auto"/>
        <w:ind w:firstLine="420" w:firstLineChars="200"/>
        <w:rPr>
          <w:rFonts w:ascii="宋体" w:hAnsi="宋体"/>
          <w:color w:val="000000"/>
          <w:szCs w:val="21"/>
        </w:rPr>
      </w:pPr>
      <w:r>
        <w:rPr>
          <w:rFonts w:hint="eastAsia" w:ascii="宋体" w:hAnsi="宋体"/>
          <w:color w:val="000000"/>
          <w:szCs w:val="21"/>
        </w:rPr>
        <w:t>4.乙方保证将要交付的货物的所有权完全属于乙方且无任何抵押、质押、查封等产权瑕疵。</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第四条　包装和运输</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1.乙方提供的货物均应按招标文件规定或者投标文件承诺的要求的包装材料、包装标准、包装方式进行包装，每一包装单元内应附详细的装箱单和质量合格证。</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2.如因乙方窗帘、床帘本身存在制造或设计缺陷，或因安装工作不当或错误安装导致的脱落并造成人员伤害。乙方需承担全部责任。</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第五条　交付和验收</w:t>
      </w:r>
    </w:p>
    <w:p>
      <w:pPr>
        <w:snapToGrid w:val="0"/>
        <w:spacing w:line="360" w:lineRule="auto"/>
        <w:ind w:firstLine="420" w:firstLineChars="200"/>
        <w:rPr>
          <w:rFonts w:hint="eastAsia" w:ascii="宋体" w:hAnsi="宋体"/>
          <w:color w:val="000000"/>
          <w:szCs w:val="21"/>
          <w:lang w:eastAsia="zh-CN"/>
        </w:rPr>
      </w:pPr>
      <w:r>
        <w:rPr>
          <w:rFonts w:hint="eastAsia" w:ascii="宋体" w:hAnsi="宋体"/>
          <w:color w:val="000000"/>
          <w:szCs w:val="21"/>
        </w:rPr>
        <w:t>1.交付时间：采购人发出采购指令后15天内；交付地点：</w:t>
      </w:r>
      <w:r>
        <w:rPr>
          <w:rFonts w:hint="eastAsia" w:ascii="宋体" w:hAnsi="宋体"/>
          <w:color w:val="000000"/>
          <w:szCs w:val="21"/>
          <w:lang w:eastAsia="zh-CN"/>
        </w:rPr>
        <w:t>广西壮族自治区桂东人民医院</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2.乙方提供不符合招标文件规定或者投标文件承诺的和本合同规定的货物，甲方有权拒绝接受。</w:t>
      </w:r>
    </w:p>
    <w:p>
      <w:pPr>
        <w:tabs>
          <w:tab w:val="left" w:pos="425"/>
        </w:tabs>
        <w:spacing w:line="420" w:lineRule="exact"/>
        <w:ind w:firstLine="420" w:firstLineChars="200"/>
        <w:rPr>
          <w:rFonts w:ascii="宋体" w:hAnsi="宋体"/>
          <w:color w:val="000000"/>
          <w:szCs w:val="21"/>
        </w:rPr>
      </w:pPr>
      <w:r>
        <w:rPr>
          <w:rFonts w:hint="eastAsia" w:ascii="宋体" w:hAnsi="宋体"/>
          <w:color w:val="000000"/>
          <w:szCs w:val="21"/>
        </w:rPr>
        <w:t>3.</w:t>
      </w:r>
      <w:r>
        <w:rPr>
          <w:rFonts w:hint="eastAsia" w:ascii="宋体" w:hAnsi="宋体"/>
          <w:color w:val="000000"/>
          <w:szCs w:val="21"/>
          <w:lang w:eastAsia="zh-CN"/>
        </w:rPr>
        <w:t>甲方</w:t>
      </w:r>
      <w:r>
        <w:rPr>
          <w:rFonts w:hint="eastAsia" w:ascii="宋体" w:hAnsi="宋体"/>
          <w:color w:val="000000"/>
          <w:szCs w:val="21"/>
        </w:rPr>
        <w:t>验收时如有质量或数量问题应</w:t>
      </w:r>
      <w:r>
        <w:rPr>
          <w:rFonts w:hint="eastAsia" w:ascii="宋体" w:hAnsi="宋体"/>
          <w:color w:val="000000"/>
          <w:szCs w:val="21"/>
          <w:lang w:eastAsia="zh-CN"/>
        </w:rPr>
        <w:t>在</w:t>
      </w:r>
      <w:r>
        <w:rPr>
          <w:rFonts w:hint="eastAsia" w:ascii="宋体" w:hAnsi="宋体"/>
          <w:color w:val="000000"/>
          <w:szCs w:val="21"/>
          <w:lang w:val="en-US" w:eastAsia="zh-CN"/>
        </w:rPr>
        <w:t>7天内</w:t>
      </w:r>
      <w:r>
        <w:rPr>
          <w:rFonts w:hint="eastAsia" w:ascii="宋体" w:hAnsi="宋体"/>
          <w:color w:val="000000"/>
          <w:szCs w:val="21"/>
        </w:rPr>
        <w:t>书面通知乙方，乙方可予以调换，但因此所产生的费用均由乙方承担。若乙方不能满足甲方要求的，甲方可以解除合同，停止向乙方采购。</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第六条　付款方式</w:t>
      </w:r>
    </w:p>
    <w:p>
      <w:pPr>
        <w:keepNext w:val="0"/>
        <w:keepLines w:val="0"/>
        <w:widowControl/>
        <w:suppressLineNumbers w:val="0"/>
        <w:jc w:val="left"/>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经验收合格后，乙方开具全额发票给甲方，甲方自收到发票之日起30日内支付发票金额的90%，12个月后支付合同总金额的10%（不计利息）。如验收不合格以及发现伪劣产品等，招标人将视情形采取退货、拒付款、终止合同、索赔等措施，直至通过有关部门，依法维权。</w:t>
      </w:r>
    </w:p>
    <w:p>
      <w:pPr>
        <w:spacing w:line="420" w:lineRule="exact"/>
        <w:ind w:firstLine="413" w:firstLineChars="196"/>
        <w:rPr>
          <w:rFonts w:asciiTheme="minorEastAsia" w:hAnsiTheme="minorEastAsia" w:eastAsiaTheme="minorEastAsia"/>
          <w:color w:val="FF0000"/>
          <w:szCs w:val="21"/>
        </w:rPr>
      </w:pPr>
      <w:r>
        <w:rPr>
          <w:rFonts w:hint="eastAsia" w:ascii="宋体" w:hAnsi="宋体"/>
          <w:b/>
          <w:color w:val="000000"/>
          <w:szCs w:val="21"/>
        </w:rPr>
        <w:t xml:space="preserve">第七条   </w:t>
      </w:r>
      <w:r>
        <w:rPr>
          <w:rFonts w:hint="eastAsia" w:cs="宋体" w:asciiTheme="minorEastAsia" w:hAnsiTheme="minorEastAsia" w:eastAsiaTheme="minorEastAsia"/>
          <w:b/>
          <w:szCs w:val="21"/>
        </w:rPr>
        <w:t>服务时</w:t>
      </w:r>
      <w:r>
        <w:rPr>
          <w:rFonts w:hint="eastAsia" w:cs="宋体" w:asciiTheme="minorEastAsia" w:hAnsiTheme="minorEastAsia" w:eastAsiaTheme="minorEastAsia"/>
          <w:b/>
          <w:color w:val="auto"/>
          <w:szCs w:val="21"/>
        </w:rPr>
        <w:t>间</w:t>
      </w:r>
      <w:r>
        <w:rPr>
          <w:rFonts w:hint="eastAsia" w:asciiTheme="minorEastAsia" w:hAnsiTheme="minorEastAsia" w:eastAsiaTheme="minorEastAsia"/>
          <w:color w:val="auto"/>
          <w:szCs w:val="21"/>
        </w:rPr>
        <w:t>：2023年8 月   日至2024年 7 月   日</w:t>
      </w:r>
    </w:p>
    <w:p>
      <w:pPr>
        <w:snapToGrid w:val="0"/>
        <w:spacing w:line="360" w:lineRule="auto"/>
        <w:ind w:left="-61" w:firstLine="514"/>
        <w:rPr>
          <w:rFonts w:ascii="宋体" w:hAnsi="宋体"/>
          <w:b/>
          <w:color w:val="000000"/>
          <w:szCs w:val="21"/>
        </w:rPr>
      </w:pPr>
      <w:r>
        <w:rPr>
          <w:rFonts w:hint="eastAsia" w:ascii="宋体" w:hAnsi="宋体"/>
          <w:b/>
          <w:color w:val="000000"/>
          <w:szCs w:val="21"/>
        </w:rPr>
        <w:t>第八条  税费</w:t>
      </w:r>
    </w:p>
    <w:p>
      <w:pPr>
        <w:snapToGrid w:val="0"/>
        <w:spacing w:line="360" w:lineRule="auto"/>
        <w:ind w:left="-61" w:firstLine="514"/>
        <w:rPr>
          <w:rFonts w:ascii="宋体" w:hAnsi="宋体"/>
          <w:color w:val="000000"/>
          <w:szCs w:val="21"/>
        </w:rPr>
      </w:pPr>
      <w:r>
        <w:rPr>
          <w:rFonts w:hint="eastAsia" w:ascii="宋体" w:hAnsi="宋体"/>
          <w:color w:val="000000"/>
          <w:szCs w:val="21"/>
        </w:rPr>
        <w:t>本合同执行中相关的一切税费均由乙方负担，合同另有约定的除外。</w:t>
      </w:r>
    </w:p>
    <w:p>
      <w:pPr>
        <w:snapToGrid w:val="0"/>
        <w:spacing w:line="360" w:lineRule="auto"/>
        <w:ind w:left="-61" w:firstLine="514"/>
        <w:rPr>
          <w:rFonts w:ascii="宋体" w:hAnsi="宋体"/>
          <w:color w:val="000000"/>
          <w:szCs w:val="21"/>
        </w:rPr>
      </w:pPr>
      <w:r>
        <w:rPr>
          <w:rFonts w:hint="eastAsia" w:ascii="宋体" w:hAnsi="宋体"/>
          <w:b/>
          <w:color w:val="000000"/>
          <w:szCs w:val="21"/>
        </w:rPr>
        <w:t>第九条  质量保证及售后服务</w:t>
      </w:r>
    </w:p>
    <w:p>
      <w:pPr>
        <w:pStyle w:val="5"/>
        <w:snapToGrid w:val="0"/>
        <w:spacing w:line="360" w:lineRule="auto"/>
        <w:ind w:firstLine="420" w:firstLineChars="200"/>
        <w:rPr>
          <w:rFonts w:hAnsi="宋体"/>
          <w:color w:val="000000"/>
          <w:sz w:val="21"/>
        </w:rPr>
      </w:pPr>
      <w:r>
        <w:rPr>
          <w:rFonts w:hint="eastAsia" w:hAnsi="宋体"/>
          <w:bCs/>
          <w:color w:val="000000"/>
          <w:sz w:val="21"/>
        </w:rPr>
        <w:t>1.</w:t>
      </w:r>
      <w:r>
        <w:rPr>
          <w:rFonts w:hint="eastAsia" w:hAnsi="宋体"/>
          <w:color w:val="000000"/>
          <w:sz w:val="21"/>
        </w:rPr>
        <w:t>乙方应按招标文件规定的产品名称、商标品牌、生产厂家、规格型号、技术参数、质量标准向甲方提供未经使用的全新产品。不符合要求的，根据实际情况，经双方协商，可按以下办法处理：</w:t>
      </w:r>
    </w:p>
    <w:p>
      <w:pPr>
        <w:pStyle w:val="5"/>
        <w:snapToGrid w:val="0"/>
        <w:spacing w:line="360" w:lineRule="auto"/>
        <w:ind w:firstLine="420" w:firstLineChars="200"/>
        <w:rPr>
          <w:rFonts w:hAnsi="宋体"/>
          <w:color w:val="000000"/>
          <w:sz w:val="21"/>
        </w:rPr>
      </w:pPr>
      <w:r>
        <w:rPr>
          <w:rFonts w:hint="eastAsia" w:hAnsi="宋体"/>
          <w:color w:val="000000"/>
          <w:sz w:val="21"/>
        </w:rPr>
        <w:t>⑴更换：由乙方承担所发生的全部费用。</w:t>
      </w:r>
    </w:p>
    <w:p>
      <w:pPr>
        <w:pStyle w:val="5"/>
        <w:snapToGrid w:val="0"/>
        <w:spacing w:line="360" w:lineRule="auto"/>
        <w:ind w:firstLine="420"/>
        <w:rPr>
          <w:rFonts w:hAnsi="宋体"/>
          <w:color w:val="000000"/>
          <w:sz w:val="21"/>
        </w:rPr>
      </w:pPr>
      <w:r>
        <w:rPr>
          <w:rFonts w:hint="eastAsia" w:hAnsi="宋体"/>
          <w:color w:val="000000"/>
          <w:sz w:val="21"/>
        </w:rPr>
        <w:t>⑵贬值处理：由甲乙双方合议定价。</w:t>
      </w:r>
    </w:p>
    <w:p>
      <w:pPr>
        <w:pStyle w:val="5"/>
        <w:snapToGrid w:val="0"/>
        <w:spacing w:line="360" w:lineRule="auto"/>
        <w:ind w:left="420" w:leftChars="200"/>
        <w:rPr>
          <w:rFonts w:hAnsi="宋体"/>
          <w:color w:val="000000"/>
          <w:sz w:val="21"/>
        </w:rPr>
      </w:pPr>
      <w:r>
        <w:rPr>
          <w:rFonts w:hint="eastAsia" w:hAnsi="宋体"/>
          <w:color w:val="000000"/>
          <w:sz w:val="21"/>
        </w:rPr>
        <w:t>⑶退货处理：乙方应退还甲方支付的合同款，同时应承担该货物的直接费用（运输、保险、检验、货款利息及银行手续费等）。</w:t>
      </w:r>
    </w:p>
    <w:p>
      <w:pPr>
        <w:pStyle w:val="5"/>
        <w:snapToGrid w:val="0"/>
        <w:spacing w:line="360" w:lineRule="auto"/>
        <w:ind w:firstLine="420" w:firstLineChars="200"/>
        <w:rPr>
          <w:rFonts w:hAnsi="宋体"/>
          <w:color w:val="000000"/>
          <w:sz w:val="21"/>
        </w:rPr>
      </w:pPr>
      <w:r>
        <w:rPr>
          <w:rFonts w:hint="eastAsia" w:hAnsi="宋体"/>
          <w:color w:val="000000"/>
          <w:sz w:val="21"/>
        </w:rPr>
        <w:t>2.如在使用过程中发生质量</w:t>
      </w:r>
      <w:r>
        <w:rPr>
          <w:rFonts w:hint="eastAsia" w:hAnsi="宋体"/>
          <w:color w:val="000000"/>
          <w:sz w:val="21"/>
          <w:lang w:eastAsia="zh-CN"/>
        </w:rPr>
        <w:t>和故障</w:t>
      </w:r>
      <w:r>
        <w:rPr>
          <w:rFonts w:hint="eastAsia" w:hAnsi="宋体"/>
          <w:color w:val="000000"/>
          <w:sz w:val="21"/>
        </w:rPr>
        <w:t>问题等，乙方在接到甲方通知后1小时内派人到达现场处理。</w:t>
      </w:r>
    </w:p>
    <w:p>
      <w:pPr>
        <w:pStyle w:val="5"/>
        <w:snapToGrid w:val="0"/>
        <w:spacing w:line="360" w:lineRule="auto"/>
        <w:ind w:firstLine="420" w:firstLineChars="200"/>
        <w:rPr>
          <w:rFonts w:hAnsi="宋体"/>
          <w:color w:val="000000"/>
          <w:sz w:val="21"/>
        </w:rPr>
      </w:pPr>
      <w:r>
        <w:rPr>
          <w:rFonts w:hint="eastAsia" w:hAnsi="宋体"/>
          <w:color w:val="000000"/>
          <w:sz w:val="21"/>
        </w:rPr>
        <w:t>3.在质保期内，乙方应对货物出现的质量及安全问题负责处理解决并承担一切费用。</w:t>
      </w:r>
    </w:p>
    <w:p>
      <w:pPr>
        <w:ind w:firstLine="420" w:firstLineChars="200"/>
        <w:jc w:val="left"/>
        <w:rPr>
          <w:rFonts w:ascii="宋体" w:hAnsi="宋体"/>
          <w:color w:val="auto"/>
          <w:szCs w:val="21"/>
        </w:rPr>
      </w:pPr>
      <w:r>
        <w:rPr>
          <w:rFonts w:hint="eastAsia" w:ascii="宋体" w:hAnsi="宋体"/>
          <w:color w:val="auto"/>
          <w:szCs w:val="21"/>
        </w:rPr>
        <w:t>4.甲方从乙方订购的</w:t>
      </w:r>
      <w:r>
        <w:rPr>
          <w:rFonts w:hint="eastAsia" w:ascii="宋体" w:hAnsi="宋体" w:cs="宋体"/>
          <w:color w:val="auto"/>
          <w:szCs w:val="21"/>
        </w:rPr>
        <w:t>窗帘、床帘</w:t>
      </w:r>
      <w:r>
        <w:rPr>
          <w:rFonts w:hint="eastAsia" w:ascii="宋体" w:hAnsi="宋体"/>
          <w:color w:val="auto"/>
          <w:szCs w:val="21"/>
        </w:rPr>
        <w:t>保质期</w:t>
      </w:r>
      <w:r>
        <w:rPr>
          <w:rFonts w:hint="eastAsia"/>
          <w:color w:val="auto"/>
          <w:lang w:val="en-US" w:eastAsia="zh-CN"/>
        </w:rPr>
        <w:t>3</w:t>
      </w:r>
      <w:r>
        <w:rPr>
          <w:rFonts w:hint="eastAsia" w:ascii="宋体" w:hAnsi="宋体"/>
          <w:color w:val="auto"/>
          <w:szCs w:val="21"/>
        </w:rPr>
        <w:t>年，</w:t>
      </w:r>
      <w:r>
        <w:rPr>
          <w:rFonts w:hint="eastAsia"/>
          <w:color w:val="auto"/>
        </w:rPr>
        <w:t>免费保修不少于</w:t>
      </w:r>
      <w:r>
        <w:rPr>
          <w:rFonts w:hint="eastAsia"/>
          <w:color w:val="auto"/>
          <w:lang w:val="en-US" w:eastAsia="zh-CN"/>
        </w:rPr>
        <w:t>3</w:t>
      </w:r>
      <w:r>
        <w:rPr>
          <w:rFonts w:hint="eastAsia"/>
          <w:color w:val="auto"/>
        </w:rPr>
        <w:t>年。</w:t>
      </w:r>
      <w:r>
        <w:rPr>
          <w:rFonts w:hint="eastAsia" w:ascii="宋体" w:hAnsi="宋体"/>
          <w:color w:val="auto"/>
          <w:szCs w:val="21"/>
        </w:rPr>
        <w:t>保质期内如出现破烂、开线等现象的，乙方免费更换同款式同数量的给甲方；人为因素造成的损坏由甲方负责。</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第十条  调试和验收（本条款适用于甲方自行验收，委托第三方验收的另行规定）</w:t>
      </w:r>
    </w:p>
    <w:p>
      <w:pPr>
        <w:pStyle w:val="5"/>
        <w:snapToGrid w:val="0"/>
        <w:spacing w:line="360" w:lineRule="auto"/>
        <w:ind w:firstLine="420" w:firstLineChars="200"/>
        <w:jc w:val="left"/>
        <w:rPr>
          <w:rFonts w:hAnsi="宋体"/>
          <w:color w:val="000000"/>
          <w:sz w:val="21"/>
        </w:rPr>
      </w:pPr>
      <w:r>
        <w:rPr>
          <w:rFonts w:hint="eastAsia" w:hAnsi="宋体"/>
          <w:color w:val="000000"/>
          <w:sz w:val="21"/>
        </w:rPr>
        <w:t>1.甲方对乙方提交的货物依据招标文件上的技术规格要求</w:t>
      </w:r>
      <w:r>
        <w:rPr>
          <w:rFonts w:hint="eastAsia" w:hAnsi="宋体"/>
          <w:color w:val="000000"/>
          <w:sz w:val="21"/>
          <w:lang w:eastAsia="zh-CN"/>
        </w:rPr>
        <w:t>及</w:t>
      </w:r>
      <w:bookmarkStart w:id="0" w:name="_GoBack"/>
      <w:bookmarkEnd w:id="0"/>
      <w:r>
        <w:rPr>
          <w:rFonts w:hint="eastAsia" w:hAnsi="宋体"/>
          <w:color w:val="000000"/>
          <w:sz w:val="21"/>
          <w:lang w:eastAsia="zh-CN"/>
        </w:rPr>
        <w:t>样板</w:t>
      </w:r>
      <w:r>
        <w:rPr>
          <w:rFonts w:hint="eastAsia" w:hAnsi="宋体"/>
          <w:color w:val="000000"/>
          <w:sz w:val="21"/>
        </w:rPr>
        <w:t>和国家有关质量标准进行现场初步验收，外观、说明书符合招标文件技术要求的，给予签收，初步验收不合格的不予签收。货到后，甲方应当在到货（安装、调试完）后七个工作日内进行验收。</w:t>
      </w:r>
    </w:p>
    <w:p>
      <w:pPr>
        <w:pStyle w:val="5"/>
        <w:snapToGrid w:val="0"/>
        <w:spacing w:line="360" w:lineRule="auto"/>
        <w:ind w:firstLine="420" w:firstLineChars="200"/>
        <w:rPr>
          <w:rFonts w:hAnsi="宋体"/>
          <w:color w:val="000000"/>
          <w:sz w:val="21"/>
        </w:rPr>
      </w:pPr>
      <w:r>
        <w:rPr>
          <w:rFonts w:hint="eastAsia" w:hAnsi="宋体"/>
          <w:color w:val="000000"/>
          <w:sz w:val="21"/>
        </w:rPr>
        <w:t>2.乙方交货前应对产品作出全面检查和对验收文件进行整理，并列出清单，作为甲方收货验收和使用的技术条件依据，检验的结果应随货物交甲方。</w:t>
      </w:r>
    </w:p>
    <w:p>
      <w:pPr>
        <w:pStyle w:val="5"/>
        <w:snapToGrid w:val="0"/>
        <w:spacing w:line="360" w:lineRule="auto"/>
        <w:ind w:firstLine="420" w:firstLineChars="200"/>
        <w:rPr>
          <w:rFonts w:hAnsi="宋体"/>
          <w:color w:val="000000"/>
          <w:sz w:val="21"/>
        </w:rPr>
      </w:pPr>
      <w:r>
        <w:rPr>
          <w:rFonts w:hint="eastAsia" w:hAnsi="宋体"/>
          <w:color w:val="000000"/>
          <w:sz w:val="21"/>
        </w:rPr>
        <w:t>3.甲方对乙方提供的货物在使用前进行调试时，乙方需负责安装并培训甲方的使用操作人员，并协助甲方一起调试，直到符合技术要求，甲方才做最终验收。</w:t>
      </w:r>
    </w:p>
    <w:p>
      <w:pPr>
        <w:snapToGrid w:val="0"/>
        <w:spacing w:line="360" w:lineRule="auto"/>
        <w:ind w:left="-61" w:firstLine="514"/>
        <w:rPr>
          <w:rFonts w:ascii="宋体" w:hAnsi="宋体"/>
          <w:color w:val="000000"/>
          <w:szCs w:val="21"/>
        </w:rPr>
      </w:pPr>
      <w:r>
        <w:rPr>
          <w:rFonts w:hint="eastAsia" w:ascii="宋体" w:hAnsi="宋体"/>
          <w:color w:val="000000"/>
          <w:szCs w:val="21"/>
        </w:rPr>
        <w:t>4. 验收时乙方必须在现场，验收完毕后作出验收结果报告；验收费用按招标文件约定承担方负责。</w:t>
      </w:r>
    </w:p>
    <w:p>
      <w:pPr>
        <w:pStyle w:val="5"/>
        <w:snapToGrid w:val="0"/>
        <w:spacing w:line="360" w:lineRule="auto"/>
        <w:ind w:firstLine="413" w:firstLineChars="196"/>
        <w:rPr>
          <w:rFonts w:hAnsi="宋体"/>
          <w:b/>
          <w:color w:val="000000"/>
          <w:sz w:val="21"/>
        </w:rPr>
      </w:pPr>
      <w:r>
        <w:rPr>
          <w:rFonts w:hint="eastAsia" w:hAnsi="宋体"/>
          <w:b/>
          <w:color w:val="000000"/>
          <w:sz w:val="21"/>
        </w:rPr>
        <w:t>第十一条  货物包装、发运及运输</w:t>
      </w:r>
    </w:p>
    <w:p>
      <w:pPr>
        <w:pStyle w:val="5"/>
        <w:snapToGrid w:val="0"/>
        <w:spacing w:line="360" w:lineRule="auto"/>
        <w:ind w:firstLine="420" w:firstLineChars="200"/>
        <w:rPr>
          <w:rFonts w:hAnsi="宋体"/>
          <w:color w:val="000000"/>
          <w:sz w:val="21"/>
        </w:rPr>
      </w:pPr>
      <w:r>
        <w:rPr>
          <w:rFonts w:hint="eastAsia" w:hAnsi="宋体"/>
          <w:color w:val="000000"/>
          <w:sz w:val="21"/>
        </w:rPr>
        <w:t>1.乙方应在货物发运前对其进行满足运输距离、防潮、防震、防锈和防破损装卸等要求包装，以保证货物安全运达甲方指定地点。</w:t>
      </w:r>
    </w:p>
    <w:p>
      <w:pPr>
        <w:pStyle w:val="5"/>
        <w:snapToGrid w:val="0"/>
        <w:spacing w:line="360" w:lineRule="auto"/>
        <w:ind w:firstLine="420" w:firstLineChars="200"/>
        <w:rPr>
          <w:rFonts w:hAnsi="宋体"/>
          <w:color w:val="000000"/>
          <w:sz w:val="21"/>
        </w:rPr>
      </w:pPr>
      <w:r>
        <w:rPr>
          <w:rFonts w:hint="eastAsia" w:hAnsi="宋体"/>
          <w:color w:val="000000"/>
          <w:sz w:val="21"/>
        </w:rPr>
        <w:t>2.乙方在货物发运手续办理完毕后二十四小时内或者货到甲方四十八小时前通知甲方，以准备接货。</w:t>
      </w:r>
    </w:p>
    <w:p>
      <w:pPr>
        <w:pStyle w:val="5"/>
        <w:snapToGrid w:val="0"/>
        <w:spacing w:line="360" w:lineRule="auto"/>
        <w:ind w:firstLine="420" w:firstLineChars="200"/>
        <w:rPr>
          <w:rFonts w:hAnsi="宋体"/>
          <w:color w:val="000000"/>
          <w:sz w:val="21"/>
        </w:rPr>
      </w:pPr>
      <w:r>
        <w:rPr>
          <w:rFonts w:hint="eastAsia" w:hAnsi="宋体"/>
          <w:color w:val="000000"/>
          <w:sz w:val="21"/>
        </w:rPr>
        <w:t>3.货物在交付甲方前发生的风险均由乙方负责。</w:t>
      </w:r>
    </w:p>
    <w:p>
      <w:pPr>
        <w:snapToGrid w:val="0"/>
        <w:spacing w:line="360" w:lineRule="auto"/>
        <w:ind w:firstLine="422" w:firstLineChars="200"/>
        <w:rPr>
          <w:rFonts w:ascii="宋体" w:hAnsi="宋体"/>
          <w:b/>
          <w:color w:val="000000"/>
          <w:szCs w:val="21"/>
        </w:rPr>
      </w:pPr>
      <w:r>
        <w:rPr>
          <w:rFonts w:hint="eastAsia" w:ascii="宋体" w:hAnsi="宋体"/>
          <w:b/>
          <w:color w:val="000000"/>
          <w:szCs w:val="21"/>
        </w:rPr>
        <w:t>第十二条　违约责任</w:t>
      </w:r>
    </w:p>
    <w:p>
      <w:pPr>
        <w:pStyle w:val="5"/>
        <w:snapToGrid w:val="0"/>
        <w:spacing w:line="360" w:lineRule="auto"/>
        <w:ind w:firstLine="420" w:firstLineChars="200"/>
        <w:rPr>
          <w:rFonts w:hAnsi="宋体"/>
          <w:color w:val="000000"/>
          <w:sz w:val="21"/>
        </w:rPr>
      </w:pPr>
      <w:r>
        <w:rPr>
          <w:rFonts w:hint="eastAsia" w:hAnsi="宋体"/>
          <w:color w:val="000000"/>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pPr>
        <w:pStyle w:val="5"/>
        <w:snapToGrid w:val="0"/>
        <w:spacing w:line="360" w:lineRule="auto"/>
        <w:ind w:firstLine="420" w:firstLineChars="200"/>
        <w:rPr>
          <w:rFonts w:hAnsi="宋体"/>
          <w:color w:val="000000"/>
          <w:sz w:val="21"/>
        </w:rPr>
      </w:pPr>
      <w:r>
        <w:rPr>
          <w:rFonts w:hint="eastAsia" w:hAnsi="宋体"/>
          <w:color w:val="000000"/>
          <w:sz w:val="21"/>
        </w:rPr>
        <w:t>2.乙方提供的货物如侵犯了第三方合法权益而引发的任何纠纷或者诉讼，均由乙方负责交涉并承担全部责任。</w:t>
      </w:r>
    </w:p>
    <w:p>
      <w:pPr>
        <w:pStyle w:val="5"/>
        <w:snapToGrid w:val="0"/>
        <w:spacing w:line="360" w:lineRule="auto"/>
        <w:ind w:firstLine="420" w:firstLineChars="200"/>
        <w:rPr>
          <w:rFonts w:hAnsi="宋体"/>
          <w:color w:val="000000"/>
          <w:sz w:val="21"/>
        </w:rPr>
      </w:pPr>
      <w:r>
        <w:rPr>
          <w:rFonts w:hint="eastAsia" w:hAnsi="宋体"/>
          <w:color w:val="000000"/>
          <w:sz w:val="21"/>
        </w:rPr>
        <w:t>3.因包装、运输引起的货物损坏，按质量不合格处罚。</w:t>
      </w:r>
    </w:p>
    <w:p>
      <w:pPr>
        <w:pStyle w:val="5"/>
        <w:snapToGrid w:val="0"/>
        <w:spacing w:line="360" w:lineRule="auto"/>
        <w:ind w:firstLine="420" w:firstLineChars="200"/>
        <w:rPr>
          <w:rFonts w:hAnsi="宋体"/>
          <w:color w:val="000000"/>
          <w:sz w:val="21"/>
        </w:rPr>
      </w:pPr>
      <w:r>
        <w:rPr>
          <w:rFonts w:hint="eastAsia" w:hAnsi="宋体"/>
          <w:color w:val="000000"/>
          <w:sz w:val="21"/>
        </w:rPr>
        <w:t>4.甲方无故延期接收货物、乙方逾期交货的，每天向对方偿付违约货款额3‰违约金，但违约金累计不得超过违约货款额5%，超过30天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pPr>
        <w:pStyle w:val="5"/>
        <w:snapToGrid w:val="0"/>
        <w:spacing w:line="360" w:lineRule="auto"/>
        <w:ind w:firstLine="420" w:firstLineChars="200"/>
        <w:rPr>
          <w:rFonts w:hAnsi="宋体"/>
          <w:color w:val="000000"/>
          <w:sz w:val="21"/>
        </w:rPr>
      </w:pPr>
      <w:r>
        <w:rPr>
          <w:rFonts w:hint="eastAsia" w:hAnsi="宋体"/>
          <w:color w:val="000000"/>
          <w:sz w:val="21"/>
        </w:rPr>
        <w:t>5. 乙方未按本合同和投标文件中规定的服务承诺提供售后服务的，乙方应按本合同合计金额 5%向甲方支付违约金。</w:t>
      </w:r>
    </w:p>
    <w:p>
      <w:pPr>
        <w:pStyle w:val="5"/>
        <w:snapToGrid w:val="0"/>
        <w:spacing w:line="360" w:lineRule="auto"/>
        <w:ind w:firstLine="420" w:firstLineChars="200"/>
        <w:rPr>
          <w:rFonts w:hAnsi="宋体"/>
          <w:color w:val="000000"/>
          <w:sz w:val="21"/>
        </w:rPr>
      </w:pPr>
      <w:r>
        <w:rPr>
          <w:rFonts w:hint="eastAsia" w:hAnsi="宋体"/>
          <w:color w:val="000000"/>
          <w:sz w:val="21"/>
        </w:rPr>
        <w:t>6. 乙方提供的货物在质量保证期内，因设计、工艺或者材料的缺陷和其它质量原因造成的问题，由乙方负责，费用从余款或者履约保证金中扣除，不足另补。</w:t>
      </w:r>
    </w:p>
    <w:p>
      <w:pPr>
        <w:pStyle w:val="5"/>
        <w:snapToGrid w:val="0"/>
        <w:spacing w:line="360" w:lineRule="auto"/>
        <w:ind w:firstLine="420" w:firstLineChars="200"/>
        <w:rPr>
          <w:rFonts w:hAnsi="宋体"/>
          <w:color w:val="000000"/>
          <w:sz w:val="21"/>
        </w:rPr>
      </w:pPr>
      <w:r>
        <w:rPr>
          <w:rFonts w:hint="eastAsia" w:hAnsi="宋体"/>
          <w:color w:val="000000"/>
          <w:sz w:val="21"/>
        </w:rPr>
        <w:t>7. 甲乙双方有其它违约行为的，由违约方向对方支付违约内容涉及货款额的5%，违约内容涉及货款额的5%不足以赔偿经济损失的按实际赔偿。</w:t>
      </w:r>
    </w:p>
    <w:p>
      <w:pPr>
        <w:pStyle w:val="5"/>
        <w:snapToGrid w:val="0"/>
        <w:spacing w:line="360" w:lineRule="auto"/>
        <w:ind w:firstLine="413" w:firstLineChars="196"/>
        <w:rPr>
          <w:rFonts w:hAnsi="宋体"/>
          <w:b/>
          <w:color w:val="000000"/>
          <w:sz w:val="21"/>
        </w:rPr>
      </w:pPr>
      <w:r>
        <w:rPr>
          <w:rFonts w:hint="eastAsia" w:hAnsi="宋体"/>
          <w:b/>
          <w:color w:val="000000"/>
          <w:sz w:val="21"/>
        </w:rPr>
        <w:t>第十三条  不可抗力事件处理</w:t>
      </w:r>
    </w:p>
    <w:p>
      <w:pPr>
        <w:pStyle w:val="5"/>
        <w:snapToGrid w:val="0"/>
        <w:spacing w:line="360" w:lineRule="auto"/>
        <w:ind w:firstLine="420" w:firstLineChars="200"/>
        <w:rPr>
          <w:rFonts w:hAnsi="宋体"/>
          <w:color w:val="000000"/>
          <w:sz w:val="21"/>
        </w:rPr>
      </w:pPr>
      <w:r>
        <w:rPr>
          <w:rFonts w:hint="eastAsia" w:hAnsi="宋体"/>
          <w:color w:val="000000"/>
          <w:sz w:val="21"/>
        </w:rPr>
        <w:t>1.在合同有效期内，任何一方因不可抗力事件导致不能履行合同，则合同履行期可延长，其延长期与不可抗力影响期相同。</w:t>
      </w:r>
    </w:p>
    <w:p>
      <w:pPr>
        <w:pStyle w:val="5"/>
        <w:snapToGrid w:val="0"/>
        <w:spacing w:line="360" w:lineRule="auto"/>
        <w:ind w:firstLine="420" w:firstLineChars="200"/>
        <w:rPr>
          <w:rFonts w:hAnsi="宋体"/>
          <w:color w:val="000000"/>
          <w:sz w:val="21"/>
        </w:rPr>
      </w:pPr>
      <w:r>
        <w:rPr>
          <w:rFonts w:hint="eastAsia" w:hAnsi="宋体"/>
          <w:color w:val="000000"/>
          <w:sz w:val="21"/>
        </w:rPr>
        <w:t>2.不可抗力事件发生后，应立即通知对方，并寄送有关权威机构出具的证明。</w:t>
      </w:r>
    </w:p>
    <w:p>
      <w:pPr>
        <w:snapToGrid w:val="0"/>
        <w:spacing w:line="360" w:lineRule="auto"/>
        <w:ind w:firstLine="420" w:firstLineChars="200"/>
        <w:rPr>
          <w:rFonts w:ascii="宋体" w:hAnsi="宋体"/>
          <w:color w:val="000000"/>
          <w:szCs w:val="21"/>
        </w:rPr>
      </w:pPr>
      <w:r>
        <w:rPr>
          <w:rFonts w:hint="eastAsia" w:ascii="宋体" w:hAnsi="宋体"/>
          <w:color w:val="000000"/>
          <w:szCs w:val="21"/>
        </w:rPr>
        <w:t>3.不可抗力事件延续一百二十天以上，双方应通过友好协商，确定是否继续履行合同。</w:t>
      </w:r>
    </w:p>
    <w:p>
      <w:pPr>
        <w:snapToGrid w:val="0"/>
        <w:spacing w:line="360" w:lineRule="auto"/>
        <w:ind w:firstLine="422" w:firstLineChars="200"/>
        <w:rPr>
          <w:rFonts w:ascii="宋体" w:hAnsi="宋体"/>
          <w:color w:val="000000"/>
          <w:szCs w:val="21"/>
        </w:rPr>
      </w:pPr>
      <w:r>
        <w:rPr>
          <w:rFonts w:hint="eastAsia" w:ascii="宋体" w:hAnsi="宋体"/>
          <w:b/>
          <w:color w:val="000000"/>
          <w:szCs w:val="21"/>
        </w:rPr>
        <w:t>第十四条  合同争议解决</w:t>
      </w:r>
    </w:p>
    <w:p>
      <w:pPr>
        <w:snapToGrid w:val="0"/>
        <w:spacing w:line="360" w:lineRule="auto"/>
        <w:ind w:firstLine="420" w:firstLineChars="200"/>
        <w:rPr>
          <w:rFonts w:ascii="宋体" w:hAnsi="宋体"/>
          <w:color w:val="000000"/>
          <w:szCs w:val="21"/>
        </w:rPr>
      </w:pPr>
      <w:r>
        <w:rPr>
          <w:rFonts w:hint="eastAsia" w:ascii="宋体" w:hAnsi="宋体"/>
          <w:color w:val="000000"/>
          <w:szCs w:val="21"/>
        </w:rPr>
        <w:t>1. 因货物质量问题发生争议的，应邀请国家认可的质量检测机构对货物质量进行鉴定。货物符合标准的，鉴定费由甲方承担；货物不符合标准的，鉴定费由乙方承担。</w:t>
      </w:r>
    </w:p>
    <w:p>
      <w:pPr>
        <w:snapToGrid w:val="0"/>
        <w:spacing w:line="360" w:lineRule="auto"/>
        <w:ind w:firstLine="420" w:firstLineChars="200"/>
        <w:rPr>
          <w:rFonts w:ascii="宋体" w:hAnsi="宋体"/>
          <w:color w:val="000000"/>
          <w:szCs w:val="21"/>
        </w:rPr>
      </w:pPr>
      <w:r>
        <w:rPr>
          <w:rFonts w:hint="eastAsia" w:ascii="宋体" w:hAnsi="宋体"/>
          <w:color w:val="000000"/>
          <w:szCs w:val="21"/>
        </w:rPr>
        <w:t>2. 因履行本合同引起的或者与本合同有关的争议，甲乙双方应首先通过友好协商解决，如果协商不能解决，可向甲方所在地</w:t>
      </w:r>
      <w:r>
        <w:rPr>
          <w:rFonts w:hint="eastAsia" w:ascii="宋体" w:hAnsi="宋体" w:cs="宋体"/>
          <w:color w:val="000000"/>
          <w:szCs w:val="21"/>
        </w:rPr>
        <w:t>有管辖权的</w:t>
      </w:r>
      <w:r>
        <w:rPr>
          <w:rFonts w:hint="eastAsia" w:ascii="宋体" w:hAnsi="宋体"/>
          <w:color w:val="000000"/>
          <w:szCs w:val="21"/>
        </w:rPr>
        <w:t>人民法院提起诉讼。</w:t>
      </w:r>
    </w:p>
    <w:p>
      <w:pPr>
        <w:snapToGrid w:val="0"/>
        <w:spacing w:line="360" w:lineRule="auto"/>
        <w:ind w:left="-61" w:firstLine="514"/>
        <w:rPr>
          <w:rFonts w:ascii="宋体" w:hAnsi="宋体"/>
          <w:color w:val="000000"/>
          <w:szCs w:val="21"/>
        </w:rPr>
      </w:pPr>
      <w:r>
        <w:rPr>
          <w:rFonts w:hint="eastAsia" w:ascii="宋体" w:hAnsi="宋体"/>
          <w:color w:val="000000"/>
          <w:szCs w:val="21"/>
        </w:rPr>
        <w:t>3.诉讼期间，本合同继续履行。</w:t>
      </w:r>
    </w:p>
    <w:p>
      <w:pPr>
        <w:tabs>
          <w:tab w:val="left" w:pos="425"/>
        </w:tabs>
        <w:spacing w:line="420" w:lineRule="exact"/>
        <w:ind w:firstLine="422" w:firstLineChars="200"/>
        <w:rPr>
          <w:rFonts w:cs="仿宋_GB2312" w:asciiTheme="minorEastAsia" w:hAnsiTheme="minorEastAsia" w:eastAsiaTheme="minorEastAsia"/>
          <w:color w:val="000000" w:themeColor="text1"/>
          <w:szCs w:val="21"/>
          <w14:textFill>
            <w14:solidFill>
              <w14:schemeClr w14:val="tx1"/>
            </w14:solidFill>
          </w14:textFill>
        </w:rPr>
      </w:pPr>
      <w:r>
        <w:rPr>
          <w:rFonts w:hint="eastAsia" w:ascii="宋体" w:hAnsi="宋体"/>
          <w:b/>
          <w:color w:val="000000"/>
          <w:szCs w:val="21"/>
        </w:rPr>
        <w:t xml:space="preserve">第十五条   </w:t>
      </w:r>
      <w:r>
        <w:rPr>
          <w:rFonts w:hint="eastAsia" w:cs="仿宋_GB2312" w:asciiTheme="minorEastAsia" w:hAnsiTheme="minorEastAsia" w:eastAsiaTheme="minorEastAsia"/>
          <w:szCs w:val="21"/>
        </w:rPr>
        <w:t>本合同自双方签字和盖章之日起生效，本合同一式肆份，具有同等效力。</w:t>
      </w:r>
      <w:r>
        <w:rPr>
          <w:rFonts w:hint="eastAsia" w:cs="仿宋_GB2312" w:asciiTheme="minorEastAsia" w:hAnsiTheme="minorEastAsia" w:eastAsiaTheme="minorEastAsia"/>
          <w:color w:val="000000" w:themeColor="text1"/>
          <w:szCs w:val="21"/>
          <w14:textFill>
            <w14:solidFill>
              <w14:schemeClr w14:val="tx1"/>
            </w14:solidFill>
          </w14:textFill>
        </w:rPr>
        <w:t>甲方执叁份（财务科、总务科、档案室各执壹份），乙方执壹份。</w:t>
      </w:r>
    </w:p>
    <w:p>
      <w:pPr>
        <w:spacing w:line="380" w:lineRule="exact"/>
        <w:ind w:left="7701" w:leftChars="67" w:hanging="7560" w:hangingChars="2700"/>
        <w:rPr>
          <w:rFonts w:ascii="仿宋_GB2312" w:hAnsi="仿宋_GB2312" w:eastAsia="仿宋_GB2312" w:cs="仿宋_GB2312"/>
          <w:color w:val="000000" w:themeColor="text1"/>
          <w:sz w:val="28"/>
          <w:szCs w:val="28"/>
          <w14:textFill>
            <w14:solidFill>
              <w14:schemeClr w14:val="tx1"/>
            </w14:solidFill>
          </w14:textFill>
        </w:rPr>
      </w:pPr>
    </w:p>
    <w:p>
      <w:pPr>
        <w:pStyle w:val="2"/>
      </w:pPr>
    </w:p>
    <w:p>
      <w:pPr>
        <w:pStyle w:val="6"/>
        <w:spacing w:line="440" w:lineRule="exact"/>
        <w:ind w:left="4305" w:hanging="4305" w:hangingChars="2050"/>
        <w:rPr>
          <w:rFonts w:hint="eastAsia" w:eastAsia="宋体" w:cs="仿宋_GB2312"/>
          <w:sz w:val="21"/>
          <w:szCs w:val="21"/>
          <w:lang w:eastAsia="zh-CN"/>
        </w:rPr>
      </w:pPr>
      <w:r>
        <w:rPr>
          <w:rFonts w:hint="eastAsia" w:cs="仿宋_GB2312"/>
          <w:sz w:val="21"/>
          <w:szCs w:val="21"/>
        </w:rPr>
        <w:t>甲方：</w:t>
      </w:r>
      <w:r>
        <w:rPr>
          <w:rFonts w:hint="eastAsia" w:cs="仿宋_GB2312"/>
          <w:sz w:val="21"/>
          <w:szCs w:val="21"/>
          <w:lang w:eastAsia="zh-CN"/>
        </w:rPr>
        <w:t>广西壮族自治区桂东人民医院</w:t>
      </w:r>
      <w:r>
        <w:rPr>
          <w:rFonts w:hint="eastAsia" w:cs="仿宋_GB2312"/>
          <w:sz w:val="21"/>
          <w:szCs w:val="21"/>
        </w:rPr>
        <w:t xml:space="preserve">          乙方：</w:t>
      </w:r>
    </w:p>
    <w:p>
      <w:pPr>
        <w:spacing w:line="440" w:lineRule="exact"/>
        <w:rPr>
          <w:rFonts w:ascii="宋体" w:hAnsi="宋体"/>
          <w:szCs w:val="21"/>
        </w:rPr>
      </w:pPr>
      <w:r>
        <w:rPr>
          <w:rFonts w:hint="eastAsia" w:ascii="宋体" w:hAnsi="宋体"/>
          <w:szCs w:val="21"/>
        </w:rPr>
        <w:t xml:space="preserve">签字代表:                                </w:t>
      </w:r>
      <w:r>
        <w:rPr>
          <w:rFonts w:hint="eastAsia" w:ascii="宋体" w:hAnsi="宋体"/>
          <w:szCs w:val="21"/>
          <w:lang w:val="en-US" w:eastAsia="zh-CN"/>
        </w:rPr>
        <w:t xml:space="preserve"> </w:t>
      </w:r>
      <w:r>
        <w:rPr>
          <w:rFonts w:hint="eastAsia" w:ascii="宋体" w:hAnsi="宋体"/>
          <w:szCs w:val="21"/>
        </w:rPr>
        <w:t>签字代表：</w:t>
      </w:r>
    </w:p>
    <w:p>
      <w:pPr>
        <w:spacing w:line="440" w:lineRule="exact"/>
        <w:rPr>
          <w:rFonts w:ascii="宋体" w:hAnsi="宋体"/>
          <w:szCs w:val="21"/>
        </w:rPr>
      </w:pPr>
      <w:r>
        <w:rPr>
          <w:rFonts w:hint="eastAsia" w:ascii="宋体" w:hAnsi="宋体"/>
          <w:szCs w:val="21"/>
        </w:rPr>
        <w:t>经办科室：</w:t>
      </w:r>
      <w:r>
        <w:rPr>
          <w:rFonts w:hint="eastAsia" w:ascii="宋体" w:hAnsi="宋体"/>
          <w:szCs w:val="21"/>
          <w:lang w:eastAsia="zh-CN"/>
        </w:rPr>
        <w:t>后勤保障部</w:t>
      </w:r>
      <w:r>
        <w:rPr>
          <w:rFonts w:hint="eastAsia" w:ascii="宋体" w:hAnsi="宋体"/>
          <w:szCs w:val="21"/>
          <w:lang w:val="en-US" w:eastAsia="zh-CN"/>
        </w:rPr>
        <w:t>-</w:t>
      </w:r>
      <w:r>
        <w:rPr>
          <w:rFonts w:hint="eastAsia" w:ascii="宋体" w:hAnsi="宋体"/>
          <w:szCs w:val="21"/>
        </w:rPr>
        <w:t>总务科</w:t>
      </w:r>
      <w:r>
        <w:rPr>
          <w:rFonts w:hint="eastAsia" w:ascii="宋体" w:hAnsi="宋体"/>
          <w:szCs w:val="21"/>
          <w:lang w:eastAsia="zh-CN"/>
        </w:rPr>
        <w:t>组</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经办人（签字）：</w:t>
      </w:r>
    </w:p>
    <w:p>
      <w:pPr>
        <w:spacing w:line="440" w:lineRule="exact"/>
        <w:rPr>
          <w:rFonts w:ascii="宋体" w:hAnsi="宋体"/>
          <w:szCs w:val="21"/>
        </w:rPr>
      </w:pPr>
      <w:r>
        <w:rPr>
          <w:rFonts w:hint="eastAsia" w:ascii="宋体" w:hAnsi="宋体"/>
          <w:szCs w:val="21"/>
        </w:rPr>
        <w:t>经办人（签字）：</w:t>
      </w:r>
      <w:r>
        <w:rPr>
          <w:rFonts w:hint="eastAsia" w:ascii="宋体" w:hAnsi="宋体" w:cs="仿宋_GB2312"/>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 xml:space="preserve">经办人电话：                         </w:t>
      </w:r>
    </w:p>
    <w:p>
      <w:pPr>
        <w:spacing w:line="440" w:lineRule="exact"/>
        <w:ind w:left="5880" w:hanging="5880" w:hangingChars="2800"/>
        <w:rPr>
          <w:rFonts w:hint="default" w:ascii="宋体" w:hAnsi="宋体" w:eastAsia="宋体" w:cs="仿宋_GB2312"/>
          <w:szCs w:val="21"/>
          <w:lang w:val="en-US" w:eastAsia="zh-CN"/>
        </w:rPr>
      </w:pPr>
      <w:r>
        <w:rPr>
          <w:rFonts w:hint="eastAsia" w:ascii="宋体" w:hAnsi="宋体" w:cs="仿宋_GB2312"/>
          <w:szCs w:val="21"/>
        </w:rPr>
        <w:t xml:space="preserve">经办人电话：                 </w:t>
      </w:r>
      <w:r>
        <w:rPr>
          <w:rFonts w:hint="eastAsia" w:ascii="宋体" w:hAnsi="宋体" w:cs="仿宋_GB2312"/>
          <w:szCs w:val="21"/>
          <w:lang w:val="en-US" w:eastAsia="zh-CN"/>
        </w:rPr>
        <w:t xml:space="preserve">             </w:t>
      </w:r>
      <w:r>
        <w:rPr>
          <w:rFonts w:hint="eastAsia" w:ascii="宋体" w:hAnsi="宋体" w:cs="仿宋_GB2312"/>
          <w:szCs w:val="21"/>
        </w:rPr>
        <w:t>乙方地址：</w:t>
      </w:r>
    </w:p>
    <w:p>
      <w:pPr>
        <w:snapToGrid w:val="0"/>
        <w:spacing w:line="360" w:lineRule="auto"/>
        <w:rPr>
          <w:rFonts w:hint="eastAsia" w:ascii="宋体" w:hAnsi="宋体" w:eastAsia="宋体"/>
          <w:color w:val="000000"/>
          <w:szCs w:val="21"/>
          <w:lang w:eastAsia="zh-CN"/>
        </w:rPr>
      </w:pPr>
      <w:r>
        <w:rPr>
          <w:rFonts w:hint="eastAsia" w:ascii="宋体" w:hAnsi="宋体"/>
          <w:color w:val="000000"/>
          <w:szCs w:val="21"/>
        </w:rPr>
        <w:t xml:space="preserve">地址：      </w:t>
      </w:r>
      <w:r>
        <w:rPr>
          <w:rFonts w:hint="eastAsia" w:ascii="宋体" w:hAnsi="宋体"/>
          <w:color w:val="000000"/>
          <w:szCs w:val="21"/>
          <w:lang w:val="en-US" w:eastAsia="zh-CN"/>
        </w:rPr>
        <w:t xml:space="preserve">                              </w:t>
      </w:r>
      <w:r>
        <w:rPr>
          <w:rFonts w:hint="eastAsia" w:ascii="宋体" w:hAnsi="宋体"/>
          <w:color w:val="000000"/>
          <w:szCs w:val="21"/>
        </w:rPr>
        <w:t>开户行：</w:t>
      </w:r>
    </w:p>
    <w:p>
      <w:pPr>
        <w:snapToGrid w:val="0"/>
        <w:spacing w:line="360" w:lineRule="auto"/>
        <w:ind w:firstLine="420" w:firstLineChars="200"/>
        <w:rPr>
          <w:rFonts w:hint="default" w:ascii="宋体" w:hAnsi="宋体" w:eastAsia="宋体" w:cs="仿宋_GB2312"/>
          <w:szCs w:val="21"/>
          <w:lang w:val="en-US" w:eastAsia="zh-CN"/>
        </w:rPr>
      </w:pPr>
      <w:r>
        <w:rPr>
          <w:rFonts w:hint="eastAsia" w:ascii="宋体" w:hAnsi="宋体"/>
          <w:color w:val="000000"/>
          <w:szCs w:val="21"/>
        </w:rPr>
        <w:t xml:space="preserve">       </w:t>
      </w:r>
      <w:r>
        <w:rPr>
          <w:rFonts w:hint="eastAsia" w:ascii="宋体" w:hAnsi="宋体" w:cs="仿宋_GB2312"/>
          <w:szCs w:val="21"/>
          <w:lang w:val="en-US" w:eastAsia="zh-CN"/>
        </w:rPr>
        <w:t xml:space="preserve">                               </w:t>
      </w:r>
      <w:r>
        <w:rPr>
          <w:rFonts w:hint="eastAsia" w:ascii="宋体" w:hAnsi="宋体" w:cs="仿宋_GB2312"/>
          <w:szCs w:val="21"/>
        </w:rPr>
        <w:t>账号：</w:t>
      </w:r>
    </w:p>
    <w:p>
      <w:pPr>
        <w:spacing w:line="440" w:lineRule="exact"/>
        <w:rPr>
          <w:rFonts w:ascii="宋体" w:hAnsi="宋体" w:cs="仿宋_GB2312"/>
          <w:szCs w:val="21"/>
        </w:rPr>
      </w:pPr>
    </w:p>
    <w:p>
      <w:pPr>
        <w:spacing w:line="440" w:lineRule="exact"/>
        <w:rPr>
          <w:rFonts w:ascii="宋体" w:hAnsi="宋体"/>
          <w:szCs w:val="21"/>
        </w:rPr>
      </w:pPr>
      <w:r>
        <w:rPr>
          <w:rFonts w:hint="eastAsia" w:ascii="宋体" w:hAnsi="宋体" w:cs="仿宋_GB2312"/>
          <w:szCs w:val="21"/>
        </w:rPr>
        <w:t xml:space="preserve">签约日期：   年   月   日                签约日期：   年    月    日 </w:t>
      </w:r>
    </w:p>
    <w:p>
      <w:pPr>
        <w:spacing w:line="440" w:lineRule="exact"/>
        <w:rPr>
          <w:rFonts w:ascii="宋体" w:hAnsi="宋体"/>
          <w:szCs w:val="21"/>
        </w:rPr>
      </w:pPr>
    </w:p>
    <w:p>
      <w:pPr>
        <w:spacing w:line="440" w:lineRule="exact"/>
        <w:rPr>
          <w:rFonts w:ascii="宋体" w:hAnsi="宋体"/>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zdiNWNhNDEzNTk0MjE3NTMxZmIzOWFhZGNmMjEifQ=="/>
  </w:docVars>
  <w:rsids>
    <w:rsidRoot w:val="00000000"/>
    <w:rsid w:val="00675D6D"/>
    <w:rsid w:val="0082308F"/>
    <w:rsid w:val="012B4EE3"/>
    <w:rsid w:val="01CB0234"/>
    <w:rsid w:val="0249607A"/>
    <w:rsid w:val="03567A3B"/>
    <w:rsid w:val="036D603E"/>
    <w:rsid w:val="03D447E1"/>
    <w:rsid w:val="06552C99"/>
    <w:rsid w:val="070E6E8B"/>
    <w:rsid w:val="08303AE2"/>
    <w:rsid w:val="09B86C1D"/>
    <w:rsid w:val="0B2F56B3"/>
    <w:rsid w:val="0EF55486"/>
    <w:rsid w:val="10602D6B"/>
    <w:rsid w:val="11C27186"/>
    <w:rsid w:val="131A32C0"/>
    <w:rsid w:val="13A17F5A"/>
    <w:rsid w:val="15463078"/>
    <w:rsid w:val="15883A78"/>
    <w:rsid w:val="160F077B"/>
    <w:rsid w:val="17013D36"/>
    <w:rsid w:val="18272607"/>
    <w:rsid w:val="182D2B27"/>
    <w:rsid w:val="18FD4718"/>
    <w:rsid w:val="19393A07"/>
    <w:rsid w:val="1D5E3520"/>
    <w:rsid w:val="1D6B64AB"/>
    <w:rsid w:val="1E04451C"/>
    <w:rsid w:val="1E0E5196"/>
    <w:rsid w:val="1FCC5214"/>
    <w:rsid w:val="20191C38"/>
    <w:rsid w:val="2086054F"/>
    <w:rsid w:val="20C705E7"/>
    <w:rsid w:val="23B2432A"/>
    <w:rsid w:val="246B22C3"/>
    <w:rsid w:val="250340C1"/>
    <w:rsid w:val="2549505A"/>
    <w:rsid w:val="265B5688"/>
    <w:rsid w:val="26D27B96"/>
    <w:rsid w:val="26DA3DD9"/>
    <w:rsid w:val="26E50D2A"/>
    <w:rsid w:val="28272F76"/>
    <w:rsid w:val="2CEE6F67"/>
    <w:rsid w:val="2E2F2820"/>
    <w:rsid w:val="31490E1D"/>
    <w:rsid w:val="33361D5D"/>
    <w:rsid w:val="33D47FD5"/>
    <w:rsid w:val="33F5258D"/>
    <w:rsid w:val="362920DB"/>
    <w:rsid w:val="3632644C"/>
    <w:rsid w:val="37AD5A8B"/>
    <w:rsid w:val="38B72E46"/>
    <w:rsid w:val="38CC68BA"/>
    <w:rsid w:val="39697611"/>
    <w:rsid w:val="3E686071"/>
    <w:rsid w:val="3E8D0BE9"/>
    <w:rsid w:val="3EAD43CC"/>
    <w:rsid w:val="40BD45BC"/>
    <w:rsid w:val="41E33632"/>
    <w:rsid w:val="41EB7BD5"/>
    <w:rsid w:val="422C1AE4"/>
    <w:rsid w:val="43BC7102"/>
    <w:rsid w:val="44FB6EF6"/>
    <w:rsid w:val="45221F62"/>
    <w:rsid w:val="454F7C99"/>
    <w:rsid w:val="46D976B7"/>
    <w:rsid w:val="47840D01"/>
    <w:rsid w:val="48BA1660"/>
    <w:rsid w:val="4BA67DBC"/>
    <w:rsid w:val="4C242C40"/>
    <w:rsid w:val="4C4E7DCC"/>
    <w:rsid w:val="501E2542"/>
    <w:rsid w:val="502F7CE9"/>
    <w:rsid w:val="5057529A"/>
    <w:rsid w:val="50B45265"/>
    <w:rsid w:val="51A30833"/>
    <w:rsid w:val="521C4A29"/>
    <w:rsid w:val="542A71F8"/>
    <w:rsid w:val="557B13BE"/>
    <w:rsid w:val="56425824"/>
    <w:rsid w:val="57556838"/>
    <w:rsid w:val="598A5547"/>
    <w:rsid w:val="59AD2577"/>
    <w:rsid w:val="59C12AAB"/>
    <w:rsid w:val="59D52CB9"/>
    <w:rsid w:val="5A7E5D34"/>
    <w:rsid w:val="5AB35FAE"/>
    <w:rsid w:val="5BF945D9"/>
    <w:rsid w:val="5C9A301A"/>
    <w:rsid w:val="5EA44546"/>
    <w:rsid w:val="60F30FE5"/>
    <w:rsid w:val="61316075"/>
    <w:rsid w:val="6132315F"/>
    <w:rsid w:val="63FA34B2"/>
    <w:rsid w:val="641C2B12"/>
    <w:rsid w:val="65C45EEE"/>
    <w:rsid w:val="66BC1CC5"/>
    <w:rsid w:val="6D9849B9"/>
    <w:rsid w:val="6E531FEA"/>
    <w:rsid w:val="6EB40B40"/>
    <w:rsid w:val="6F502241"/>
    <w:rsid w:val="6FD607DD"/>
    <w:rsid w:val="73AC41C0"/>
    <w:rsid w:val="73DD11C7"/>
    <w:rsid w:val="762810EC"/>
    <w:rsid w:val="76A469FE"/>
    <w:rsid w:val="79470918"/>
    <w:rsid w:val="796E4B48"/>
    <w:rsid w:val="7EE45A29"/>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
    <w:name w:val="Normal Indent"/>
    <w:basedOn w:val="1"/>
    <w:qFormat/>
    <w:uiPriority w:val="0"/>
    <w:pPr>
      <w:widowControl/>
      <w:ind w:firstLine="420"/>
      <w:jc w:val="left"/>
    </w:pPr>
    <w:rPr>
      <w:kern w:val="0"/>
      <w:szCs w:val="20"/>
    </w:rPr>
  </w:style>
  <w:style w:type="paragraph" w:styleId="4">
    <w:name w:val="Body Text"/>
    <w:basedOn w:val="1"/>
    <w:qFormat/>
    <w:uiPriority w:val="0"/>
    <w:pPr>
      <w:spacing w:line="380" w:lineRule="exact"/>
    </w:pPr>
    <w:rPr>
      <w:sz w:val="24"/>
    </w:rPr>
  </w:style>
  <w:style w:type="paragraph" w:styleId="5">
    <w:name w:val="Plain Text"/>
    <w:basedOn w:val="1"/>
    <w:next w:val="1"/>
    <w:qFormat/>
    <w:uiPriority w:val="0"/>
    <w:rPr>
      <w:rFonts w:ascii="宋体" w:hAnsi="Courier New" w:cs="Times New Roman"/>
      <w:szCs w:val="22"/>
    </w:rPr>
  </w:style>
  <w:style w:type="paragraph" w:styleId="6">
    <w:name w:val="Normal (Web)"/>
    <w:basedOn w:val="1"/>
    <w:qFormat/>
    <w:uiPriority w:val="99"/>
    <w:pPr>
      <w:widowControl/>
      <w:jc w:val="left"/>
    </w:pPr>
    <w:rPr>
      <w:rFonts w:ascii="宋体" w:hAnsi="宋体" w:eastAsia="宋体" w:cs="宋体"/>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1">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3231</Words>
  <Characters>3339</Characters>
  <Lines>0</Lines>
  <Paragraphs>0</Paragraphs>
  <TotalTime>1</TotalTime>
  <ScaleCrop>false</ScaleCrop>
  <LinksUpToDate>false</LinksUpToDate>
  <CharactersWithSpaces>3736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2022-12-02T01:36:00Z</dcterms:created>
  <dc:creator>Administrator</dc:creator>
  <cp:lastModifiedBy>大侠</cp:lastModifiedBy>
  <dcterms:modified xsi:type="dcterms:W3CDTF">2024-06-19T06:53:40Z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38D5DC51AC3248488AD3DAF63A615E1D</vt:lpwstr>
  </property>
</Properties>
</file>