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B5C6A">
      <w:pPr>
        <w:pStyle w:val="3"/>
      </w:pPr>
    </w:p>
    <w:p w14:paraId="055ECB6E">
      <w:pPr>
        <w:rPr>
          <w:rFonts w:ascii="方正小标宋简体" w:hAnsi="方正小标宋简体" w:eastAsia="方正小标宋简体" w:cs="宋体"/>
          <w:sz w:val="44"/>
          <w:szCs w:val="44"/>
          <w:lang w:eastAsia="zh-CN"/>
        </w:rPr>
      </w:pPr>
    </w:p>
    <w:p w14:paraId="74318BE8">
      <w:pPr>
        <w:rPr>
          <w:rFonts w:ascii="方正小标宋简体" w:hAnsi="方正小标宋简体" w:eastAsia="方正小标宋简体" w:cs="宋体"/>
          <w:sz w:val="44"/>
          <w:szCs w:val="44"/>
          <w:lang w:eastAsia="zh-CN"/>
        </w:rPr>
      </w:pPr>
    </w:p>
    <w:p w14:paraId="6659F9AF">
      <w:pPr>
        <w:rPr>
          <w:rFonts w:ascii="方正小标宋简体" w:hAnsi="方正小标宋简体" w:eastAsia="方正小标宋简体"/>
          <w:sz w:val="44"/>
          <w:szCs w:val="44"/>
          <w:lang w:eastAsia="zh-CN"/>
        </w:rPr>
      </w:pPr>
      <w:r>
        <w:rPr>
          <w:rFonts w:hint="eastAsia" w:ascii="方正小标宋简体" w:hAnsi="方正小标宋简体" w:eastAsia="方正小标宋简体" w:cs="宋体"/>
          <w:sz w:val="44"/>
          <w:szCs w:val="44"/>
          <w:lang w:eastAsia="zh-CN"/>
        </w:rPr>
        <w:t>物资采购合同模板</w:t>
      </w:r>
    </w:p>
    <w:p w14:paraId="794036D3">
      <w:pPr>
        <w:pStyle w:val="3"/>
        <w:rPr>
          <w:lang w:eastAsia="zh-CN"/>
        </w:rPr>
      </w:pPr>
    </w:p>
    <w:p w14:paraId="3DB9958D">
      <w:pPr>
        <w:pStyle w:val="3"/>
        <w:rPr>
          <w:lang w:eastAsia="zh-CN"/>
        </w:rPr>
      </w:pPr>
    </w:p>
    <w:p w14:paraId="6A90A492">
      <w:pPr>
        <w:pStyle w:val="3"/>
        <w:rPr>
          <w:lang w:eastAsia="zh-CN"/>
        </w:rPr>
      </w:pPr>
    </w:p>
    <w:p w14:paraId="3A698D46">
      <w:pPr>
        <w:pStyle w:val="3"/>
        <w:rPr>
          <w:lang w:eastAsia="zh-CN"/>
        </w:rPr>
      </w:pPr>
    </w:p>
    <w:p w14:paraId="454960F1">
      <w:pPr>
        <w:pStyle w:val="3"/>
        <w:rPr>
          <w:lang w:eastAsia="zh-CN"/>
        </w:rPr>
      </w:pPr>
    </w:p>
    <w:p w14:paraId="1214C386">
      <w:pPr>
        <w:jc w:val="both"/>
        <w:rPr>
          <w:rFonts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合同名称：</w:t>
      </w:r>
      <w:r>
        <w:rPr>
          <w:rFonts w:asciiTheme="minorEastAsia" w:hAnsiTheme="minorEastAsia" w:eastAsiaTheme="minorEastAsia"/>
          <w:sz w:val="32"/>
          <w:szCs w:val="32"/>
          <w:u w:val="single"/>
          <w:lang w:eastAsia="zh-CN"/>
        </w:rPr>
        <w:t xml:space="preserve">         </w:t>
      </w:r>
      <w:r>
        <w:rPr>
          <w:rFonts w:hint="eastAsia" w:asciiTheme="minorEastAsia" w:hAnsiTheme="minorEastAsia" w:eastAsiaTheme="minorEastAsia"/>
          <w:sz w:val="32"/>
          <w:szCs w:val="32"/>
          <w:u w:val="single"/>
          <w:lang w:eastAsia="zh-CN"/>
        </w:rPr>
        <w:t xml:space="preserve">                  </w:t>
      </w:r>
      <w:r>
        <w:rPr>
          <w:rFonts w:asciiTheme="minorEastAsia" w:hAnsiTheme="minorEastAsia" w:eastAsiaTheme="minorEastAsia"/>
          <w:sz w:val="32"/>
          <w:szCs w:val="32"/>
          <w:u w:val="single"/>
          <w:lang w:eastAsia="zh-CN"/>
        </w:rPr>
        <w:t xml:space="preserve">   </w:t>
      </w:r>
      <w:r>
        <w:rPr>
          <w:rFonts w:asciiTheme="minorEastAsia" w:hAnsiTheme="minorEastAsia" w:eastAsiaTheme="minorEastAsia"/>
          <w:sz w:val="32"/>
          <w:szCs w:val="32"/>
          <w:lang w:eastAsia="zh-CN"/>
        </w:rPr>
        <w:t xml:space="preserve"> </w:t>
      </w:r>
    </w:p>
    <w:p w14:paraId="6AA74D49">
      <w:pPr>
        <w:jc w:val="both"/>
        <w:rPr>
          <w:lang w:eastAsia="zh-CN"/>
        </w:rPr>
      </w:pPr>
      <w:r>
        <w:rPr>
          <w:rFonts w:hint="eastAsia" w:asciiTheme="minorEastAsia" w:hAnsiTheme="minorEastAsia" w:eastAsiaTheme="minorEastAsia"/>
          <w:sz w:val="32"/>
          <w:szCs w:val="32"/>
          <w:lang w:eastAsia="zh-CN"/>
        </w:rPr>
        <w:t>项目编号：</w:t>
      </w:r>
      <w:r>
        <w:rPr>
          <w:u w:val="single"/>
          <w:lang w:eastAsia="zh-CN"/>
        </w:rPr>
        <w:t xml:space="preserve"> </w:t>
      </w:r>
      <w:r>
        <w:rPr>
          <w:rFonts w:hint="eastAsia"/>
          <w:u w:val="single"/>
          <w:lang w:eastAsia="zh-CN"/>
        </w:rPr>
        <w:t xml:space="preserve">          </w:t>
      </w:r>
      <w:r>
        <w:rPr>
          <w:rFonts w:hint="eastAsia" w:eastAsiaTheme="minorEastAsia"/>
          <w:u w:val="single"/>
          <w:lang w:eastAsia="zh-CN"/>
        </w:rPr>
        <w:t xml:space="preserve">                          </w:t>
      </w:r>
      <w:r>
        <w:rPr>
          <w:rFonts w:hint="eastAsia"/>
          <w:u w:val="single"/>
          <w:lang w:eastAsia="zh-CN"/>
        </w:rPr>
        <w:t xml:space="preserve">        </w:t>
      </w:r>
      <w:r>
        <w:rPr>
          <w:rFonts w:hint="eastAsia"/>
          <w:lang w:eastAsia="zh-CN"/>
        </w:rPr>
        <w:t xml:space="preserve"> </w:t>
      </w:r>
      <w:r>
        <w:rPr>
          <w:lang w:eastAsia="zh-CN"/>
        </w:rPr>
        <w:t xml:space="preserve">  </w:t>
      </w:r>
    </w:p>
    <w:p w14:paraId="18F4E042">
      <w:pPr>
        <w:pStyle w:val="3"/>
        <w:rPr>
          <w:lang w:eastAsia="zh-CN"/>
        </w:rPr>
      </w:pPr>
    </w:p>
    <w:p w14:paraId="01FACA36">
      <w:pPr>
        <w:pStyle w:val="3"/>
        <w:rPr>
          <w:lang w:eastAsia="zh-CN"/>
        </w:rPr>
      </w:pPr>
    </w:p>
    <w:p w14:paraId="273539AE">
      <w:pPr>
        <w:pStyle w:val="3"/>
        <w:rPr>
          <w:lang w:eastAsia="zh-CN"/>
        </w:rPr>
      </w:pPr>
    </w:p>
    <w:p w14:paraId="4115C390">
      <w:pPr>
        <w:pStyle w:val="3"/>
        <w:rPr>
          <w:lang w:eastAsia="zh-CN"/>
        </w:rPr>
      </w:pPr>
    </w:p>
    <w:p w14:paraId="42E68A79">
      <w:pPr>
        <w:pStyle w:val="3"/>
        <w:rPr>
          <w:lang w:eastAsia="zh-CN"/>
        </w:rPr>
      </w:pPr>
    </w:p>
    <w:p w14:paraId="3204782A">
      <w:pPr>
        <w:pStyle w:val="3"/>
        <w:rPr>
          <w:lang w:eastAsia="zh-CN"/>
        </w:rPr>
      </w:pPr>
    </w:p>
    <w:p w14:paraId="5C0235CC">
      <w:pPr>
        <w:pStyle w:val="3"/>
        <w:rPr>
          <w:lang w:eastAsia="zh-CN"/>
        </w:rPr>
      </w:pPr>
    </w:p>
    <w:p w14:paraId="2473D158">
      <w:pPr>
        <w:pStyle w:val="3"/>
        <w:rPr>
          <w:lang w:eastAsia="zh-CN"/>
        </w:rPr>
      </w:pPr>
    </w:p>
    <w:p w14:paraId="720A1BA0">
      <w:pPr>
        <w:jc w:val="both"/>
        <w:rPr>
          <w:rFonts w:ascii="黑体" w:eastAsia="黑体"/>
          <w:sz w:val="32"/>
          <w:szCs w:val="32"/>
          <w:lang w:eastAsia="zh-CN"/>
        </w:rPr>
      </w:pPr>
      <w:r>
        <w:rPr>
          <w:rFonts w:hint="eastAsia" w:ascii="黑体" w:eastAsia="黑体"/>
          <w:sz w:val="32"/>
          <w:szCs w:val="32"/>
          <w:lang w:eastAsia="zh-CN"/>
        </w:rPr>
        <w:t xml:space="preserve">签订合同地点：广西壮族自治区桂东人民医院  </w:t>
      </w:r>
    </w:p>
    <w:p w14:paraId="30F0A6A2">
      <w:pPr>
        <w:jc w:val="both"/>
        <w:rPr>
          <w:lang w:eastAsia="zh-CN"/>
        </w:rPr>
      </w:pPr>
      <w:r>
        <w:rPr>
          <w:rFonts w:hint="eastAsia" w:ascii="黑体" w:eastAsia="黑体"/>
          <w:sz w:val="32"/>
          <w:szCs w:val="32"/>
          <w:lang w:eastAsia="zh-CN"/>
        </w:rPr>
        <w:t xml:space="preserve">签订合同时间：        </w:t>
      </w:r>
      <w:r>
        <w:rPr>
          <w:lang w:eastAsia="zh-CN"/>
        </w:rPr>
        <w:t xml:space="preserve">                  </w:t>
      </w:r>
    </w:p>
    <w:p w14:paraId="5E93A6BC">
      <w:pPr>
        <w:spacing w:before="213" w:line="220" w:lineRule="auto"/>
        <w:ind w:left="0"/>
        <w:jc w:val="left"/>
        <w:rPr>
          <w:rFonts w:eastAsiaTheme="minorEastAsia"/>
          <w:lang w:eastAsia="zh-CN"/>
        </w:rPr>
      </w:pPr>
    </w:p>
    <w:p w14:paraId="6A99840E">
      <w:pPr>
        <w:spacing w:before="213" w:line="220" w:lineRule="auto"/>
        <w:ind w:left="0"/>
        <w:jc w:val="left"/>
        <w:rPr>
          <w:rFonts w:eastAsiaTheme="minorEastAsia"/>
          <w:lang w:eastAsia="zh-CN"/>
        </w:rPr>
      </w:pPr>
    </w:p>
    <w:p w14:paraId="0A91E64F">
      <w:pPr>
        <w:spacing w:before="213" w:line="220" w:lineRule="auto"/>
        <w:ind w:left="0"/>
        <w:jc w:val="left"/>
        <w:rPr>
          <w:rFonts w:eastAsiaTheme="minorEastAsia"/>
          <w:lang w:eastAsia="zh-CN"/>
        </w:rPr>
        <w:sectPr>
          <w:headerReference r:id="rId5" w:type="default"/>
          <w:footerReference r:id="rId6" w:type="default"/>
          <w:pgSz w:w="11906" w:h="16839"/>
          <w:pgMar w:top="1296" w:right="1134" w:bottom="1166" w:left="1140" w:header="0" w:footer="952" w:gutter="0"/>
          <w:cols w:space="720" w:num="1"/>
        </w:sectPr>
      </w:pPr>
    </w:p>
    <w:p w14:paraId="303C03BD">
      <w:pPr>
        <w:ind w:left="0"/>
        <w:rPr>
          <w:rFonts w:ascii="方正小标宋简体" w:hAnsi="方正小标宋简体" w:eastAsia="方正小标宋简体"/>
          <w:sz w:val="36"/>
          <w:szCs w:val="36"/>
          <w:lang w:eastAsia="zh-CN"/>
        </w:rPr>
      </w:pPr>
      <w:r>
        <w:rPr>
          <w:rFonts w:ascii="方正小标宋简体" w:hAnsi="方正小标宋简体" w:eastAsia="方正小标宋简体"/>
          <w:sz w:val="36"/>
          <w:szCs w:val="36"/>
          <w:lang w:eastAsia="zh-CN"/>
        </w:rPr>
        <w:t>广西壮族自治区</w:t>
      </w:r>
      <w:r>
        <w:rPr>
          <w:rFonts w:hint="eastAsia" w:ascii="方正小标宋简体" w:hAnsi="方正小标宋简体" w:eastAsia="方正小标宋简体"/>
          <w:sz w:val="36"/>
          <w:szCs w:val="36"/>
          <w:lang w:eastAsia="zh-CN"/>
        </w:rPr>
        <w:t>桂东人民医院物资</w:t>
      </w:r>
      <w:r>
        <w:rPr>
          <w:rFonts w:ascii="方正小标宋简体" w:hAnsi="方正小标宋简体" w:eastAsia="方正小标宋简体"/>
          <w:sz w:val="36"/>
          <w:szCs w:val="36"/>
          <w:lang w:eastAsia="zh-CN"/>
        </w:rPr>
        <w:t>采购合同</w:t>
      </w:r>
    </w:p>
    <w:tbl>
      <w:tblPr>
        <w:tblStyle w:val="9"/>
        <w:tblW w:w="9332"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3"/>
        <w:gridCol w:w="3182"/>
        <w:gridCol w:w="1638"/>
        <w:gridCol w:w="2869"/>
      </w:tblGrid>
      <w:tr w14:paraId="3F3DF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643" w:type="dxa"/>
            <w:vAlign w:val="center"/>
          </w:tcPr>
          <w:p w14:paraId="4A7E19BD">
            <w:pPr>
              <w:ind w:left="0"/>
              <w:rPr>
                <w:sz w:val="20"/>
              </w:rPr>
            </w:pPr>
            <w:r>
              <w:rPr>
                <w:rFonts w:hint="eastAsia" w:ascii="宋体" w:hAnsi="宋体" w:eastAsia="宋体" w:cs="宋体"/>
                <w:sz w:val="20"/>
              </w:rPr>
              <w:t>项目名称：</w:t>
            </w:r>
          </w:p>
        </w:tc>
        <w:tc>
          <w:tcPr>
            <w:tcW w:w="3182" w:type="dxa"/>
            <w:vAlign w:val="center"/>
          </w:tcPr>
          <w:p w14:paraId="740A2B74">
            <w:pPr>
              <w:rPr>
                <w:sz w:val="20"/>
              </w:rPr>
            </w:pPr>
          </w:p>
        </w:tc>
        <w:tc>
          <w:tcPr>
            <w:tcW w:w="1638" w:type="dxa"/>
            <w:vAlign w:val="center"/>
          </w:tcPr>
          <w:p w14:paraId="219EA01D">
            <w:pPr>
              <w:ind w:left="0"/>
              <w:rPr>
                <w:sz w:val="20"/>
              </w:rPr>
            </w:pPr>
            <w:r>
              <w:rPr>
                <w:rFonts w:hint="eastAsia" w:ascii="宋体" w:hAnsi="宋体" w:eastAsia="宋体" w:cs="宋体"/>
                <w:sz w:val="20"/>
              </w:rPr>
              <w:t>项目编号：</w:t>
            </w:r>
          </w:p>
        </w:tc>
        <w:tc>
          <w:tcPr>
            <w:tcW w:w="2869" w:type="dxa"/>
            <w:vAlign w:val="center"/>
          </w:tcPr>
          <w:p w14:paraId="5F06AF65">
            <w:pPr>
              <w:rPr>
                <w:sz w:val="20"/>
              </w:rPr>
            </w:pPr>
          </w:p>
        </w:tc>
      </w:tr>
      <w:tr w14:paraId="57D6A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43" w:type="dxa"/>
            <w:vAlign w:val="center"/>
          </w:tcPr>
          <w:p w14:paraId="22AA1B38">
            <w:pPr>
              <w:ind w:left="0"/>
              <w:rPr>
                <w:sz w:val="20"/>
              </w:rPr>
            </w:pPr>
            <w:r>
              <w:rPr>
                <w:rFonts w:hint="eastAsia" w:ascii="宋体" w:hAnsi="宋体" w:eastAsia="宋体" w:cs="宋体"/>
                <w:sz w:val="20"/>
              </w:rPr>
              <w:t>采购人（甲方）：</w:t>
            </w:r>
          </w:p>
        </w:tc>
        <w:tc>
          <w:tcPr>
            <w:tcW w:w="3182" w:type="dxa"/>
            <w:vAlign w:val="center"/>
          </w:tcPr>
          <w:p w14:paraId="242BEE78">
            <w:pPr>
              <w:ind w:left="0"/>
              <w:rPr>
                <w:sz w:val="20"/>
                <w:lang w:eastAsia="zh-CN"/>
              </w:rPr>
            </w:pPr>
            <w:r>
              <w:rPr>
                <w:rFonts w:hint="eastAsia" w:ascii="宋体" w:hAnsi="宋体" w:eastAsia="宋体" w:cs="宋体"/>
                <w:sz w:val="20"/>
                <w:lang w:eastAsia="zh-CN"/>
              </w:rPr>
              <w:t>广西壮族自治区桂东人民医院</w:t>
            </w:r>
          </w:p>
        </w:tc>
        <w:tc>
          <w:tcPr>
            <w:tcW w:w="1638" w:type="dxa"/>
            <w:vAlign w:val="center"/>
          </w:tcPr>
          <w:p w14:paraId="3F48E733">
            <w:pPr>
              <w:ind w:left="0"/>
              <w:rPr>
                <w:sz w:val="20"/>
              </w:rPr>
            </w:pPr>
            <w:r>
              <w:rPr>
                <w:rFonts w:hint="eastAsia" w:ascii="宋体" w:hAnsi="宋体" w:eastAsia="宋体" w:cs="宋体"/>
                <w:sz w:val="20"/>
              </w:rPr>
              <w:t>供应商（乙方）：</w:t>
            </w:r>
          </w:p>
        </w:tc>
        <w:tc>
          <w:tcPr>
            <w:tcW w:w="2869" w:type="dxa"/>
            <w:vAlign w:val="center"/>
          </w:tcPr>
          <w:p w14:paraId="2758F88A">
            <w:pPr>
              <w:rPr>
                <w:sz w:val="20"/>
              </w:rPr>
            </w:pPr>
          </w:p>
        </w:tc>
      </w:tr>
      <w:tr w14:paraId="5BD9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643" w:type="dxa"/>
            <w:vAlign w:val="center"/>
          </w:tcPr>
          <w:p w14:paraId="56BD608F">
            <w:pPr>
              <w:ind w:left="0"/>
              <w:rPr>
                <w:sz w:val="20"/>
              </w:rPr>
            </w:pPr>
            <w:r>
              <w:rPr>
                <w:rFonts w:hint="eastAsia" w:ascii="宋体" w:hAnsi="宋体" w:eastAsia="宋体" w:cs="宋体"/>
                <w:sz w:val="20"/>
              </w:rPr>
              <w:t>签订地点：</w:t>
            </w:r>
          </w:p>
        </w:tc>
        <w:tc>
          <w:tcPr>
            <w:tcW w:w="3182" w:type="dxa"/>
            <w:vAlign w:val="center"/>
          </w:tcPr>
          <w:p w14:paraId="5D16A659">
            <w:pPr>
              <w:rPr>
                <w:sz w:val="20"/>
              </w:rPr>
            </w:pPr>
          </w:p>
        </w:tc>
        <w:tc>
          <w:tcPr>
            <w:tcW w:w="1638" w:type="dxa"/>
            <w:vAlign w:val="center"/>
          </w:tcPr>
          <w:p w14:paraId="1C716A10">
            <w:pPr>
              <w:ind w:left="0"/>
              <w:rPr>
                <w:sz w:val="20"/>
              </w:rPr>
            </w:pPr>
            <w:r>
              <w:rPr>
                <w:rFonts w:hint="eastAsia" w:ascii="宋体" w:hAnsi="宋体" w:eastAsia="宋体" w:cs="宋体"/>
                <w:sz w:val="20"/>
              </w:rPr>
              <w:t>签订时间：</w:t>
            </w:r>
          </w:p>
        </w:tc>
        <w:tc>
          <w:tcPr>
            <w:tcW w:w="2869" w:type="dxa"/>
            <w:vAlign w:val="center"/>
          </w:tcPr>
          <w:p w14:paraId="234BC11C">
            <w:pPr>
              <w:rPr>
                <w:sz w:val="20"/>
              </w:rPr>
            </w:pPr>
          </w:p>
        </w:tc>
      </w:tr>
    </w:tbl>
    <w:p w14:paraId="7C25FDE8">
      <w:pPr>
        <w:spacing w:before="0" w:line="460" w:lineRule="exact"/>
        <w:ind w:left="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 xml:space="preserve">    根据《中华人民共和国政府采购法》、《中华人民共和国政府采购法实施条例》等法律、法规规定，按照招标文件规定、乙方投标文件及其承诺和中标通知书，</w:t>
      </w:r>
      <w:r>
        <w:rPr>
          <w:rFonts w:hint="eastAsia" w:ascii="仿宋_GB2312" w:eastAsia="仿宋_GB2312"/>
          <w:sz w:val="28"/>
          <w:szCs w:val="28"/>
          <w:lang w:eastAsia="zh-CN"/>
        </w:rPr>
        <w:t xml:space="preserve"> </w:t>
      </w:r>
      <w:r>
        <w:rPr>
          <w:rFonts w:hint="eastAsia" w:ascii="仿宋_GB2312" w:hAnsi="宋体" w:eastAsia="仿宋_GB2312" w:cs="宋体"/>
          <w:sz w:val="28"/>
          <w:szCs w:val="28"/>
          <w:lang w:eastAsia="zh-CN"/>
        </w:rPr>
        <w:t>甲乙双方签订本合同。</w:t>
      </w:r>
    </w:p>
    <w:p w14:paraId="145E7628">
      <w:pPr>
        <w:spacing w:before="0" w:line="460" w:lineRule="exact"/>
        <w:ind w:left="0" w:firstLine="560" w:firstLineChars="200"/>
        <w:jc w:val="left"/>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en-US"/>
        </w:rPr>
        <w:t>第一条</w:t>
      </w:r>
      <w:r>
        <w:rPr>
          <w:rFonts w:hint="eastAsia" w:ascii="仿宋_GB2312" w:hAnsi="宋体" w:eastAsia="仿宋_GB2312" w:cs="宋体"/>
          <w:sz w:val="28"/>
          <w:szCs w:val="28"/>
          <w:lang w:eastAsia="zh-CN"/>
        </w:rPr>
        <w:t xml:space="preserve"> 合同文件</w:t>
      </w:r>
    </w:p>
    <w:p w14:paraId="375FFA29">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val="en-US" w:eastAsia="zh-CN"/>
        </w:rPr>
        <w:t>1.</w:t>
      </w:r>
      <w:r>
        <w:rPr>
          <w:rFonts w:hint="eastAsia" w:ascii="仿宋_GB2312" w:hAnsi="宋体" w:eastAsia="仿宋_GB2312" w:cs="宋体"/>
          <w:color w:val="FF0000"/>
          <w:sz w:val="28"/>
          <w:szCs w:val="28"/>
          <w:lang w:eastAsia="zh-CN"/>
        </w:rPr>
        <w:t>本合同所附下列文件是构成本合同不可分割的部分：</w:t>
      </w:r>
    </w:p>
    <w:p w14:paraId="5B411853">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⑴ 合同基本条款；</w:t>
      </w:r>
    </w:p>
    <w:p w14:paraId="5EF628B7">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⑵ 投标人提交的投标函、投标报价表和售后服务承诺等全部投标文件；</w:t>
      </w:r>
    </w:p>
    <w:p w14:paraId="57F2CF12">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⑶ 项目需求和说明；</w:t>
      </w:r>
    </w:p>
    <w:p w14:paraId="21251647">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⑷ 甲、乙双方商定确认后的补充协议。</w:t>
      </w:r>
    </w:p>
    <w:p w14:paraId="26D925C8">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2、合同范围和条件</w:t>
      </w:r>
    </w:p>
    <w:p w14:paraId="2EBAAF5B">
      <w:pPr>
        <w:spacing w:before="0" w:line="460" w:lineRule="exact"/>
        <w:ind w:left="0" w:firstLine="560" w:firstLineChars="200"/>
        <w:jc w:val="left"/>
        <w:rPr>
          <w:rFonts w:hint="eastAsia" w:ascii="仿宋_GB2312" w:hAnsi="宋体" w:eastAsia="仿宋_GB2312" w:cs="宋体"/>
          <w:color w:val="FF0000"/>
          <w:sz w:val="28"/>
          <w:szCs w:val="28"/>
          <w:lang w:eastAsia="zh-CN"/>
        </w:rPr>
      </w:pPr>
      <w:r>
        <w:rPr>
          <w:rFonts w:hint="eastAsia" w:ascii="仿宋_GB2312" w:hAnsi="宋体" w:eastAsia="仿宋_GB2312" w:cs="宋体"/>
          <w:color w:val="FF0000"/>
          <w:sz w:val="28"/>
          <w:szCs w:val="28"/>
          <w:lang w:eastAsia="zh-CN"/>
        </w:rPr>
        <w:t>本合同的范围和条件应与上述合同文件的规定相一致。</w:t>
      </w:r>
    </w:p>
    <w:p w14:paraId="5A41960D">
      <w:pPr>
        <w:numPr>
          <w:ilvl w:val="0"/>
          <w:numId w:val="0"/>
        </w:numPr>
        <w:spacing w:before="234" w:line="228" w:lineRule="auto"/>
        <w:ind w:left="611" w:leftChars="0"/>
        <w:jc w:val="left"/>
        <w:rPr>
          <w:rFonts w:ascii="仿宋_GB2312" w:hAnsi="宋体" w:eastAsia="仿宋_GB2312" w:cs="宋体"/>
          <w:sz w:val="28"/>
          <w:szCs w:val="28"/>
          <w:lang w:eastAsia="zh-CN"/>
        </w:rPr>
      </w:pPr>
      <w:r>
        <w:rPr>
          <w:rFonts w:hint="eastAsia" w:ascii="仿宋_GB2312" w:hAnsi="宋体" w:eastAsia="仿宋_GB2312" w:cs="宋体"/>
          <w:snapToGrid w:val="0"/>
          <w:color w:val="000000"/>
          <w:kern w:val="0"/>
          <w:sz w:val="28"/>
          <w:szCs w:val="28"/>
          <w:lang w:val="en-US" w:eastAsia="zh-CN" w:bidi="ar-SA"/>
        </w:rPr>
        <w:t xml:space="preserve">第二条 </w:t>
      </w:r>
      <w:r>
        <w:rPr>
          <w:rFonts w:hint="eastAsia" w:ascii="仿宋_GB2312" w:hAnsi="宋体" w:eastAsia="仿宋_GB2312" w:cs="宋体"/>
          <w:sz w:val="28"/>
          <w:szCs w:val="28"/>
          <w:lang w:eastAsia="zh-CN"/>
        </w:rPr>
        <w:t>合同标的</w:t>
      </w:r>
    </w:p>
    <w:p w14:paraId="65504009">
      <w:pPr>
        <w:spacing w:before="233" w:line="228" w:lineRule="auto"/>
        <w:ind w:left="628"/>
        <w:jc w:val="both"/>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1.合同标的一览表</w:t>
      </w:r>
    </w:p>
    <w:tbl>
      <w:tblPr>
        <w:tblStyle w:val="9"/>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303"/>
        <w:gridCol w:w="661"/>
        <w:gridCol w:w="1049"/>
        <w:gridCol w:w="1959"/>
        <w:gridCol w:w="653"/>
        <w:gridCol w:w="744"/>
        <w:gridCol w:w="1231"/>
        <w:gridCol w:w="1444"/>
      </w:tblGrid>
      <w:tr w14:paraId="744C7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500" w:type="dxa"/>
            <w:textDirection w:val="tbRlV"/>
          </w:tcPr>
          <w:p w14:paraId="015BFA63">
            <w:pPr>
              <w:pStyle w:val="10"/>
              <w:spacing w:before="143" w:line="218" w:lineRule="auto"/>
              <w:ind w:left="113"/>
            </w:pPr>
            <w:r>
              <w:rPr>
                <w:spacing w:val="8"/>
              </w:rPr>
              <w:t>序</w:t>
            </w:r>
            <w:r>
              <w:rPr>
                <w:spacing w:val="90"/>
              </w:rPr>
              <w:t xml:space="preserve"> </w:t>
            </w:r>
            <w:r>
              <w:rPr>
                <w:spacing w:val="8"/>
              </w:rPr>
              <w:t>号</w:t>
            </w:r>
          </w:p>
        </w:tc>
        <w:tc>
          <w:tcPr>
            <w:tcW w:w="1303" w:type="dxa"/>
          </w:tcPr>
          <w:p w14:paraId="44A42BAA">
            <w:pPr>
              <w:pStyle w:val="10"/>
              <w:spacing w:before="156" w:line="398" w:lineRule="exact"/>
              <w:ind w:left="445"/>
            </w:pPr>
            <w:r>
              <w:rPr>
                <w:spacing w:val="4"/>
                <w:position w:val="14"/>
              </w:rPr>
              <w:t>标的</w:t>
            </w:r>
          </w:p>
          <w:p w14:paraId="6A69E3BD">
            <w:pPr>
              <w:pStyle w:val="10"/>
              <w:spacing w:line="229" w:lineRule="auto"/>
              <w:ind w:left="447"/>
            </w:pPr>
            <w:r>
              <w:rPr>
                <w:spacing w:val="3"/>
              </w:rPr>
              <w:t>名称</w:t>
            </w:r>
          </w:p>
        </w:tc>
        <w:tc>
          <w:tcPr>
            <w:tcW w:w="661" w:type="dxa"/>
          </w:tcPr>
          <w:p w14:paraId="7819735F">
            <w:pPr>
              <w:pStyle w:val="10"/>
              <w:spacing w:before="156" w:line="398" w:lineRule="exact"/>
              <w:ind w:left="127"/>
            </w:pPr>
            <w:r>
              <w:rPr>
                <w:spacing w:val="2"/>
                <w:position w:val="14"/>
              </w:rPr>
              <w:t>商标</w:t>
            </w:r>
          </w:p>
          <w:p w14:paraId="0B1BEAFF">
            <w:pPr>
              <w:pStyle w:val="10"/>
              <w:spacing w:line="227" w:lineRule="auto"/>
              <w:ind w:left="140"/>
            </w:pPr>
            <w:r>
              <w:rPr>
                <w:spacing w:val="-4"/>
              </w:rPr>
              <w:t>品牌</w:t>
            </w:r>
          </w:p>
        </w:tc>
        <w:tc>
          <w:tcPr>
            <w:tcW w:w="1049" w:type="dxa"/>
          </w:tcPr>
          <w:p w14:paraId="1C7672E8">
            <w:pPr>
              <w:pStyle w:val="10"/>
              <w:spacing w:before="156" w:line="398" w:lineRule="exact"/>
              <w:ind w:left="326"/>
            </w:pPr>
            <w:r>
              <w:rPr>
                <w:spacing w:val="1"/>
                <w:position w:val="14"/>
              </w:rPr>
              <w:t>型号</w:t>
            </w:r>
          </w:p>
          <w:p w14:paraId="102B8B3F">
            <w:pPr>
              <w:pStyle w:val="10"/>
              <w:spacing w:line="227" w:lineRule="auto"/>
              <w:ind w:left="321"/>
            </w:pPr>
            <w:r>
              <w:rPr>
                <w:spacing w:val="3"/>
              </w:rPr>
              <w:t>参数</w:t>
            </w:r>
          </w:p>
        </w:tc>
        <w:tc>
          <w:tcPr>
            <w:tcW w:w="1959" w:type="dxa"/>
          </w:tcPr>
          <w:p w14:paraId="4FDC98C9">
            <w:pPr>
              <w:pStyle w:val="10"/>
              <w:spacing w:before="156" w:line="398" w:lineRule="exact"/>
              <w:ind w:left="777"/>
            </w:pPr>
            <w:r>
              <w:rPr>
                <w:spacing w:val="3"/>
                <w:position w:val="14"/>
              </w:rPr>
              <w:t>生产</w:t>
            </w:r>
          </w:p>
          <w:p w14:paraId="44B37D8E">
            <w:pPr>
              <w:pStyle w:val="10"/>
              <w:spacing w:line="228" w:lineRule="auto"/>
              <w:ind w:left="777"/>
            </w:pPr>
            <w:r>
              <w:rPr>
                <w:spacing w:val="3"/>
              </w:rPr>
              <w:t>厂家</w:t>
            </w:r>
          </w:p>
        </w:tc>
        <w:tc>
          <w:tcPr>
            <w:tcW w:w="653" w:type="dxa"/>
            <w:textDirection w:val="tbRlV"/>
          </w:tcPr>
          <w:p w14:paraId="25B6D5D6">
            <w:pPr>
              <w:pStyle w:val="10"/>
              <w:spacing w:before="219" w:line="216" w:lineRule="auto"/>
              <w:ind w:left="113"/>
            </w:pPr>
            <w:r>
              <w:rPr>
                <w:spacing w:val="8"/>
              </w:rPr>
              <w:t>数</w:t>
            </w:r>
            <w:r>
              <w:rPr>
                <w:spacing w:val="90"/>
              </w:rPr>
              <w:t xml:space="preserve"> </w:t>
            </w:r>
            <w:r>
              <w:rPr>
                <w:spacing w:val="8"/>
              </w:rPr>
              <w:t>量</w:t>
            </w:r>
          </w:p>
        </w:tc>
        <w:tc>
          <w:tcPr>
            <w:tcW w:w="744" w:type="dxa"/>
          </w:tcPr>
          <w:p w14:paraId="2E81ABFD">
            <w:pPr>
              <w:spacing w:line="288" w:lineRule="auto"/>
              <w:rPr>
                <w:sz w:val="20"/>
              </w:rPr>
            </w:pPr>
          </w:p>
          <w:p w14:paraId="6201899E">
            <w:pPr>
              <w:pStyle w:val="10"/>
              <w:spacing w:before="65" w:line="228" w:lineRule="auto"/>
              <w:ind w:left="171"/>
            </w:pPr>
            <w:r>
              <w:rPr>
                <w:spacing w:val="3"/>
              </w:rPr>
              <w:t>单位</w:t>
            </w:r>
          </w:p>
        </w:tc>
        <w:tc>
          <w:tcPr>
            <w:tcW w:w="1231" w:type="dxa"/>
          </w:tcPr>
          <w:p w14:paraId="6A1E37EE">
            <w:pPr>
              <w:pStyle w:val="10"/>
              <w:spacing w:before="156" w:line="398" w:lineRule="exact"/>
              <w:ind w:left="413"/>
            </w:pPr>
            <w:r>
              <w:rPr>
                <w:spacing w:val="3"/>
                <w:position w:val="14"/>
              </w:rPr>
              <w:t>单价</w:t>
            </w:r>
          </w:p>
          <w:p w14:paraId="698478F0">
            <w:pPr>
              <w:pStyle w:val="10"/>
              <w:spacing w:line="228" w:lineRule="auto"/>
              <w:ind w:left="319"/>
            </w:pPr>
            <w:r>
              <w:rPr>
                <w:spacing w:val="-1"/>
              </w:rPr>
              <w:t>（元）</w:t>
            </w:r>
          </w:p>
        </w:tc>
        <w:tc>
          <w:tcPr>
            <w:tcW w:w="1444" w:type="dxa"/>
          </w:tcPr>
          <w:p w14:paraId="57D47A59">
            <w:pPr>
              <w:pStyle w:val="10"/>
              <w:spacing w:before="156" w:line="398" w:lineRule="exact"/>
              <w:ind w:left="518"/>
            </w:pPr>
            <w:r>
              <w:rPr>
                <w:spacing w:val="4"/>
                <w:position w:val="14"/>
              </w:rPr>
              <w:t>合计</w:t>
            </w:r>
          </w:p>
          <w:p w14:paraId="7D7E05EC">
            <w:pPr>
              <w:pStyle w:val="10"/>
              <w:spacing w:line="228" w:lineRule="auto"/>
              <w:ind w:left="422"/>
            </w:pPr>
            <w:r>
              <w:rPr>
                <w:spacing w:val="-1"/>
              </w:rPr>
              <w:t>（元）</w:t>
            </w:r>
          </w:p>
        </w:tc>
      </w:tr>
      <w:tr w14:paraId="44DB3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500" w:type="dxa"/>
          </w:tcPr>
          <w:p w14:paraId="69F734F3">
            <w:pPr>
              <w:spacing w:line="258" w:lineRule="auto"/>
              <w:rPr>
                <w:sz w:val="20"/>
              </w:rPr>
            </w:pPr>
          </w:p>
          <w:p w14:paraId="526ACCCA">
            <w:pPr>
              <w:spacing w:line="259" w:lineRule="auto"/>
              <w:rPr>
                <w:rFonts w:hint="eastAsia" w:eastAsia="宋体"/>
                <w:sz w:val="20"/>
                <w:lang w:val="en-US" w:eastAsia="zh-CN"/>
              </w:rPr>
            </w:pPr>
            <w:r>
              <w:rPr>
                <w:rFonts w:hint="eastAsia" w:eastAsia="宋体"/>
                <w:sz w:val="20"/>
                <w:lang w:val="en-US" w:eastAsia="zh-CN"/>
              </w:rPr>
              <w:t>1</w:t>
            </w:r>
          </w:p>
          <w:p w14:paraId="703AE1E8">
            <w:pPr>
              <w:spacing w:before="58" w:line="195" w:lineRule="auto"/>
              <w:ind w:left="219"/>
              <w:rPr>
                <w:rFonts w:ascii="Times New Roman" w:hAnsi="Times New Roman" w:eastAsia="Times New Roman" w:cs="Times New Roman"/>
                <w:sz w:val="20"/>
                <w:szCs w:val="20"/>
              </w:rPr>
            </w:pPr>
          </w:p>
        </w:tc>
        <w:tc>
          <w:tcPr>
            <w:tcW w:w="1303" w:type="dxa"/>
          </w:tcPr>
          <w:p w14:paraId="6D7EA7A2">
            <w:pPr>
              <w:spacing w:line="276" w:lineRule="auto"/>
              <w:rPr>
                <w:sz w:val="20"/>
              </w:rPr>
            </w:pPr>
          </w:p>
          <w:p w14:paraId="13CD9EB3">
            <w:pPr>
              <w:pStyle w:val="10"/>
              <w:spacing w:line="227" w:lineRule="auto"/>
              <w:ind w:left="445"/>
            </w:pPr>
            <w:r>
              <w:rPr>
                <w:rFonts w:hint="eastAsia"/>
              </w:rPr>
              <w:t>2024年消防水带采购</w:t>
            </w:r>
          </w:p>
        </w:tc>
        <w:tc>
          <w:tcPr>
            <w:tcW w:w="661" w:type="dxa"/>
          </w:tcPr>
          <w:p w14:paraId="33570BF3">
            <w:pPr>
              <w:spacing w:line="473" w:lineRule="auto"/>
              <w:rPr>
                <w:sz w:val="20"/>
              </w:rPr>
            </w:pPr>
          </w:p>
          <w:p w14:paraId="6EC32E14">
            <w:pPr>
              <w:pStyle w:val="10"/>
              <w:spacing w:before="65" w:line="228" w:lineRule="auto"/>
              <w:ind w:left="130"/>
            </w:pPr>
          </w:p>
        </w:tc>
        <w:tc>
          <w:tcPr>
            <w:tcW w:w="1049" w:type="dxa"/>
          </w:tcPr>
          <w:p w14:paraId="23AE404B">
            <w:pPr>
              <w:spacing w:line="319" w:lineRule="auto"/>
              <w:rPr>
                <w:sz w:val="20"/>
              </w:rPr>
            </w:pPr>
          </w:p>
          <w:p w14:paraId="44DC068D">
            <w:pPr>
              <w:spacing w:line="198" w:lineRule="auto"/>
              <w:ind w:left="142"/>
              <w:rPr>
                <w:rFonts w:ascii="Times New Roman" w:hAnsi="Times New Roman" w:eastAsia="Times New Roman" w:cs="Times New Roman"/>
                <w:sz w:val="20"/>
                <w:szCs w:val="20"/>
              </w:rPr>
            </w:pPr>
          </w:p>
        </w:tc>
        <w:tc>
          <w:tcPr>
            <w:tcW w:w="1959" w:type="dxa"/>
          </w:tcPr>
          <w:p w14:paraId="72C3293F">
            <w:pPr>
              <w:pStyle w:val="10"/>
              <w:spacing w:before="153" w:line="228" w:lineRule="auto"/>
              <w:ind w:left="781"/>
            </w:pPr>
          </w:p>
        </w:tc>
        <w:tc>
          <w:tcPr>
            <w:tcW w:w="653" w:type="dxa"/>
          </w:tcPr>
          <w:p w14:paraId="2872048D">
            <w:pPr>
              <w:pStyle w:val="10"/>
              <w:spacing w:line="227" w:lineRule="auto"/>
              <w:ind w:left="445"/>
              <w:rPr>
                <w:rFonts w:hint="eastAsia"/>
              </w:rPr>
            </w:pPr>
          </w:p>
          <w:p w14:paraId="52A280E0">
            <w:pPr>
              <w:spacing w:before="58" w:line="195" w:lineRule="auto"/>
              <w:ind w:left="29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300</w:t>
            </w:r>
          </w:p>
        </w:tc>
        <w:tc>
          <w:tcPr>
            <w:tcW w:w="744" w:type="dxa"/>
            <w:vAlign w:val="center"/>
          </w:tcPr>
          <w:p w14:paraId="2D663885">
            <w:pPr>
              <w:pStyle w:val="10"/>
              <w:spacing w:line="227" w:lineRule="auto"/>
              <w:ind w:left="445"/>
              <w:jc w:val="center"/>
              <w:rPr>
                <w:rFonts w:hint="eastAsia"/>
                <w:lang w:eastAsia="zh-CN"/>
              </w:rPr>
            </w:pPr>
            <w:r>
              <w:rPr>
                <w:rFonts w:hint="eastAsia"/>
                <w:lang w:eastAsia="zh-CN"/>
              </w:rPr>
              <w:t>套</w:t>
            </w:r>
          </w:p>
          <w:p w14:paraId="6EBF4263">
            <w:pPr>
              <w:pStyle w:val="10"/>
              <w:spacing w:before="65" w:line="230" w:lineRule="auto"/>
              <w:ind w:left="289"/>
              <w:jc w:val="center"/>
            </w:pPr>
          </w:p>
        </w:tc>
        <w:tc>
          <w:tcPr>
            <w:tcW w:w="1231" w:type="dxa"/>
          </w:tcPr>
          <w:p w14:paraId="6DD8CED0">
            <w:pPr>
              <w:spacing w:line="258" w:lineRule="auto"/>
              <w:rPr>
                <w:sz w:val="20"/>
              </w:rPr>
            </w:pPr>
          </w:p>
          <w:p w14:paraId="13372FA9">
            <w:pPr>
              <w:spacing w:line="259" w:lineRule="auto"/>
              <w:rPr>
                <w:sz w:val="20"/>
              </w:rPr>
            </w:pPr>
          </w:p>
          <w:p w14:paraId="68C918BE">
            <w:pPr>
              <w:spacing w:before="57" w:line="195" w:lineRule="auto"/>
              <w:ind w:left="140"/>
              <w:rPr>
                <w:rFonts w:ascii="Times New Roman" w:hAnsi="Times New Roman" w:eastAsia="Times New Roman" w:cs="Times New Roman"/>
                <w:sz w:val="20"/>
                <w:szCs w:val="20"/>
              </w:rPr>
            </w:pPr>
          </w:p>
        </w:tc>
        <w:tc>
          <w:tcPr>
            <w:tcW w:w="1444" w:type="dxa"/>
          </w:tcPr>
          <w:p w14:paraId="72887ECF">
            <w:pPr>
              <w:spacing w:line="258" w:lineRule="auto"/>
              <w:rPr>
                <w:sz w:val="20"/>
              </w:rPr>
            </w:pPr>
          </w:p>
          <w:p w14:paraId="67674547">
            <w:pPr>
              <w:spacing w:line="259" w:lineRule="auto"/>
              <w:rPr>
                <w:sz w:val="20"/>
              </w:rPr>
            </w:pPr>
          </w:p>
          <w:p w14:paraId="4AB594D4">
            <w:pPr>
              <w:spacing w:before="57" w:line="195" w:lineRule="auto"/>
              <w:ind w:left="246"/>
              <w:rPr>
                <w:rFonts w:ascii="Times New Roman" w:hAnsi="Times New Roman" w:eastAsia="Times New Roman" w:cs="Times New Roman"/>
                <w:sz w:val="20"/>
                <w:szCs w:val="20"/>
              </w:rPr>
            </w:pPr>
          </w:p>
        </w:tc>
      </w:tr>
      <w:tr w14:paraId="32967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9544" w:type="dxa"/>
            <w:gridSpan w:val="9"/>
          </w:tcPr>
          <w:p w14:paraId="66E8A482">
            <w:pPr>
              <w:pStyle w:val="10"/>
              <w:spacing w:before="146" w:line="226" w:lineRule="auto"/>
              <w:ind w:left="120"/>
              <w:rPr>
                <w:rFonts w:ascii="Times New Roman" w:hAnsi="Times New Roman" w:eastAsia="Times New Roman" w:cs="Times New Roman"/>
                <w:lang w:eastAsia="zh-CN"/>
              </w:rPr>
            </w:pPr>
            <w:r>
              <w:rPr>
                <w:spacing w:val="8"/>
                <w:lang w:eastAsia="zh-CN"/>
              </w:rPr>
              <w:t>总价（人民币</w:t>
            </w:r>
            <w:r>
              <w:rPr>
                <w:spacing w:val="-5"/>
                <w:lang w:eastAsia="zh-CN"/>
              </w:rPr>
              <w:t>）（</w:t>
            </w:r>
            <w:r>
              <w:rPr>
                <w:spacing w:val="8"/>
                <w:lang w:eastAsia="zh-CN"/>
              </w:rPr>
              <w:t xml:space="preserve">大写）         </w:t>
            </w:r>
            <w:r>
              <w:rPr>
                <w:spacing w:val="7"/>
                <w:lang w:eastAsia="zh-CN"/>
              </w:rPr>
              <w:t xml:space="preserve">    </w:t>
            </w:r>
            <w:r>
              <w:rPr>
                <w:rFonts w:hint="eastAsia"/>
                <w:spacing w:val="7"/>
                <w:lang w:eastAsia="zh-CN"/>
              </w:rPr>
              <w:t xml:space="preserve">              </w:t>
            </w:r>
            <w:r>
              <w:rPr>
                <w:spacing w:val="7"/>
                <w:lang w:eastAsia="zh-CN"/>
              </w:rPr>
              <w:t xml:space="preserve">  （小写）</w:t>
            </w:r>
            <w:r>
              <w:rPr>
                <w:rFonts w:ascii="Times New Roman" w:hAnsi="Times New Roman" w:eastAsia="Times New Roman" w:cs="Times New Roman"/>
                <w:spacing w:val="7"/>
                <w:lang w:eastAsia="zh-CN"/>
              </w:rPr>
              <w:t>¥</w:t>
            </w:r>
          </w:p>
        </w:tc>
      </w:tr>
    </w:tbl>
    <w:p w14:paraId="0DDC626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2.合同价格形式：</w:t>
      </w:r>
      <w:r>
        <w:rPr>
          <w:rFonts w:hint="eastAsia" w:ascii="仿宋_GB2312" w:hAnsi="宋体" w:eastAsia="仿宋_GB2312" w:cs="宋体"/>
          <w:sz w:val="28"/>
          <w:szCs w:val="28"/>
          <w:lang w:eastAsia="zh-CN"/>
        </w:rPr>
        <w:t>☑</w:t>
      </w:r>
      <w:r>
        <w:rPr>
          <w:rFonts w:ascii="仿宋_GB2312" w:hAnsi="宋体" w:eastAsia="仿宋_GB2312" w:cs="宋体"/>
          <w:sz w:val="28"/>
          <w:szCs w:val="28"/>
          <w:lang w:eastAsia="zh-CN"/>
        </w:rPr>
        <w:t>固定总价 □固定单价□成本补偿□绩效激励□其他</w:t>
      </w:r>
      <w:r>
        <w:rPr>
          <w:rFonts w:hint="eastAsia" w:ascii="仿宋_GB2312" w:hAnsi="宋体" w:eastAsia="仿宋_GB2312" w:cs="宋体"/>
          <w:sz w:val="28"/>
          <w:szCs w:val="28"/>
          <w:lang w:eastAsia="zh-CN"/>
        </w:rPr>
        <w:t>。</w:t>
      </w:r>
    </w:p>
    <w:p w14:paraId="1702EFB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3.合同总价包括产品价、运输费（含装卸费）、保险费、安装调试费、税费、培训费、产品检测费、产品质保期内维护等费用。</w:t>
      </w:r>
    </w:p>
    <w:p w14:paraId="73AC603D">
      <w:pPr>
        <w:spacing w:before="234" w:line="228" w:lineRule="auto"/>
        <w:ind w:left="611"/>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三</w:t>
      </w:r>
      <w:r>
        <w:rPr>
          <w:rFonts w:ascii="仿宋_GB2312" w:hAnsi="宋体" w:eastAsia="仿宋_GB2312" w:cs="宋体"/>
          <w:sz w:val="28"/>
          <w:szCs w:val="28"/>
          <w:lang w:eastAsia="zh-CN"/>
        </w:rPr>
        <w:t>条  质量保证</w:t>
      </w:r>
    </w:p>
    <w:p w14:paraId="3E3133D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 乙方所提供的货物型号、技术规格、技术参数等指标必须与招标文件要求、投标文件响应和承诺相 一致。合同标的一览表中如有列入节能产品或环境标志产品政府采购品目清单的产品，乙方必须提供在清 单中的产品，合同标的一览表中如有网络安全专用产品，乙方必须提供在《网络关键设备和网络安全专用</w:t>
      </w:r>
    </w:p>
    <w:p w14:paraId="1E86EE9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产品安全认证和安全检测结果》中的产品或具有《计算机信息系统安全专用产品销售许可证》的产品。</w:t>
      </w:r>
    </w:p>
    <w:p w14:paraId="2695EDF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 乙方所提供的货物必须是全新、未使用且一年内生产的原装产品，且在正常安装、使用和保养条件下，其使用寿命期内各项指标均达到招标文件要求。</w:t>
      </w:r>
    </w:p>
    <w:p w14:paraId="0052092C">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四</w:t>
      </w:r>
      <w:r>
        <w:rPr>
          <w:rFonts w:ascii="仿宋_GB2312" w:hAnsi="宋体" w:eastAsia="仿宋_GB2312" w:cs="宋体"/>
          <w:sz w:val="28"/>
          <w:szCs w:val="28"/>
          <w:lang w:eastAsia="zh-CN"/>
        </w:rPr>
        <w:t>条  权利保证</w:t>
      </w:r>
    </w:p>
    <w:p w14:paraId="3FAB16F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1.乙方应保证所提供货物在使用时不会侵犯任何第三方的专利权、商标权、工业设计权或其他权利。</w:t>
      </w:r>
    </w:p>
    <w:p w14:paraId="1943261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 乙方应按招标文件规定的时间向甲方提供使用货物的有关技术资料。</w:t>
      </w:r>
    </w:p>
    <w:p w14:paraId="083A093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1D572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 乙方保证所交付的货物的所有权完全属于乙方且无任何抵押、质押、查封等产权问题。</w:t>
      </w:r>
    </w:p>
    <w:p w14:paraId="401ADE1D">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5.如采购项目涉及采购标的的知识产权归属的，产权归属为</w:t>
      </w:r>
      <w:r>
        <w:rPr>
          <w:rFonts w:ascii="仿宋_GB2312" w:hAnsi="宋体" w:eastAsia="仿宋_GB2312" w:cs="宋体"/>
          <w:sz w:val="28"/>
          <w:szCs w:val="28"/>
          <w:u w:val="single"/>
          <w:lang w:eastAsia="zh-CN"/>
        </w:rPr>
        <w:t xml:space="preserve">： 甲方   </w:t>
      </w:r>
      <w:r>
        <w:rPr>
          <w:rFonts w:ascii="仿宋_GB2312" w:hAnsi="宋体" w:eastAsia="仿宋_GB2312" w:cs="宋体"/>
          <w:sz w:val="28"/>
          <w:szCs w:val="28"/>
          <w:lang w:eastAsia="zh-CN"/>
        </w:rPr>
        <w:t xml:space="preserve"> </w:t>
      </w:r>
    </w:p>
    <w:p w14:paraId="7196886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6.产权纠纷处理方式： 甲方在中华人民共和国境内使用乙方提供的产品及服务时免受第三方提出的侵 犯其专利权或其它知识产权的起诉。如果第三方提出侵权指控，乙方应妥善处理纠纷并承担由此而引起的一切法律责任和费用，包括但不限于诉讼费、保存费、赔偿款、律师费等。</w:t>
      </w:r>
    </w:p>
    <w:p w14:paraId="2C21C23C">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五</w:t>
      </w:r>
      <w:r>
        <w:rPr>
          <w:rFonts w:ascii="仿宋_GB2312" w:hAnsi="宋体" w:eastAsia="仿宋_GB2312" w:cs="宋体"/>
          <w:sz w:val="28"/>
          <w:szCs w:val="28"/>
          <w:lang w:eastAsia="zh-CN"/>
        </w:rPr>
        <w:t>条  包装和运输</w:t>
      </w:r>
    </w:p>
    <w:p w14:paraId="5975654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 乙方提供的货物均应按招标文件要求的包装材料、包装标准、包装方式进行包装，每一包装单元内应附详细的装箱单和质量合格证。</w:t>
      </w:r>
    </w:p>
    <w:p w14:paraId="1E03CA96">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2.使用说明书、质量检验证明书、随配附件和工具以及清单一并附于货物内。</w:t>
      </w:r>
    </w:p>
    <w:p w14:paraId="634390C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3.乙方应确保包装要求满足运输距离、防潮、防震、防锈和防破损装卸等要求，以保证货物安全运达甲方指定地点， 甲方不接受任何损耗。</w:t>
      </w:r>
    </w:p>
    <w:p w14:paraId="1BC3C08F">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4.乙方提供的货物包装及快递包装应满足《财政部等三部门联合印发商品包装和快递包装政府采购需求标准（试行）》财办库【2020】123 号文要求。</w:t>
      </w:r>
    </w:p>
    <w:p w14:paraId="784E0349">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5.乙方在货物发运手续办理完毕后二十四小时内或货到甲方四十八小时前通知甲方， 以准备交付。</w:t>
      </w:r>
    </w:p>
    <w:p w14:paraId="4DE3484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6.货物的运输方式：乙方自定。</w:t>
      </w:r>
    </w:p>
    <w:p w14:paraId="2AC0BD6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7.乙方负责货物运输，货物运输合理损耗及计算方法： 由乙方负责 。</w:t>
      </w:r>
    </w:p>
    <w:p w14:paraId="30737EF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8</w:t>
      </w:r>
      <w:r>
        <w:rPr>
          <w:rFonts w:hint="eastAsia" w:ascii="仿宋_GB2312" w:hAnsi="宋体" w:eastAsia="仿宋_GB2312" w:cs="宋体"/>
          <w:sz w:val="28"/>
          <w:szCs w:val="28"/>
          <w:lang w:eastAsia="zh-CN"/>
        </w:rPr>
        <w:t>.</w:t>
      </w:r>
      <w:r>
        <w:rPr>
          <w:rFonts w:ascii="仿宋_GB2312" w:hAnsi="宋体" w:eastAsia="仿宋_GB2312" w:cs="宋体"/>
          <w:sz w:val="28"/>
          <w:szCs w:val="28"/>
          <w:lang w:eastAsia="zh-CN"/>
        </w:rPr>
        <w:t>货物在交付甲方前发生的风险均由乙方承担。</w:t>
      </w:r>
    </w:p>
    <w:p w14:paraId="216A257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9.货物在规定的交付期限内由乙方送达甲方指定的地点并到货验收合格后视为交付，乙方同时需通知甲方货物已送达。</w:t>
      </w:r>
    </w:p>
    <w:p w14:paraId="2A19789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六</w:t>
      </w:r>
      <w:r>
        <w:rPr>
          <w:rFonts w:ascii="仿宋_GB2312" w:hAnsi="宋体" w:eastAsia="仿宋_GB2312" w:cs="宋体"/>
          <w:sz w:val="28"/>
          <w:szCs w:val="28"/>
          <w:lang w:eastAsia="zh-CN"/>
        </w:rPr>
        <w:t>条  交付和验收</w:t>
      </w:r>
    </w:p>
    <w:p w14:paraId="1742B3E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1.交付及使用时间： 自签订合同之日起</w:t>
      </w:r>
      <w:r>
        <w:rPr>
          <w:rFonts w:ascii="仿宋_GB2312" w:hAnsi="宋体" w:eastAsia="仿宋_GB2312" w:cs="宋体"/>
          <w:sz w:val="28"/>
          <w:szCs w:val="28"/>
          <w:u w:val="single"/>
          <w:lang w:eastAsia="zh-CN"/>
        </w:rPr>
        <w:t xml:space="preserve"> </w:t>
      </w:r>
      <w:r>
        <w:rPr>
          <w:rFonts w:hint="eastAsia" w:ascii="仿宋_GB2312" w:hAnsi="宋体" w:eastAsia="仿宋_GB2312" w:cs="宋体"/>
          <w:sz w:val="28"/>
          <w:szCs w:val="28"/>
          <w:u w:val="single"/>
          <w:lang w:val="en-US" w:eastAsia="zh-CN"/>
        </w:rPr>
        <w:t>7</w:t>
      </w:r>
      <w:r>
        <w:rPr>
          <w:rFonts w:hint="eastAsia" w:ascii="仿宋_GB2312" w:hAnsi="宋体" w:eastAsia="仿宋_GB2312" w:cs="宋体"/>
          <w:sz w:val="28"/>
          <w:szCs w:val="28"/>
          <w:u w:val="single"/>
          <w:lang w:eastAsia="zh-CN"/>
        </w:rPr>
        <w:t xml:space="preserve">  </w:t>
      </w:r>
      <w:r>
        <w:rPr>
          <w:rFonts w:ascii="仿宋_GB2312" w:hAnsi="宋体" w:eastAsia="仿宋_GB2312" w:cs="宋体"/>
          <w:sz w:val="28"/>
          <w:szCs w:val="28"/>
          <w:lang w:eastAsia="zh-CN"/>
        </w:rPr>
        <w:t>个工作日交货并安装调试完毕；地点： 甲方指定地点。</w:t>
      </w:r>
    </w:p>
    <w:p w14:paraId="78DC039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2.交付标准：乙方交付前应对货物作出全面检查后，将符合合同文件要求的货物与相关的装箱清单、用户手册、保修卡等单证和资料、工具和备品备件等一同交付给甲方。</w:t>
      </w:r>
    </w:p>
    <w:p w14:paraId="5905A77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3.验收程序：验收一般分为到货验收、初步验收及最终验收三次单项验收。经甲方同意，单项验收可以部分或全部合并进行。本项目采用的验收方式为：☑到货验收  ☑初步验收  ☑最终验收  □合并验收</w:t>
      </w:r>
    </w:p>
    <w:p w14:paraId="1B3952BB">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（1）到货验收： 甲方在接到乙方通知后对交付的货物依据验收标准进行到货验收，对品牌、规格型号、外观、有关资料及备品备件、包装要求符合招标文件及合同要求的，视为到货验收合格给予签收。</w:t>
      </w:r>
    </w:p>
    <w:p w14:paraId="5C584015">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（2）初步验收：货物需进行安装调试的，应在安装调试后进行初步验收。 甲方在接到乙方通知后进行初步验收。</w:t>
      </w:r>
    </w:p>
    <w:p w14:paraId="79B6A5C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（3）最终验收：货物满足合同交付标准后，依照本合同验收标准进行最终验收。 甲方在乙方通知后进行最终验收。</w:t>
      </w:r>
    </w:p>
    <w:p w14:paraId="39AA1E69">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（4）合并验收：将以上两项或三项单项验收合并进行。</w:t>
      </w:r>
    </w:p>
    <w:p w14:paraId="4F81849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4.样品：如果在投标或响应环节乙方提供样品的，乙方交付的货物应当与封存的样品质量相同或优于 样品质量。样品可以在到货验收或初步验收时进行检验，如交付货物与封存的样品质量不同则视为当次验收不合格。</w:t>
      </w:r>
    </w:p>
    <w:p w14:paraId="1ED33C5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5.验收标准：按国家有关标准以及甲方招标文件的采购需求、乙方的投标文件响应及承诺与本合同约 定进行验收；上述标准如有不一致事项，以招标文件与投标文件中对应要求或指标中较优作为验收标准。如果货物中有执行国家强制标准的，则验收标准不得低于国家强制标准。</w:t>
      </w:r>
    </w:p>
    <w:p w14:paraId="7B6D17E5">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6.验收地点及验收期限：到货验收地点为货物交付地点，其他验收地点为货物使用或安装地点；各单 项验收应在甲方收到乙方的书面验收申请后 5 个工作日内组织。乙方在提出验收申请时，应确保已具备验 收条件。甲方收到乙方书面通知后无故不进行验收工作并投入使用的，验收期限结束之日起视为当次单项验收合格。</w:t>
      </w:r>
    </w:p>
    <w:p w14:paraId="6BCD518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7.验收结果：在任一单项验收环节，甲、乙双方代表均应在场，交付的货物及相关资料、备品备件等 符合验收标准的为单项验收合格，不符合验收标准的为单项验收不合格。验收结果由甲方出具验收结果报 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1448F9B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 xml:space="preserve">8.不予签收或单项验收不合格的，乙方应在不同验收阶段的当次验收后 5个工作日内就不符合要求项 以补充、更换、修理等甲方认可的方式进行整改并重新验收，未按时进行整改或整改后重新验收仍不合格 的视为逾期交货，逾期交货最长不得超过 </w:t>
      </w:r>
      <w:r>
        <w:rPr>
          <w:rFonts w:hint="eastAsia" w:ascii="仿宋_GB2312" w:hAnsi="宋体" w:eastAsia="仿宋_GB2312" w:cs="宋体"/>
          <w:sz w:val="28"/>
          <w:szCs w:val="28"/>
          <w:lang w:eastAsia="zh-CN"/>
        </w:rPr>
        <w:t>10</w:t>
      </w:r>
      <w:r>
        <w:rPr>
          <w:rFonts w:ascii="仿宋_GB2312" w:hAnsi="宋体" w:eastAsia="仿宋_GB2312" w:cs="宋体"/>
          <w:sz w:val="28"/>
          <w:szCs w:val="28"/>
          <w:lang w:eastAsia="zh-CN"/>
        </w:rPr>
        <w:t>日，超过</w:t>
      </w:r>
      <w:r>
        <w:rPr>
          <w:rFonts w:hint="eastAsia" w:ascii="仿宋_GB2312" w:hAnsi="宋体" w:eastAsia="仿宋_GB2312" w:cs="宋体"/>
          <w:sz w:val="28"/>
          <w:szCs w:val="28"/>
          <w:lang w:eastAsia="zh-CN"/>
        </w:rPr>
        <w:t>10</w:t>
      </w:r>
      <w:r>
        <w:rPr>
          <w:rFonts w:ascii="仿宋_GB2312" w:hAnsi="宋体" w:eastAsia="仿宋_GB2312" w:cs="宋体"/>
          <w:sz w:val="28"/>
          <w:szCs w:val="28"/>
          <w:lang w:eastAsia="zh-CN"/>
        </w:rPr>
        <w:t>日则视为最终验收不合格。逾期交货不影响本条第 1 款约定的使用时间。</w:t>
      </w:r>
    </w:p>
    <w:p w14:paraId="3713AF49">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9. 甲方有权委托第三方机构组织验收，验收按上述规定执行，乙方应予以配合。对大型或技术复杂的货物，甲方应请国家认可的专业检测机构参与初步验收及最终验收，并由其出具质量检测报告。甲方委托 第三方机构组织或专业检测机构参与验收的，验收费用由乙方负责。费用标准参照国家或自治区有关规定执行。</w:t>
      </w:r>
    </w:p>
    <w:p w14:paraId="605A04C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10.其他未尽事宜应严格按照《关于印发广西壮族自治区政府采购项目履约验收管理办法的通知》[桂财采〔2015〕22 号]以及《财政部关于进一步加强政府采购需求和履约验收管理的指导意见》[财库〔2016〕205 号]规定执行。</w:t>
      </w:r>
    </w:p>
    <w:p w14:paraId="3FA92B6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11. 甲方委托第三方组织验收的，其验收时间、验收程序以该项目验收方案确定的验收时间、验收程序为准，验收结果以该项目验收报告结论为准。</w:t>
      </w:r>
    </w:p>
    <w:p w14:paraId="00CAF247">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12.履约验收方案详见附件。</w:t>
      </w:r>
    </w:p>
    <w:p w14:paraId="308CC1A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七</w:t>
      </w:r>
      <w:r>
        <w:rPr>
          <w:rFonts w:ascii="仿宋_GB2312" w:hAnsi="宋体" w:eastAsia="仿宋_GB2312" w:cs="宋体"/>
          <w:sz w:val="28"/>
          <w:szCs w:val="28"/>
          <w:lang w:eastAsia="zh-CN"/>
        </w:rPr>
        <w:t>条  安装和培训</w:t>
      </w:r>
    </w:p>
    <w:p w14:paraId="04BD46C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 甲方应提供必要安装条件（如场地、 电源、水源等）。</w:t>
      </w:r>
    </w:p>
    <w:p w14:paraId="408C3F0F">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 乙方负责甲方有关人员的培训。培训时间、地点：由甲方决定。</w:t>
      </w:r>
    </w:p>
    <w:p w14:paraId="353196CD">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八</w:t>
      </w:r>
      <w:r>
        <w:rPr>
          <w:rFonts w:ascii="仿宋_GB2312" w:hAnsi="宋体" w:eastAsia="仿宋_GB2312" w:cs="宋体"/>
          <w:sz w:val="28"/>
          <w:szCs w:val="28"/>
          <w:lang w:eastAsia="zh-CN"/>
        </w:rPr>
        <w:t>条  售后服务、质保期</w:t>
      </w:r>
    </w:p>
    <w:p w14:paraId="652287F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1.乙方应按照国家有关法律法规和“三包”规定以及招标文件、投标文件和本合同附件，为甲方提供售后服务。</w:t>
      </w:r>
    </w:p>
    <w:p w14:paraId="7E880F59">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2.货物质保期：质保期为自验收合格之日起整质保</w:t>
      </w:r>
      <w:r>
        <w:rPr>
          <w:rFonts w:hint="eastAsia" w:ascii="仿宋_GB2312" w:hAnsi="宋体" w:eastAsia="仿宋_GB2312" w:cs="宋体"/>
          <w:sz w:val="28"/>
          <w:szCs w:val="28"/>
          <w:u w:val="single"/>
          <w:lang w:eastAsia="zh-CN"/>
        </w:rPr>
        <w:t xml:space="preserve">  </w:t>
      </w:r>
      <w:r>
        <w:rPr>
          <w:rFonts w:hint="eastAsia" w:ascii="仿宋_GB2312" w:hAnsi="宋体" w:eastAsia="仿宋_GB2312" w:cs="宋体"/>
          <w:sz w:val="28"/>
          <w:szCs w:val="28"/>
          <w:u w:val="single"/>
          <w:lang w:val="en-US" w:eastAsia="zh-CN"/>
        </w:rPr>
        <w:t>1</w:t>
      </w:r>
      <w:r>
        <w:rPr>
          <w:rFonts w:hint="eastAsia" w:ascii="仿宋_GB2312" w:hAnsi="宋体" w:eastAsia="仿宋_GB2312" w:cs="宋体"/>
          <w:sz w:val="28"/>
          <w:szCs w:val="28"/>
          <w:u w:val="single"/>
          <w:lang w:eastAsia="zh-CN"/>
        </w:rPr>
        <w:t xml:space="preserve"> </w:t>
      </w:r>
      <w:r>
        <w:rPr>
          <w:rFonts w:ascii="仿宋_GB2312" w:hAnsi="宋体" w:eastAsia="仿宋_GB2312" w:cs="宋体"/>
          <w:sz w:val="28"/>
          <w:szCs w:val="28"/>
          <w:lang w:eastAsia="zh-CN"/>
        </w:rPr>
        <w:t>年。</w:t>
      </w:r>
    </w:p>
    <w:p w14:paraId="338D1E9F">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3.乙方提供货物的质量保证期按交货验收合格之日起计（期限见《采购需求》中的要求）。在保证期 内因货物本身的质量问题发生故障，乙方应负责免费修理和更换零部件。对达不到技术要求者，根据实际情况， 甲方可按以下办法处理：</w:t>
      </w:r>
    </w:p>
    <w:p w14:paraId="0CDDAE9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（1）更换：由乙方承担所发生的全部费用。</w:t>
      </w:r>
    </w:p>
    <w:p w14:paraId="60D8B4A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（2）退货处理：乙方应退还甲方支付的合同款，同时应承担该货物的直接费用（运输、保险、检验、货款利息及银行手续费等）。</w:t>
      </w:r>
    </w:p>
    <w:p w14:paraId="76E0FB0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4.如在使用过程中发生质量问题，乙方在接到甲方通知后在</w:t>
      </w:r>
      <w:r>
        <w:rPr>
          <w:rFonts w:ascii="仿宋_GB2312" w:hAnsi="宋体" w:eastAsia="仿宋_GB2312" w:cs="宋体"/>
          <w:sz w:val="28"/>
          <w:szCs w:val="28"/>
          <w:u w:val="single"/>
          <w:lang w:eastAsia="zh-CN"/>
        </w:rPr>
        <w:t xml:space="preserve">  </w:t>
      </w:r>
      <w:r>
        <w:rPr>
          <w:rFonts w:hint="eastAsia" w:ascii="仿宋_GB2312" w:hAnsi="宋体" w:eastAsia="仿宋_GB2312" w:cs="宋体"/>
          <w:sz w:val="28"/>
          <w:szCs w:val="28"/>
          <w:u w:val="single"/>
          <w:lang w:val="en-US" w:eastAsia="zh-CN"/>
        </w:rPr>
        <w:t>24</w:t>
      </w:r>
      <w:bookmarkStart w:id="0" w:name="_GoBack"/>
      <w:bookmarkEnd w:id="0"/>
      <w:r>
        <w:rPr>
          <w:rFonts w:ascii="仿宋_GB2312" w:hAnsi="宋体" w:eastAsia="仿宋_GB2312" w:cs="宋体"/>
          <w:sz w:val="28"/>
          <w:szCs w:val="28"/>
          <w:u w:val="single"/>
          <w:lang w:eastAsia="zh-CN"/>
        </w:rPr>
        <w:t xml:space="preserve">  </w:t>
      </w:r>
      <w:r>
        <w:rPr>
          <w:rFonts w:ascii="仿宋_GB2312" w:hAnsi="宋体" w:eastAsia="仿宋_GB2312" w:cs="宋体"/>
          <w:sz w:val="28"/>
          <w:szCs w:val="28"/>
          <w:lang w:eastAsia="zh-CN"/>
        </w:rPr>
        <w:t>小时内到达甲方现场。</w:t>
      </w:r>
    </w:p>
    <w:p w14:paraId="6C26A116">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5.在质保期内，乙方应对货物出现的质量及安全问题负责处理解决并承担一切费用。</w:t>
      </w:r>
    </w:p>
    <w:p w14:paraId="53BB2B36">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6.上述的货物因人为因素出现的故障不在免费保修范围内。超过质保期的机器设备，终生维修，维修时只收部件成本费。</w:t>
      </w:r>
    </w:p>
    <w:p w14:paraId="0547ED2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7. 乙方提供的服务承诺和售后服务及质保期责任等其它具体约定事项。</w:t>
      </w:r>
    </w:p>
    <w:p w14:paraId="777AFDB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九</w:t>
      </w:r>
      <w:r>
        <w:rPr>
          <w:rFonts w:ascii="仿宋_GB2312" w:hAnsi="宋体" w:eastAsia="仿宋_GB2312" w:cs="宋体"/>
          <w:sz w:val="28"/>
          <w:szCs w:val="28"/>
          <w:lang w:eastAsia="zh-CN"/>
        </w:rPr>
        <w:t>条  付款方式</w:t>
      </w:r>
    </w:p>
    <w:p w14:paraId="6661139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1.资金性质：自筹资金。</w:t>
      </w:r>
    </w:p>
    <w:p w14:paraId="53CC766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2.付款方式：</w:t>
      </w:r>
    </w:p>
    <w:p w14:paraId="08F7D52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安装完成并验收合格，乙方开具符合</w:t>
      </w:r>
      <w:r>
        <w:rPr>
          <w:rFonts w:hint="eastAsia" w:ascii="仿宋_GB2312" w:hAnsi="宋体" w:eastAsia="仿宋_GB2312" w:cs="宋体"/>
          <w:sz w:val="28"/>
          <w:szCs w:val="28"/>
          <w:lang w:eastAsia="zh-CN"/>
        </w:rPr>
        <w:t>甲方</w:t>
      </w:r>
      <w:r>
        <w:rPr>
          <w:rFonts w:ascii="仿宋_GB2312" w:hAnsi="宋体" w:eastAsia="仿宋_GB2312" w:cs="宋体"/>
          <w:sz w:val="28"/>
          <w:szCs w:val="28"/>
          <w:lang w:eastAsia="zh-CN"/>
        </w:rPr>
        <w:t>财务要求的全额发票，甲方从</w:t>
      </w:r>
      <w:r>
        <w:rPr>
          <w:rFonts w:hint="eastAsia" w:ascii="仿宋_GB2312" w:hAnsi="宋体" w:eastAsia="仿宋_GB2312" w:cs="宋体"/>
          <w:sz w:val="28"/>
          <w:szCs w:val="28"/>
          <w:lang w:eastAsia="zh-CN"/>
        </w:rPr>
        <w:t>收到发票和</w:t>
      </w:r>
      <w:r>
        <w:rPr>
          <w:rFonts w:ascii="仿宋_GB2312" w:hAnsi="宋体" w:eastAsia="仿宋_GB2312" w:cs="宋体"/>
          <w:sz w:val="28"/>
          <w:szCs w:val="28"/>
          <w:lang w:eastAsia="zh-CN"/>
        </w:rPr>
        <w:t>请款函后一个月内支付合同总额</w:t>
      </w:r>
      <w:r>
        <w:rPr>
          <w:rFonts w:hint="eastAsia" w:ascii="仿宋_GB2312" w:hAnsi="宋体" w:eastAsia="仿宋_GB2312" w:cs="宋体"/>
          <w:sz w:val="28"/>
          <w:szCs w:val="28"/>
          <w:lang w:val="en-US" w:eastAsia="zh-CN"/>
        </w:rPr>
        <w:t>100%</w:t>
      </w:r>
      <w:r>
        <w:rPr>
          <w:rFonts w:ascii="仿宋_GB2312" w:hAnsi="宋体" w:eastAsia="仿宋_GB2312" w:cs="宋体"/>
          <w:sz w:val="28"/>
          <w:szCs w:val="28"/>
          <w:lang w:eastAsia="zh-CN"/>
        </w:rPr>
        <w:t>。</w:t>
      </w:r>
    </w:p>
    <w:p w14:paraId="29917F9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w:t>
      </w:r>
      <w:r>
        <w:rPr>
          <w:rFonts w:hint="eastAsia" w:ascii="仿宋_GB2312" w:hAnsi="宋体" w:eastAsia="仿宋_GB2312" w:cs="宋体"/>
          <w:sz w:val="28"/>
          <w:szCs w:val="28"/>
          <w:lang w:eastAsia="zh-CN"/>
        </w:rPr>
        <w:t>十</w:t>
      </w:r>
      <w:r>
        <w:rPr>
          <w:rFonts w:ascii="仿宋_GB2312" w:hAnsi="宋体" w:eastAsia="仿宋_GB2312" w:cs="宋体"/>
          <w:sz w:val="28"/>
          <w:szCs w:val="28"/>
          <w:lang w:eastAsia="zh-CN"/>
        </w:rPr>
        <w:t xml:space="preserve">条 履约保证金履约保证金金额及缴纳时间：  </w:t>
      </w:r>
      <w:r>
        <w:rPr>
          <w:rFonts w:hint="eastAsia" w:ascii="仿宋_GB2312" w:hAnsi="宋体" w:eastAsia="仿宋_GB2312" w:cs="宋体"/>
          <w:sz w:val="28"/>
          <w:szCs w:val="28"/>
          <w:lang w:eastAsia="zh-CN"/>
        </w:rPr>
        <w:t xml:space="preserve">                                   </w:t>
      </w:r>
      <w:r>
        <w:rPr>
          <w:rFonts w:ascii="仿宋_GB2312" w:hAnsi="宋体" w:eastAsia="仿宋_GB2312" w:cs="宋体"/>
          <w:sz w:val="28"/>
          <w:szCs w:val="28"/>
          <w:lang w:eastAsia="zh-CN"/>
        </w:rPr>
        <w:t xml:space="preserve">   </w:t>
      </w:r>
    </w:p>
    <w:p w14:paraId="63686046">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一</w:t>
      </w:r>
      <w:r>
        <w:rPr>
          <w:rFonts w:ascii="仿宋_GB2312" w:hAnsi="宋体" w:eastAsia="仿宋_GB2312" w:cs="宋体"/>
          <w:sz w:val="28"/>
          <w:szCs w:val="28"/>
          <w:lang w:eastAsia="zh-CN"/>
        </w:rPr>
        <w:t>条 税费本合同执行中相关的一切税费均由乙方承担。</w:t>
      </w:r>
    </w:p>
    <w:p w14:paraId="6046871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二</w:t>
      </w:r>
      <w:r>
        <w:rPr>
          <w:rFonts w:ascii="仿宋_GB2312" w:hAnsi="宋体" w:eastAsia="仿宋_GB2312" w:cs="宋体"/>
          <w:sz w:val="28"/>
          <w:szCs w:val="28"/>
          <w:lang w:eastAsia="zh-CN"/>
        </w:rPr>
        <w:t>条  违约责任</w:t>
      </w:r>
    </w:p>
    <w:p w14:paraId="0FF0636B">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1.最终验收不合格的，甲方有权解除合同， 由此产生的费用由乙方承担，给甲方造成其他损失的，乙方应进行赔偿，并向甲方支付合同款 20%的违约金。</w:t>
      </w:r>
    </w:p>
    <w:p w14:paraId="0463C5B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 乙方逾期交货的，应向甲方支付违约金，标准为合同总价 3‰/日，但违约金累计不得超过违约货款 额 5% ，乙方逾期交货超过 60 天的，甲方有权解除合同并要求乙方支付合同款 20%的违约金，甲方延期付货款的，应向乙方支付延期违约金，标准为合同总价额3‰/日，但违约金累计不得超过延期货款额 5%。</w:t>
      </w:r>
    </w:p>
    <w:p w14:paraId="383964BF">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 乙方未按本合同和投标文件中规定的服务承诺提供售后服务的，乙方应按本合同总金额5%向甲方支付违约金。</w:t>
      </w:r>
    </w:p>
    <w:p w14:paraId="660211B5">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 乙方提供的货物在质量保证期内，因设计、工艺或材料的缺陷和其它质量原因造成的问题， 由乙方 负责，费用从剩余支付货款中扣除，剩余支付货款不足以支付的，由乙方另行支付。如乙方在质保期内未 能按照本合同的约定履行售后服务，甲方有权委托第三方进行相应的维修和维护，所产生的费用由乙方承担，费用从合同尾款中扣除，不足另计。</w:t>
      </w:r>
    </w:p>
    <w:p w14:paraId="08E58DC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 乙方提供的货物如侵犯了第三方合法权益而引发的任何纠纷或诉讼， 甲方由此产生的包括但不限于律师费、诉讼费、保全费、赔偿费用等，均由乙方负责交涉并承担全部责任。</w:t>
      </w:r>
    </w:p>
    <w:p w14:paraId="1E1F4B08">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6.其它违约行为按违约货款额 5%收取违约金并赔偿经济损失。</w:t>
      </w:r>
    </w:p>
    <w:p w14:paraId="44F0BFCC">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7. 因甲方原因导致变更、中止或者终止政府采购合同的，应当依照合同约定对乙方受到的损失予以赔偿或者补偿。赔偿（补偿）标准：按实际损失赔偿。</w:t>
      </w:r>
    </w:p>
    <w:p w14:paraId="1A8A384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三</w:t>
      </w:r>
      <w:r>
        <w:rPr>
          <w:rFonts w:ascii="仿宋_GB2312" w:hAnsi="宋体" w:eastAsia="仿宋_GB2312" w:cs="宋体"/>
          <w:sz w:val="28"/>
          <w:szCs w:val="28"/>
          <w:lang w:eastAsia="zh-CN"/>
        </w:rPr>
        <w:t>条 不可抗力事件处理</w:t>
      </w:r>
    </w:p>
    <w:p w14:paraId="4C5E7D26">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1.在合同有效期内，任何一方因不可抗力事件导致不能履行合同，则合同履行期可延长，其延长期与不可抗力影响期相同。</w:t>
      </w:r>
    </w:p>
    <w:p w14:paraId="61EDDF5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2.不可抗力事件发生后，应立即通知对方，并寄送有关权威机构出具的证明。</w:t>
      </w:r>
    </w:p>
    <w:p w14:paraId="06C83817">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3.不可抗力事件延续一百二十天以上，双方应通过友好协商，确定是否继续履行合同。</w:t>
      </w:r>
    </w:p>
    <w:p w14:paraId="56941939">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四</w:t>
      </w:r>
      <w:r>
        <w:rPr>
          <w:rFonts w:ascii="仿宋_GB2312" w:hAnsi="宋体" w:eastAsia="仿宋_GB2312" w:cs="宋体"/>
          <w:sz w:val="28"/>
          <w:szCs w:val="28"/>
          <w:lang w:eastAsia="zh-CN"/>
        </w:rPr>
        <w:t>条  合同争议解决</w:t>
      </w:r>
    </w:p>
    <w:p w14:paraId="4FFF4722">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1.因货物质量问题或验收结果发生争议的，应邀请国家认定的质量检测机构按照国家标准对货物质量进行验收。货物符合验收标准的，鉴定费由甲方承担；货物不符合验收标准的，鉴定费由乙方承担。</w:t>
      </w:r>
    </w:p>
    <w:p w14:paraId="11FE30B9">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w:t>
      </w:r>
      <w:r>
        <w:rPr>
          <w:rFonts w:hint="eastAsia" w:ascii="仿宋_GB2312" w:hAnsi="宋体" w:eastAsia="仿宋_GB2312" w:cs="宋体"/>
          <w:sz w:val="28"/>
          <w:szCs w:val="28"/>
          <w:lang w:eastAsia="zh-CN"/>
        </w:rPr>
        <w:t>.</w:t>
      </w:r>
      <w:r>
        <w:rPr>
          <w:rFonts w:ascii="仿宋_GB2312" w:hAnsi="宋体" w:eastAsia="仿宋_GB2312" w:cs="宋体"/>
          <w:sz w:val="28"/>
          <w:szCs w:val="28"/>
          <w:lang w:eastAsia="zh-CN"/>
        </w:rPr>
        <w:t>因履行本合同引起的或与本合同有关的争议，甲乙双方应首先通过友好协商解决，如果协商不能解决，可向甲方所在地人民法院提起诉讼。</w:t>
      </w:r>
    </w:p>
    <w:p w14:paraId="7FB341BB">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w:t>
      </w:r>
      <w:r>
        <w:rPr>
          <w:rFonts w:hint="eastAsia" w:ascii="仿宋_GB2312" w:hAnsi="宋体" w:eastAsia="仿宋_GB2312" w:cs="宋体"/>
          <w:sz w:val="28"/>
          <w:szCs w:val="28"/>
          <w:lang w:eastAsia="zh-CN"/>
        </w:rPr>
        <w:t>.</w:t>
      </w:r>
      <w:r>
        <w:rPr>
          <w:rFonts w:ascii="仿宋_GB2312" w:hAnsi="宋体" w:eastAsia="仿宋_GB2312" w:cs="宋体"/>
          <w:sz w:val="28"/>
          <w:szCs w:val="28"/>
          <w:lang w:eastAsia="zh-CN"/>
        </w:rPr>
        <w:t>诉讼期间，本合同继续履行。</w:t>
      </w:r>
    </w:p>
    <w:p w14:paraId="50BA884D">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五</w:t>
      </w:r>
      <w:r>
        <w:rPr>
          <w:rFonts w:ascii="仿宋_GB2312" w:hAnsi="宋体" w:eastAsia="仿宋_GB2312" w:cs="宋体"/>
          <w:sz w:val="28"/>
          <w:szCs w:val="28"/>
          <w:lang w:eastAsia="zh-CN"/>
        </w:rPr>
        <w:t>条 合同生效及其它</w:t>
      </w:r>
    </w:p>
    <w:p w14:paraId="51C70EA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1.本合同履行期限为：自签订合同之日起</w:t>
      </w:r>
      <w:r>
        <w:rPr>
          <w:rFonts w:hint="eastAsia" w:ascii="仿宋_GB2312" w:hAnsi="宋体" w:eastAsia="仿宋_GB2312" w:cs="宋体"/>
          <w:sz w:val="28"/>
          <w:szCs w:val="28"/>
          <w:u w:val="single"/>
          <w:lang w:eastAsia="zh-CN"/>
        </w:rPr>
        <w:t xml:space="preserve">  </w:t>
      </w:r>
      <w:r>
        <w:rPr>
          <w:rFonts w:ascii="仿宋_GB2312" w:hAnsi="宋体" w:eastAsia="仿宋_GB2312" w:cs="宋体"/>
          <w:sz w:val="28"/>
          <w:szCs w:val="28"/>
          <w:u w:val="single"/>
          <w:lang w:eastAsia="zh-CN"/>
        </w:rPr>
        <w:t xml:space="preserve"> </w:t>
      </w:r>
      <w:r>
        <w:rPr>
          <w:rFonts w:ascii="仿宋_GB2312" w:hAnsi="宋体" w:eastAsia="仿宋_GB2312" w:cs="宋体"/>
          <w:sz w:val="28"/>
          <w:szCs w:val="28"/>
          <w:lang w:eastAsia="zh-CN"/>
        </w:rPr>
        <w:t>个工作日交货并安装调试完毕；合同履行地点为：采购人指定地点；合同履行的方式： 按照本合同约定 。</w:t>
      </w:r>
    </w:p>
    <w:p w14:paraId="7FCCDBB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2.合同经双方法定代表人或授权代表签字并加盖单位公章后生效。</w:t>
      </w:r>
    </w:p>
    <w:p w14:paraId="4A8F61DB">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3.合同执行中涉及采购资金和采购内容修改或补充的，须报财政部门备案，经财政部门同意后签书面补充协议。</w:t>
      </w:r>
    </w:p>
    <w:p w14:paraId="1715417A">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4.如无特别说明，本合同使用货币币制为人民币，使用单位为中国国家法定计量单位。</w:t>
      </w:r>
    </w:p>
    <w:p w14:paraId="18EAB9B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5.本合同中提及的招标与谈判、磋商、询价、单一来源采购为同一含义，提及的投标与响应为同一含义，提及的中标与成交为同一含义。</w:t>
      </w:r>
    </w:p>
    <w:p w14:paraId="26CE3EA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6.本合同未尽事宜，遵照《民法典》有关条文执行。</w:t>
      </w:r>
    </w:p>
    <w:p w14:paraId="72C4E3D1">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7.本合同(□是  ☑否）为中小企业预留合同</w:t>
      </w:r>
    </w:p>
    <w:p w14:paraId="1FDC8D1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六</w:t>
      </w:r>
      <w:r>
        <w:rPr>
          <w:rFonts w:ascii="仿宋_GB2312" w:hAnsi="宋体" w:eastAsia="仿宋_GB2312" w:cs="宋体"/>
          <w:sz w:val="28"/>
          <w:szCs w:val="28"/>
          <w:lang w:eastAsia="zh-CN"/>
        </w:rPr>
        <w:t>条  合同的变更、终止与转让</w:t>
      </w:r>
    </w:p>
    <w:p w14:paraId="0CB7163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 除《中华人民共和国政府采购法》第五十条规定的情形外，本合同一经签订，甲乙双方不得擅自变更、中止或终止。</w:t>
      </w:r>
    </w:p>
    <w:p w14:paraId="7ECB15A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2.未经甲方书面同意，乙方不得擅自转让（无进口资格的乙方委托进口货物除外）其应履行的合同义务。</w:t>
      </w:r>
    </w:p>
    <w:p w14:paraId="168CB604">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七</w:t>
      </w:r>
      <w:r>
        <w:rPr>
          <w:rFonts w:ascii="仿宋_GB2312" w:hAnsi="宋体" w:eastAsia="仿宋_GB2312" w:cs="宋体"/>
          <w:sz w:val="28"/>
          <w:szCs w:val="28"/>
          <w:lang w:eastAsia="zh-CN"/>
        </w:rPr>
        <w:t>条  合同文件的组成</w:t>
      </w:r>
    </w:p>
    <w:p w14:paraId="4C1E9370">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1.政府采购合同；</w:t>
      </w:r>
    </w:p>
    <w:p w14:paraId="1BB21F35">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2.中标通知书；</w:t>
      </w:r>
    </w:p>
    <w:p w14:paraId="1F8D648D">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3.投标报价明细表；</w:t>
      </w:r>
    </w:p>
    <w:p w14:paraId="148CF813">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4.售后服务方案；</w:t>
      </w:r>
    </w:p>
    <w:p w14:paraId="172F702E">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5.产品配置清单。</w:t>
      </w:r>
    </w:p>
    <w:p w14:paraId="2B384B6B">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6.其他合同文件。</w:t>
      </w:r>
    </w:p>
    <w:p w14:paraId="3C260213">
      <w:pPr>
        <w:spacing w:before="0" w:line="460" w:lineRule="exact"/>
        <w:ind w:left="0" w:firstLine="560" w:firstLineChars="200"/>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第十</w:t>
      </w:r>
      <w:r>
        <w:rPr>
          <w:rFonts w:hint="eastAsia" w:ascii="仿宋_GB2312" w:hAnsi="宋体" w:eastAsia="仿宋_GB2312" w:cs="宋体"/>
          <w:sz w:val="28"/>
          <w:szCs w:val="28"/>
          <w:lang w:eastAsia="zh-CN"/>
        </w:rPr>
        <w:t>八</w:t>
      </w:r>
      <w:r>
        <w:rPr>
          <w:rFonts w:ascii="仿宋_GB2312" w:hAnsi="宋体" w:eastAsia="仿宋_GB2312" w:cs="宋体"/>
          <w:sz w:val="28"/>
          <w:szCs w:val="28"/>
          <w:lang w:eastAsia="zh-CN"/>
        </w:rPr>
        <w:t>条  本合同经甲乙双方法定代表人或授权代表签字并加盖单位公章后生效，一式伍份，具有同等法律效力。 甲方执肆份，乙方执壹份（可根据需要另增加）。</w:t>
      </w:r>
    </w:p>
    <w:p w14:paraId="79092F4C">
      <w:pPr>
        <w:spacing w:before="0" w:line="460" w:lineRule="exact"/>
        <w:ind w:left="0" w:firstLine="560" w:firstLineChars="200"/>
        <w:jc w:val="left"/>
        <w:rPr>
          <w:rFonts w:ascii="仿宋_GB2312" w:hAnsi="宋体" w:eastAsia="仿宋_GB2312" w:cs="宋体"/>
          <w:sz w:val="28"/>
          <w:szCs w:val="28"/>
          <w:lang w:eastAsia="zh-CN"/>
        </w:rPr>
        <w:sectPr>
          <w:footerReference r:id="rId7" w:type="default"/>
          <w:pgSz w:w="11906" w:h="16839"/>
          <w:pgMar w:top="1296" w:right="1134" w:bottom="1166" w:left="1140" w:header="0" w:footer="952" w:gutter="0"/>
          <w:pgNumType w:start="1"/>
          <w:cols w:space="720" w:num="1"/>
        </w:sectPr>
      </w:pPr>
    </w:p>
    <w:p w14:paraId="21A8735C">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甲方（章）广西壮族自治区桂东人民医院</w:t>
      </w:r>
    </w:p>
    <w:p w14:paraId="4BC5D610">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单位地址：广西梧州市西江四路金鸡冲</w:t>
      </w:r>
      <w:r>
        <w:rPr>
          <w:rFonts w:ascii="仿宋_GB2312" w:hAnsi="宋体" w:eastAsia="仿宋_GB2312" w:cs="宋体"/>
          <w:sz w:val="28"/>
          <w:szCs w:val="28"/>
          <w:lang w:eastAsia="zh-CN"/>
        </w:rPr>
        <w:t xml:space="preserve"> 1 </w:t>
      </w:r>
      <w:r>
        <w:rPr>
          <w:rFonts w:hint="eastAsia" w:ascii="仿宋_GB2312" w:hAnsi="宋体" w:eastAsia="仿宋_GB2312" w:cs="宋体"/>
          <w:sz w:val="28"/>
          <w:szCs w:val="28"/>
          <w:lang w:eastAsia="zh-CN"/>
        </w:rPr>
        <w:t>号</w:t>
      </w:r>
    </w:p>
    <w:p w14:paraId="01820097">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法定代表人：</w:t>
      </w:r>
    </w:p>
    <w:p w14:paraId="7738D047">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委托代理人：</w:t>
      </w:r>
    </w:p>
    <w:p w14:paraId="7FACDB76">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电话：</w:t>
      </w:r>
      <w:r>
        <w:rPr>
          <w:rFonts w:ascii="仿宋_GB2312" w:hAnsi="宋体" w:eastAsia="仿宋_GB2312" w:cs="宋体"/>
          <w:sz w:val="28"/>
          <w:szCs w:val="28"/>
          <w:lang w:eastAsia="zh-CN"/>
        </w:rPr>
        <w:t>0774-2023107</w:t>
      </w:r>
    </w:p>
    <w:p w14:paraId="6A9F731F">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开户银行：交通银行梧州分行营业部</w:t>
      </w:r>
    </w:p>
    <w:p w14:paraId="609E34F8">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账号：</w:t>
      </w:r>
      <w:r>
        <w:rPr>
          <w:rFonts w:ascii="仿宋_GB2312" w:hAnsi="宋体" w:eastAsia="仿宋_GB2312" w:cs="宋体"/>
          <w:sz w:val="28"/>
          <w:szCs w:val="28"/>
          <w:lang w:eastAsia="zh-CN"/>
        </w:rPr>
        <w:t>454060900018150298388</w:t>
      </w:r>
    </w:p>
    <w:p w14:paraId="328828CF">
      <w:pPr>
        <w:spacing w:before="0" w:line="460" w:lineRule="exact"/>
        <w:ind w:left="0" w:firstLine="560" w:firstLineChars="200"/>
        <w:jc w:val="left"/>
        <w:rPr>
          <w:rFonts w:ascii="仿宋_GB2312" w:hAnsi="宋体" w:eastAsia="仿宋_GB2312" w:cs="宋体"/>
          <w:sz w:val="28"/>
          <w:szCs w:val="28"/>
          <w:lang w:eastAsia="zh-CN"/>
        </w:rPr>
      </w:pPr>
    </w:p>
    <w:p w14:paraId="365372A1">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乙方（章）</w:t>
      </w:r>
      <w:r>
        <w:rPr>
          <w:rFonts w:ascii="仿宋_GB2312" w:hAnsi="宋体" w:eastAsia="仿宋_GB2312" w:cs="宋体"/>
          <w:sz w:val="28"/>
          <w:szCs w:val="28"/>
          <w:lang w:eastAsia="zh-CN"/>
        </w:rPr>
        <w:t xml:space="preserve"> </w:t>
      </w:r>
    </w:p>
    <w:p w14:paraId="15D43EC9">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单位地址：</w:t>
      </w:r>
      <w:r>
        <w:rPr>
          <w:rFonts w:ascii="仿宋_GB2312" w:hAnsi="宋体" w:eastAsia="仿宋_GB2312" w:cs="宋体"/>
          <w:sz w:val="28"/>
          <w:szCs w:val="28"/>
          <w:lang w:eastAsia="zh-CN"/>
        </w:rPr>
        <w:t xml:space="preserve"> </w:t>
      </w:r>
    </w:p>
    <w:p w14:paraId="6CF565C8">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法定代表人：</w:t>
      </w:r>
      <w:r>
        <w:rPr>
          <w:rFonts w:ascii="仿宋_GB2312" w:hAnsi="宋体" w:eastAsia="仿宋_GB2312" w:cs="宋体"/>
          <w:sz w:val="28"/>
          <w:szCs w:val="28"/>
          <w:lang w:eastAsia="zh-CN"/>
        </w:rPr>
        <w:t xml:space="preserve"> </w:t>
      </w:r>
    </w:p>
    <w:p w14:paraId="07E20507">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委托代理人：</w:t>
      </w:r>
    </w:p>
    <w:p w14:paraId="17136632">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电话：</w:t>
      </w:r>
      <w:r>
        <w:rPr>
          <w:rFonts w:ascii="仿宋_GB2312" w:hAnsi="宋体" w:eastAsia="仿宋_GB2312" w:cs="宋体"/>
          <w:sz w:val="28"/>
          <w:szCs w:val="28"/>
          <w:lang w:eastAsia="zh-CN"/>
        </w:rPr>
        <w:t xml:space="preserve"> </w:t>
      </w:r>
    </w:p>
    <w:p w14:paraId="1481817C">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开户银行：</w:t>
      </w:r>
      <w:r>
        <w:rPr>
          <w:rFonts w:ascii="仿宋_GB2312" w:hAnsi="宋体" w:eastAsia="仿宋_GB2312" w:cs="宋体"/>
          <w:sz w:val="28"/>
          <w:szCs w:val="28"/>
          <w:lang w:eastAsia="zh-CN"/>
        </w:rPr>
        <w:t xml:space="preserve"> </w:t>
      </w:r>
    </w:p>
    <w:p w14:paraId="350AB446">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账号：</w:t>
      </w:r>
    </w:p>
    <w:p w14:paraId="4C3D57C3">
      <w:pPr>
        <w:spacing w:before="0" w:line="460" w:lineRule="exact"/>
        <w:ind w:left="0" w:firstLine="560" w:firstLineChars="200"/>
        <w:jc w:val="left"/>
        <w:rPr>
          <w:rFonts w:ascii="仿宋_GB2312" w:hAnsi="宋体" w:eastAsia="仿宋_GB2312" w:cs="宋体"/>
          <w:sz w:val="28"/>
          <w:szCs w:val="28"/>
          <w:lang w:eastAsia="zh-CN"/>
        </w:rPr>
      </w:pPr>
    </w:p>
    <w:p w14:paraId="71FB8DB6">
      <w:pPr>
        <w:spacing w:before="0" w:line="460" w:lineRule="exact"/>
        <w:ind w:left="0" w:firstLine="560" w:firstLineChars="200"/>
        <w:jc w:val="left"/>
        <w:rPr>
          <w:rFonts w:ascii="仿宋_GB2312" w:hAnsi="宋体" w:eastAsia="仿宋_GB2312" w:cs="宋体"/>
          <w:sz w:val="28"/>
          <w:szCs w:val="28"/>
          <w:lang w:eastAsia="zh-CN"/>
        </w:rPr>
      </w:pPr>
    </w:p>
    <w:p w14:paraId="7D89A11D">
      <w:pPr>
        <w:spacing w:before="0" w:line="460" w:lineRule="exact"/>
        <w:ind w:left="0" w:firstLine="560" w:firstLineChars="200"/>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附以下资料：</w:t>
      </w:r>
    </w:p>
    <w:p w14:paraId="27BD565A">
      <w:pPr>
        <w:spacing w:before="0" w:line="460" w:lineRule="exact"/>
        <w:ind w:left="0" w:firstLine="1134" w:firstLineChars="405"/>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1.</w:t>
      </w:r>
      <w:r>
        <w:rPr>
          <w:rFonts w:hint="eastAsia" w:ascii="仿宋_GB2312" w:hAnsi="宋体" w:eastAsia="仿宋_GB2312" w:cs="宋体"/>
          <w:sz w:val="28"/>
          <w:szCs w:val="28"/>
          <w:lang w:eastAsia="zh-CN"/>
        </w:rPr>
        <w:t>附</w:t>
      </w:r>
      <w:r>
        <w:rPr>
          <w:rFonts w:ascii="仿宋_GB2312" w:hAnsi="宋体" w:eastAsia="仿宋_GB2312" w:cs="宋体"/>
          <w:sz w:val="28"/>
          <w:szCs w:val="28"/>
          <w:lang w:eastAsia="zh-CN"/>
        </w:rPr>
        <w:t>中标通知书</w:t>
      </w:r>
    </w:p>
    <w:p w14:paraId="4D6087C8">
      <w:pPr>
        <w:spacing w:before="0" w:line="460" w:lineRule="exact"/>
        <w:ind w:left="0" w:firstLine="1134" w:firstLineChars="405"/>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2.</w:t>
      </w:r>
      <w:r>
        <w:rPr>
          <w:rFonts w:hint="eastAsia" w:ascii="仿宋_GB2312" w:hAnsi="宋体" w:eastAsia="仿宋_GB2312" w:cs="宋体"/>
          <w:sz w:val="28"/>
          <w:szCs w:val="28"/>
          <w:lang w:eastAsia="zh-CN"/>
        </w:rPr>
        <w:t>附</w:t>
      </w:r>
      <w:r>
        <w:rPr>
          <w:rFonts w:ascii="仿宋_GB2312" w:hAnsi="宋体" w:eastAsia="仿宋_GB2312" w:cs="宋体"/>
          <w:sz w:val="28"/>
          <w:szCs w:val="28"/>
          <w:lang w:eastAsia="zh-CN"/>
        </w:rPr>
        <w:t>投标报价明细表</w:t>
      </w:r>
    </w:p>
    <w:p w14:paraId="07FB18DC">
      <w:pPr>
        <w:spacing w:before="0" w:line="460" w:lineRule="exact"/>
        <w:ind w:left="0" w:firstLine="1134" w:firstLineChars="405"/>
        <w:jc w:val="left"/>
        <w:rPr>
          <w:rFonts w:ascii="仿宋_GB2312" w:hAnsi="宋体" w:eastAsia="仿宋_GB2312" w:cs="宋体"/>
          <w:sz w:val="28"/>
          <w:szCs w:val="28"/>
          <w:lang w:eastAsia="zh-CN"/>
        </w:rPr>
      </w:pPr>
      <w:r>
        <w:rPr>
          <w:rFonts w:hint="eastAsia" w:ascii="仿宋_GB2312" w:hAnsi="宋体" w:eastAsia="仿宋_GB2312" w:cs="宋体"/>
          <w:sz w:val="28"/>
          <w:szCs w:val="28"/>
          <w:lang w:eastAsia="zh-CN"/>
        </w:rPr>
        <w:t>3.附</w:t>
      </w:r>
      <w:r>
        <w:rPr>
          <w:rFonts w:ascii="仿宋_GB2312" w:hAnsi="宋体" w:eastAsia="仿宋_GB2312" w:cs="宋体"/>
          <w:sz w:val="28"/>
          <w:szCs w:val="28"/>
          <w:lang w:eastAsia="zh-CN"/>
        </w:rPr>
        <w:t>售后服务方案</w:t>
      </w:r>
    </w:p>
    <w:p w14:paraId="2AD9FAD5">
      <w:pPr>
        <w:spacing w:before="0" w:line="460" w:lineRule="exact"/>
        <w:ind w:left="0" w:firstLine="1134" w:firstLineChars="405"/>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4.</w:t>
      </w:r>
      <w:r>
        <w:rPr>
          <w:rFonts w:hint="eastAsia" w:ascii="仿宋_GB2312" w:hAnsi="宋体" w:eastAsia="仿宋_GB2312" w:cs="宋体"/>
          <w:sz w:val="28"/>
          <w:szCs w:val="28"/>
          <w:lang w:eastAsia="zh-CN"/>
        </w:rPr>
        <w:t>附产品配置清单</w:t>
      </w:r>
    </w:p>
    <w:p w14:paraId="6AD40396">
      <w:pPr>
        <w:spacing w:before="0" w:line="460" w:lineRule="exact"/>
        <w:ind w:left="0" w:firstLine="1134" w:firstLineChars="405"/>
        <w:jc w:val="left"/>
        <w:rPr>
          <w:rFonts w:ascii="仿宋_GB2312" w:hAnsi="宋体" w:eastAsia="仿宋_GB2312" w:cs="宋体"/>
          <w:sz w:val="28"/>
          <w:szCs w:val="28"/>
          <w:lang w:eastAsia="zh-CN"/>
        </w:rPr>
      </w:pPr>
      <w:r>
        <w:rPr>
          <w:rFonts w:ascii="仿宋_GB2312" w:hAnsi="宋体" w:eastAsia="仿宋_GB2312" w:cs="宋体"/>
          <w:sz w:val="28"/>
          <w:szCs w:val="28"/>
          <w:lang w:eastAsia="zh-CN"/>
        </w:rPr>
        <w:t>5.</w:t>
      </w:r>
      <w:r>
        <w:rPr>
          <w:rFonts w:hint="eastAsia" w:ascii="仿宋_GB2312" w:hAnsi="宋体" w:eastAsia="仿宋_GB2312" w:cs="宋体"/>
          <w:sz w:val="28"/>
          <w:szCs w:val="28"/>
          <w:lang w:eastAsia="zh-CN"/>
        </w:rPr>
        <w:t>产品注册证</w:t>
      </w:r>
    </w:p>
    <w:p w14:paraId="70229545">
      <w:pPr>
        <w:rPr>
          <w:rFonts w:eastAsiaTheme="minorEastAsia"/>
          <w:lang w:eastAsia="zh-CN"/>
        </w:rPr>
      </w:pPr>
    </w:p>
    <w:sectPr>
      <w:pgSz w:w="11906" w:h="16838"/>
      <w:pgMar w:top="1701"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3D756">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871199"/>
      <w:docPartObj>
        <w:docPartGallery w:val="autotext"/>
      </w:docPartObj>
    </w:sdtPr>
    <w:sdtEndPr>
      <w:rPr>
        <w:rFonts w:asciiTheme="majorEastAsia" w:hAnsiTheme="majorEastAsia" w:eastAsiaTheme="majorEastAsia"/>
        <w:sz w:val="28"/>
        <w:szCs w:val="28"/>
      </w:rPr>
    </w:sdtEndPr>
    <w:sdtContent>
      <w:p w14:paraId="2C1BF9EA">
        <w:pPr>
          <w:pStyle w:val="4"/>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eastAsia="zh-CN"/>
          </w:rPr>
          <w:t>8</w:t>
        </w:r>
        <w:r>
          <w:rPr>
            <w:rFonts w:asciiTheme="majorEastAsia" w:hAnsiTheme="majorEastAsia" w:eastAsia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25" w:lineRule="auto"/>
      </w:pPr>
      <w:r>
        <w:separator/>
      </w:r>
    </w:p>
  </w:footnote>
  <w:footnote w:type="continuationSeparator" w:id="1">
    <w:p>
      <w:pPr>
        <w:spacing w:before="0" w:after="0" w:line="22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B1F9">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2QzMjRhMjZlYzM2ZjkxYTg5NzM0ZjRhMTRmNzkifQ=="/>
  </w:docVars>
  <w:rsids>
    <w:rsidRoot w:val="00004B36"/>
    <w:rsid w:val="00004B36"/>
    <w:rsid w:val="001D0FE8"/>
    <w:rsid w:val="002931C5"/>
    <w:rsid w:val="00367BE2"/>
    <w:rsid w:val="00467180"/>
    <w:rsid w:val="00562532"/>
    <w:rsid w:val="005D04E9"/>
    <w:rsid w:val="006611F2"/>
    <w:rsid w:val="00804393"/>
    <w:rsid w:val="00DC0417"/>
    <w:rsid w:val="00E542E4"/>
    <w:rsid w:val="00FC7368"/>
    <w:rsid w:val="00FD316C"/>
    <w:rsid w:val="3B4C2F55"/>
    <w:rsid w:val="3F222920"/>
    <w:rsid w:val="4E22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before="270" w:line="225" w:lineRule="auto"/>
      <w:ind w:left="1060"/>
      <w:jc w:val="center"/>
      <w:textAlignment w:val="baseline"/>
      <w:outlineLvl w:val="0"/>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link w:val="8"/>
    <w:autoRedefine/>
    <w:semiHidden/>
    <w:qFormat/>
    <w:uiPriority w:val="0"/>
  </w:style>
  <w:style w:type="paragraph" w:styleId="4">
    <w:name w:val="footer"/>
    <w:basedOn w:val="1"/>
    <w:link w:val="12"/>
    <w:autoRedefine/>
    <w:unhideWhenUsed/>
    <w:qFormat/>
    <w:uiPriority w:val="99"/>
    <w:pPr>
      <w:tabs>
        <w:tab w:val="center" w:pos="4153"/>
        <w:tab w:val="right" w:pos="8306"/>
      </w:tabs>
      <w:spacing w:line="240" w:lineRule="auto"/>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pacing w:line="240" w:lineRule="auto"/>
    </w:pPr>
    <w:rPr>
      <w:sz w:val="18"/>
      <w:szCs w:val="18"/>
    </w:rPr>
  </w:style>
  <w:style w:type="character" w:customStyle="1" w:styleId="8">
    <w:name w:val="正文文本 Char"/>
    <w:basedOn w:val="7"/>
    <w:link w:val="3"/>
    <w:autoRedefine/>
    <w:semiHidden/>
    <w:qFormat/>
    <w:uiPriority w:val="0"/>
    <w:rPr>
      <w:rFonts w:ascii="Arial" w:hAnsi="Arial" w:eastAsia="Arial" w:cs="Arial"/>
      <w:snapToGrid w:val="0"/>
      <w:color w:val="000000"/>
      <w:kern w:val="0"/>
      <w:szCs w:val="21"/>
      <w:lang w:eastAsia="en-US"/>
    </w:rPr>
  </w:style>
  <w:style w:type="table" w:customStyle="1" w:styleId="9">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autoRedefine/>
    <w:semiHidden/>
    <w:qFormat/>
    <w:uiPriority w:val="0"/>
    <w:pPr>
      <w:spacing w:before="0" w:line="240" w:lineRule="auto"/>
      <w:ind w:left="0"/>
      <w:jc w:val="left"/>
      <w:outlineLvl w:val="9"/>
    </w:pPr>
    <w:rPr>
      <w:rFonts w:ascii="宋体" w:hAnsi="宋体" w:eastAsia="宋体" w:cs="宋体"/>
      <w:sz w:val="20"/>
      <w:szCs w:val="20"/>
    </w:rPr>
  </w:style>
  <w:style w:type="character" w:customStyle="1" w:styleId="11">
    <w:name w:val="页眉 Char"/>
    <w:basedOn w:val="7"/>
    <w:link w:val="5"/>
    <w:autoRedefine/>
    <w:qFormat/>
    <w:uiPriority w:val="99"/>
    <w:rPr>
      <w:rFonts w:ascii="Arial" w:hAnsi="Arial" w:eastAsia="Arial" w:cs="Arial"/>
      <w:snapToGrid w:val="0"/>
      <w:color w:val="000000"/>
      <w:kern w:val="0"/>
      <w:sz w:val="18"/>
      <w:szCs w:val="18"/>
      <w:lang w:eastAsia="en-US"/>
    </w:rPr>
  </w:style>
  <w:style w:type="character" w:customStyle="1" w:styleId="12">
    <w:name w:val="页脚 Char"/>
    <w:basedOn w:val="7"/>
    <w:link w:val="4"/>
    <w:autoRedefine/>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5237</Words>
  <Characters>5381</Characters>
  <Lines>40</Lines>
  <Paragraphs>11</Paragraphs>
  <TotalTime>56</TotalTime>
  <ScaleCrop>false</ScaleCrop>
  <LinksUpToDate>false</LinksUpToDate>
  <CharactersWithSpaces>5711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2024-03-18T08:30:00Z</dcterms:created>
  <dc:creator>Administrator</dc:creator>
  <cp:lastModifiedBy>Administrator</cp:lastModifiedBy>
  <cp:lastPrinted>2024-03-18T08:29:00Z</cp:lastPrinted>
  <dcterms:modified xsi:type="dcterms:W3CDTF">2024-07-12T09:51:34Z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B76B503A3017401BBC823D9672530BF8_13</vt:lpwstr>
  </property>
</Properties>
</file>