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60F4B">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6A102A5A">
      <w:pPr>
        <w:pStyle w:val="14"/>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14:paraId="4F923135">
      <w:pPr>
        <w:pStyle w:val="14"/>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14:paraId="5C78DEAE">
      <w:pPr>
        <w:pStyle w:val="14"/>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14:paraId="109C9FA1">
      <w:pPr>
        <w:pStyle w:val="14"/>
        <w:ind w:left="-708" w:leftChars="-337"/>
        <w:rPr>
          <w:rFonts w:cs="宋体"/>
          <w:b/>
          <w:bCs/>
          <w:sz w:val="28"/>
          <w:szCs w:val="28"/>
        </w:rPr>
      </w:pPr>
      <w:r>
        <w:rPr>
          <w:rFonts w:hint="eastAsia" w:cs="宋体"/>
          <w:b/>
          <w:bCs/>
          <w:sz w:val="28"/>
          <w:szCs w:val="28"/>
        </w:rPr>
        <w:t>一、采购清单、技术规格参数、质量标准和要求</w:t>
      </w:r>
    </w:p>
    <w:p w14:paraId="7A8FE1E2">
      <w:pPr>
        <w:keepNext w:val="0"/>
        <w:keepLines w:val="0"/>
        <w:widowControl/>
        <w:suppressLineNumbers w:val="0"/>
        <w:jc w:val="left"/>
        <w:rPr>
          <w:rFonts w:cs="宋体"/>
          <w:color w:val="auto"/>
          <w:kern w:val="0"/>
          <w:sz w:val="28"/>
          <w:szCs w:val="28"/>
        </w:rPr>
      </w:pPr>
      <w:r>
        <w:rPr>
          <w:rFonts w:hint="eastAsia" w:cs="宋体"/>
          <w:b/>
          <w:bCs/>
        </w:rPr>
        <w:t>（一）</w:t>
      </w:r>
      <w:r>
        <w:rPr>
          <w:rFonts w:hint="eastAsia" w:cs="宋体"/>
          <w:b/>
          <w:bCs/>
          <w:lang w:eastAsia="zh-CN"/>
        </w:rPr>
        <w:t>项目名称：</w:t>
      </w:r>
      <w:r>
        <w:rPr>
          <w:rFonts w:hint="eastAsia" w:ascii="Times New Roman" w:hAnsi="Times New Roman" w:eastAsia="宋体" w:cs="宋体"/>
          <w:b/>
          <w:bCs/>
          <w:color w:val="000000"/>
          <w:kern w:val="0"/>
          <w:sz w:val="28"/>
          <w:szCs w:val="28"/>
          <w:u w:val="single"/>
          <w:lang w:val="en-US" w:eastAsia="zh-CN" w:bidi="ar-SA"/>
        </w:rPr>
        <w:t>两用型空心钻</w:t>
      </w:r>
      <w:r>
        <w:rPr>
          <w:rFonts w:hint="eastAsia" w:cs="宋体"/>
          <w:b/>
          <w:bCs/>
          <w:color w:val="000000"/>
          <w:kern w:val="0"/>
          <w:sz w:val="28"/>
          <w:szCs w:val="28"/>
          <w:u w:val="single"/>
          <w:lang w:val="en-US" w:eastAsia="zh-CN" w:bidi="ar-SA"/>
        </w:rPr>
        <w:t>2套</w:t>
      </w:r>
      <w:r>
        <w:rPr>
          <w:rFonts w:hint="eastAsia" w:ascii="Times New Roman" w:hAnsi="Times New Roman" w:eastAsia="宋体" w:cs="宋体"/>
          <w:b/>
          <w:bCs/>
          <w:color w:val="000000"/>
          <w:kern w:val="0"/>
          <w:sz w:val="28"/>
          <w:szCs w:val="28"/>
          <w:u w:val="single"/>
          <w:lang w:val="en-US" w:eastAsia="zh-CN" w:bidi="ar-SA"/>
        </w:rPr>
        <w:t xml:space="preserve"> </w:t>
      </w:r>
    </w:p>
    <w:p w14:paraId="6A3F547A">
      <w:pPr>
        <w:pStyle w:val="14"/>
        <w:ind w:left="-708" w:leftChars="-337" w:firstLine="723" w:firstLineChars="300"/>
        <w:rPr>
          <w:rFonts w:hint="eastAsia" w:eastAsia="宋体"/>
          <w:b/>
          <w:bCs/>
          <w:lang w:eastAsia="zh-CN"/>
        </w:rPr>
      </w:pPr>
      <w:r>
        <w:rPr>
          <w:rFonts w:hint="eastAsia" w:cs="宋体"/>
          <w:b/>
          <w:bCs/>
          <w:lang w:eastAsia="zh-CN"/>
        </w:rPr>
        <w:t>（二）</w:t>
      </w:r>
      <w:r>
        <w:rPr>
          <w:rFonts w:hint="eastAsia" w:cs="宋体"/>
          <w:b/>
          <w:bCs/>
        </w:rPr>
        <w:t>采购清单</w:t>
      </w:r>
      <w:r>
        <w:rPr>
          <w:rFonts w:hint="eastAsia"/>
          <w:b/>
          <w:bCs/>
          <w:lang w:eastAsia="zh-CN"/>
        </w:rPr>
        <w:t>及技术规格（两用型空心钻）</w:t>
      </w:r>
    </w:p>
    <w:tbl>
      <w:tblPr>
        <w:tblStyle w:val="11"/>
        <w:tblpPr w:leftFromText="180" w:rightFromText="180" w:vertAnchor="text" w:horzAnchor="page" w:tblpX="1192" w:tblpY="1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6540"/>
      </w:tblGrid>
      <w:tr w14:paraId="0D78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C78EE6D">
            <w:pPr>
              <w:pStyle w:val="14"/>
              <w:jc w:val="both"/>
              <w:rPr>
                <w:rFonts w:hint="eastAsia"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序号</w:t>
            </w:r>
          </w:p>
        </w:tc>
        <w:tc>
          <w:tcPr>
            <w:tcW w:w="6540" w:type="dxa"/>
          </w:tcPr>
          <w:p w14:paraId="60F360CB">
            <w:pPr>
              <w:pStyle w:val="14"/>
              <w:jc w:val="both"/>
              <w:rPr>
                <w:rFonts w:hint="eastAsia" w:eastAsia="宋体"/>
                <w:b/>
                <w:bCs/>
                <w:color w:val="000000" w:themeColor="text1"/>
                <w:sz w:val="21"/>
                <w:szCs w:val="21"/>
                <w:vertAlign w:val="baseline"/>
                <w:lang w:eastAsia="zh-CN"/>
                <w14:textFill>
                  <w14:solidFill>
                    <w14:schemeClr w14:val="tx1"/>
                  </w14:solidFill>
                </w14:textFill>
              </w:rPr>
            </w:pPr>
            <w:r>
              <w:rPr>
                <w:rFonts w:hint="eastAsia"/>
                <w:b/>
                <w:bCs/>
                <w:color w:val="000000" w:themeColor="text1"/>
                <w:sz w:val="21"/>
                <w:szCs w:val="21"/>
                <w:vertAlign w:val="baseline"/>
                <w:lang w:eastAsia="zh-CN"/>
                <w14:textFill>
                  <w14:solidFill>
                    <w14:schemeClr w14:val="tx1"/>
                  </w14:solidFill>
                </w14:textFill>
              </w:rPr>
              <w:t>技术参数要求</w:t>
            </w:r>
          </w:p>
        </w:tc>
      </w:tr>
      <w:tr w14:paraId="5119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gridSpan w:val="2"/>
          </w:tcPr>
          <w:p w14:paraId="76126065">
            <w:pPr>
              <w:pStyle w:val="14"/>
              <w:jc w:val="both"/>
              <w:rPr>
                <w:rFonts w:hint="eastAsia" w:ascii="宋体" w:hAnsi="宋体" w:eastAsia="宋体" w:cs="宋体"/>
                <w:b/>
                <w:bCs/>
                <w:color w:val="FF0000"/>
                <w:sz w:val="24"/>
                <w:szCs w:val="24"/>
                <w:vertAlign w:val="baseline"/>
                <w:lang w:eastAsia="zh-CN"/>
              </w:rPr>
            </w:pPr>
            <w:r>
              <w:rPr>
                <w:rFonts w:hint="eastAsia"/>
                <w:b/>
                <w:bCs/>
                <w:lang w:eastAsia="zh-CN"/>
              </w:rPr>
              <w:t>两用型空心钻</w:t>
            </w:r>
          </w:p>
        </w:tc>
      </w:tr>
      <w:tr w14:paraId="5196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350" w:type="dxa"/>
            <w:vAlign w:val="center"/>
          </w:tcPr>
          <w:p w14:paraId="184E2289">
            <w:pPr>
              <w:pStyle w:val="14"/>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1</w:t>
            </w:r>
          </w:p>
        </w:tc>
        <w:tc>
          <w:tcPr>
            <w:tcW w:w="6540" w:type="dxa"/>
          </w:tcPr>
          <w:p w14:paraId="008D8BCB">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hint="eastAsia" w:ascii="宋体" w:hAnsi="宋体"/>
              </w:rPr>
              <w:t>可整机高温高压消毒，耐155℃高温</w:t>
            </w:r>
          </w:p>
        </w:tc>
      </w:tr>
      <w:tr w14:paraId="0973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350" w:type="dxa"/>
            <w:vAlign w:val="center"/>
          </w:tcPr>
          <w:p w14:paraId="6B46E9E5">
            <w:pPr>
              <w:pStyle w:val="14"/>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2</w:t>
            </w:r>
          </w:p>
        </w:tc>
        <w:tc>
          <w:tcPr>
            <w:tcW w:w="6540" w:type="dxa"/>
          </w:tcPr>
          <w:p w14:paraId="7EE74BCE">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hint="eastAsia" w:ascii="宋体" w:hAnsi="宋体"/>
              </w:rPr>
              <w:t>采用进口电机</w:t>
            </w:r>
          </w:p>
        </w:tc>
      </w:tr>
      <w:tr w14:paraId="7EB0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50" w:type="dxa"/>
            <w:vAlign w:val="center"/>
          </w:tcPr>
          <w:p w14:paraId="05755015">
            <w:pPr>
              <w:pStyle w:val="14"/>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3</w:t>
            </w:r>
          </w:p>
        </w:tc>
        <w:tc>
          <w:tcPr>
            <w:tcW w:w="6540" w:type="dxa"/>
          </w:tcPr>
          <w:p w14:paraId="747FC97C">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hint="eastAsia" w:ascii="宋体" w:hAnsi="宋体"/>
              </w:rPr>
              <w:t>转速650转／分</w:t>
            </w:r>
            <w:r>
              <w:rPr>
                <w:rFonts w:ascii="宋体" w:hAnsi="宋体"/>
              </w:rPr>
              <w:t>，900转/分</w:t>
            </w:r>
          </w:p>
        </w:tc>
      </w:tr>
      <w:tr w14:paraId="5146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350" w:type="dxa"/>
            <w:vAlign w:val="center"/>
          </w:tcPr>
          <w:p w14:paraId="15D2B08B">
            <w:pPr>
              <w:pStyle w:val="14"/>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4</w:t>
            </w:r>
          </w:p>
        </w:tc>
        <w:tc>
          <w:tcPr>
            <w:tcW w:w="6540" w:type="dxa"/>
          </w:tcPr>
          <w:p w14:paraId="35545CE0">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ascii="宋体" w:hAnsi="宋体"/>
              </w:rPr>
              <w:t>钻夹头夹持口径0.1-8.0mm</w:t>
            </w:r>
          </w:p>
        </w:tc>
      </w:tr>
      <w:tr w14:paraId="186C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350" w:type="dxa"/>
            <w:vAlign w:val="center"/>
          </w:tcPr>
          <w:p w14:paraId="48836ED0">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5</w:t>
            </w:r>
          </w:p>
        </w:tc>
        <w:tc>
          <w:tcPr>
            <w:tcW w:w="6540" w:type="dxa"/>
          </w:tcPr>
          <w:p w14:paraId="7882F945">
            <w:pPr>
              <w:numPr>
                <w:ilvl w:val="0"/>
                <w:numId w:val="0"/>
              </w:numPr>
              <w:spacing w:line="240" w:lineRule="auto"/>
              <w:ind w:leftChars="0"/>
              <w:rPr>
                <w:rFonts w:hint="default" w:ascii="宋体" w:hAnsi="宋体" w:eastAsia="宋体" w:cs="宋体"/>
                <w:b/>
                <w:bCs/>
                <w:color w:val="FF0000"/>
                <w:kern w:val="0"/>
                <w:sz w:val="24"/>
                <w:szCs w:val="24"/>
                <w:vertAlign w:val="baseline"/>
                <w:lang w:val="en-US" w:eastAsia="zh-CN" w:bidi="ar-SA"/>
              </w:rPr>
            </w:pPr>
            <w:r>
              <w:rPr>
                <w:rFonts w:ascii="宋体" w:hAnsi="宋体"/>
              </w:rPr>
              <w:t>空心通孔直径4.0mm</w:t>
            </w:r>
          </w:p>
        </w:tc>
      </w:tr>
      <w:tr w14:paraId="260E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350" w:type="dxa"/>
            <w:vAlign w:val="center"/>
          </w:tcPr>
          <w:p w14:paraId="2097C405">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6</w:t>
            </w:r>
          </w:p>
        </w:tc>
        <w:tc>
          <w:tcPr>
            <w:tcW w:w="6540" w:type="dxa"/>
          </w:tcPr>
          <w:p w14:paraId="7C65A813">
            <w:pPr>
              <w:keepNext w:val="0"/>
              <w:keepLines w:val="0"/>
              <w:widowControl/>
              <w:suppressLineNumbers w:val="0"/>
              <w:jc w:val="left"/>
              <w:rPr>
                <w:rFonts w:hint="default" w:ascii="宋体" w:hAnsi="宋体" w:eastAsia="宋体" w:cs="宋体"/>
                <w:b/>
                <w:bCs/>
                <w:color w:val="FF0000"/>
                <w:kern w:val="0"/>
                <w:sz w:val="24"/>
                <w:szCs w:val="24"/>
                <w:vertAlign w:val="baseline"/>
                <w:lang w:val="en-US" w:eastAsia="zh-CN" w:bidi="ar-SA"/>
              </w:rPr>
            </w:pPr>
            <w:r>
              <w:rPr>
                <w:rFonts w:hint="eastAsia" w:ascii="宋体" w:hAnsi="宋体"/>
              </w:rPr>
              <w:t>使用免消毒电池</w:t>
            </w:r>
          </w:p>
        </w:tc>
      </w:tr>
      <w:tr w14:paraId="6AAB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350" w:type="dxa"/>
            <w:vAlign w:val="center"/>
          </w:tcPr>
          <w:p w14:paraId="7EF3F642">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7</w:t>
            </w:r>
          </w:p>
        </w:tc>
        <w:tc>
          <w:tcPr>
            <w:tcW w:w="6540" w:type="dxa"/>
          </w:tcPr>
          <w:p w14:paraId="3E0E777E">
            <w:pPr>
              <w:keepNext w:val="0"/>
              <w:keepLines w:val="0"/>
              <w:widowControl/>
              <w:suppressLineNumbers w:val="0"/>
              <w:jc w:val="left"/>
              <w:rPr>
                <w:rFonts w:hint="default" w:ascii="宋体" w:hAnsi="宋体" w:eastAsia="宋体" w:cs="宋体"/>
                <w:b/>
                <w:bCs/>
                <w:color w:val="FF0000"/>
                <w:kern w:val="0"/>
                <w:sz w:val="24"/>
                <w:szCs w:val="24"/>
                <w:vertAlign w:val="baseline"/>
                <w:lang w:val="en-US" w:eastAsia="zh-CN" w:bidi="ar-SA"/>
              </w:rPr>
            </w:pPr>
            <w:r>
              <w:rPr>
                <w:rFonts w:hint="eastAsia" w:ascii="宋体" w:hAnsi="宋体"/>
              </w:rPr>
              <w:t>电池电压14.4伏；</w:t>
            </w:r>
            <w:r>
              <w:rPr>
                <w:rFonts w:ascii="宋体" w:hAnsi="宋体"/>
              </w:rPr>
              <w:t>1800mAh</w:t>
            </w:r>
          </w:p>
        </w:tc>
      </w:tr>
      <w:tr w14:paraId="419B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350" w:type="dxa"/>
            <w:vAlign w:val="center"/>
          </w:tcPr>
          <w:p w14:paraId="25FDF94A">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8</w:t>
            </w:r>
          </w:p>
        </w:tc>
        <w:tc>
          <w:tcPr>
            <w:tcW w:w="6540" w:type="dxa"/>
          </w:tcPr>
          <w:p w14:paraId="63F3C413">
            <w:pPr>
              <w:pStyle w:val="14"/>
              <w:jc w:val="both"/>
              <w:rPr>
                <w:rFonts w:hint="eastAsia" w:ascii="宋体" w:hAnsi="宋体" w:eastAsia="宋体" w:cs="宋体"/>
                <w:b/>
                <w:bCs/>
                <w:color w:val="FF0000"/>
                <w:kern w:val="0"/>
                <w:sz w:val="24"/>
                <w:szCs w:val="24"/>
                <w:vertAlign w:val="baseline"/>
                <w:lang w:val="en-US" w:eastAsia="zh-CN" w:bidi="ar-SA"/>
              </w:rPr>
            </w:pPr>
            <w:r>
              <w:rPr>
                <w:rFonts w:ascii="宋体" w:hAnsi="宋体"/>
              </w:rPr>
              <w:t>充电器输入电压交流100V～250V  50/60HZ</w:t>
            </w:r>
          </w:p>
        </w:tc>
      </w:tr>
      <w:tr w14:paraId="663E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350" w:type="dxa"/>
            <w:vAlign w:val="center"/>
          </w:tcPr>
          <w:p w14:paraId="79CF6CFB">
            <w:pPr>
              <w:pStyle w:val="14"/>
              <w:jc w:val="center"/>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9</w:t>
            </w:r>
          </w:p>
        </w:tc>
        <w:tc>
          <w:tcPr>
            <w:tcW w:w="6540" w:type="dxa"/>
          </w:tcPr>
          <w:p w14:paraId="6B53DB65">
            <w:pPr>
              <w:pStyle w:val="14"/>
              <w:jc w:val="both"/>
              <w:rPr>
                <w:rFonts w:hint="default" w:ascii="宋体" w:hAnsi="宋体" w:eastAsia="宋体" w:cs="宋体"/>
                <w:b/>
                <w:bCs/>
                <w:color w:val="FF0000"/>
                <w:sz w:val="24"/>
                <w:szCs w:val="24"/>
                <w:vertAlign w:val="baseline"/>
                <w:lang w:val="en-US" w:eastAsia="zh-CN"/>
              </w:rPr>
            </w:pPr>
            <w:r>
              <w:rPr>
                <w:rFonts w:hint="eastAsia" w:ascii="宋体" w:hAnsi="宋体"/>
              </w:rPr>
              <w:t>铝合金外壳</w:t>
            </w:r>
          </w:p>
        </w:tc>
      </w:tr>
      <w:tr w14:paraId="3650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350" w:type="dxa"/>
            <w:vAlign w:val="center"/>
          </w:tcPr>
          <w:p w14:paraId="6C786ECB">
            <w:pPr>
              <w:pStyle w:val="14"/>
              <w:jc w:val="center"/>
              <w:rPr>
                <w:rFonts w:hint="default" w:ascii="宋体" w:hAnsi="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10</w:t>
            </w:r>
          </w:p>
        </w:tc>
        <w:tc>
          <w:tcPr>
            <w:tcW w:w="6540" w:type="dxa"/>
          </w:tcPr>
          <w:p w14:paraId="1C57A81A">
            <w:pPr>
              <w:pStyle w:val="14"/>
              <w:jc w:val="both"/>
              <w:rPr>
                <w:rFonts w:hint="eastAsia" w:ascii="宋体" w:hAnsi="宋体"/>
              </w:rPr>
            </w:pPr>
            <w:r>
              <w:rPr>
                <w:rFonts w:hint="eastAsia" w:ascii="宋体" w:hAnsi="宋体"/>
              </w:rPr>
              <w:t>噪声≤40dB</w:t>
            </w:r>
          </w:p>
        </w:tc>
      </w:tr>
      <w:tr w14:paraId="40BF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350" w:type="dxa"/>
            <w:vAlign w:val="center"/>
          </w:tcPr>
          <w:p w14:paraId="31FDDC6F">
            <w:pPr>
              <w:pStyle w:val="14"/>
              <w:jc w:val="center"/>
              <w:rPr>
                <w:rFonts w:hint="default" w:ascii="宋体" w:hAnsi="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11</w:t>
            </w:r>
          </w:p>
        </w:tc>
        <w:tc>
          <w:tcPr>
            <w:tcW w:w="6540" w:type="dxa"/>
          </w:tcPr>
          <w:p w14:paraId="05B9251D">
            <w:pPr>
              <w:pStyle w:val="14"/>
              <w:jc w:val="both"/>
              <w:rPr>
                <w:rFonts w:hint="default" w:ascii="宋体" w:hAnsi="宋体"/>
                <w:lang w:val="en-US"/>
              </w:rPr>
            </w:pPr>
            <w:r>
              <w:rPr>
                <w:rFonts w:hint="eastAsia" w:ascii="宋体" w:hAnsi="宋体"/>
              </w:rPr>
              <w:t>温升≤25℃</w:t>
            </w:r>
          </w:p>
        </w:tc>
      </w:tr>
    </w:tbl>
    <w:p w14:paraId="6F354435">
      <w:pPr>
        <w:keepNext w:val="0"/>
        <w:keepLines w:val="0"/>
        <w:widowControl/>
        <w:suppressLineNumbers w:val="0"/>
        <w:jc w:val="left"/>
        <w:rPr>
          <w:rFonts w:hint="eastAsia"/>
          <w:b/>
          <w:bCs/>
          <w:sz w:val="24"/>
          <w:szCs w:val="24"/>
          <w:lang w:val="en-US" w:eastAsia="zh-CN"/>
        </w:rPr>
      </w:pPr>
      <w:r>
        <w:rPr>
          <w:rFonts w:hint="eastAsia"/>
          <w:b/>
          <w:bCs/>
          <w:lang w:val="en-US" w:eastAsia="zh-CN"/>
        </w:rPr>
        <w:t xml:space="preserve">  </w:t>
      </w:r>
      <w:r>
        <w:rPr>
          <w:rFonts w:hint="eastAsia"/>
          <w:b/>
          <w:bCs/>
          <w:sz w:val="24"/>
          <w:szCs w:val="24"/>
          <w:lang w:val="en-US" w:eastAsia="zh-CN"/>
        </w:rPr>
        <w:t xml:space="preserve"> </w:t>
      </w:r>
    </w:p>
    <w:p w14:paraId="75835E1E">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w:t>
      </w:r>
    </w:p>
    <w:p w14:paraId="61ED6B56">
      <w:pPr>
        <w:pStyle w:val="14"/>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2DE59351">
      <w:pPr>
        <w:pStyle w:val="14"/>
        <w:ind w:left="-708" w:leftChars="-337"/>
        <w:rPr>
          <w:color w:val="auto"/>
        </w:rPr>
      </w:pPr>
      <w:r>
        <w:rPr>
          <w:rFonts w:hint="eastAsia"/>
          <w:color w:val="auto"/>
        </w:rPr>
        <w:t>2、投标人所投产品参数应同等或优于以上各项参数要求，产品、辅材及生产工艺符合国家相关规范。</w:t>
      </w:r>
    </w:p>
    <w:p w14:paraId="7E573A28">
      <w:pPr>
        <w:pStyle w:val="14"/>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1C0D47A8">
      <w:pPr>
        <w:pStyle w:val="14"/>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412A10D4">
      <w:pPr>
        <w:pStyle w:val="14"/>
        <w:ind w:left="-708" w:leftChars="-337"/>
        <w:rPr>
          <w:rFonts w:hint="eastAsia"/>
          <w:color w:val="auto"/>
        </w:rPr>
      </w:pPr>
      <w:r>
        <w:rPr>
          <w:rFonts w:hint="eastAsia"/>
          <w:color w:val="auto"/>
          <w:lang w:val="en-US" w:eastAsia="zh-CN"/>
        </w:rPr>
        <w:t>5、投标人所投产品必须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57713BAB">
      <w:pPr>
        <w:pStyle w:val="14"/>
        <w:ind w:left="-708" w:leftChars="-337" w:firstLine="482" w:firstLineChars="200"/>
        <w:rPr>
          <w:rFonts w:hint="eastAsia" w:cs="宋体"/>
          <w:b/>
          <w:bCs/>
        </w:rPr>
      </w:pPr>
      <w:r>
        <w:rPr>
          <w:rFonts w:hint="eastAsia" w:cs="宋体"/>
          <w:b/>
          <w:bCs/>
        </w:rPr>
        <w:t>（</w:t>
      </w:r>
      <w:r>
        <w:rPr>
          <w:rFonts w:hint="eastAsia" w:cs="宋体"/>
          <w:b/>
          <w:bCs/>
          <w:lang w:val="en-US" w:eastAsia="zh-CN"/>
        </w:rPr>
        <w:t xml:space="preserve"> </w:t>
      </w:r>
      <w:r>
        <w:rPr>
          <w:rFonts w:hint="eastAsia" w:cs="宋体"/>
          <w:b/>
          <w:bCs/>
        </w:rPr>
        <w:t>四）商务要求</w:t>
      </w:r>
    </w:p>
    <w:p w14:paraId="76ABA8A0">
      <w:pPr>
        <w:pStyle w:val="14"/>
        <w:ind w:left="-708" w:leftChars="-337"/>
        <w:rPr>
          <w:rFonts w:hint="default" w:eastAsia="宋体" w:cs="宋体"/>
          <w:b w:val="0"/>
          <w:bCs w:val="0"/>
          <w:lang w:val="en-US" w:eastAsia="zh-CN"/>
        </w:rPr>
      </w:pPr>
      <w:r>
        <w:rPr>
          <w:rFonts w:hint="eastAsia" w:cs="宋体"/>
          <w:b/>
          <w:bCs/>
          <w:lang w:val="en-US" w:eastAsia="zh-CN"/>
        </w:rPr>
        <w:t>1、投标人资格要求</w:t>
      </w:r>
    </w:p>
    <w:p w14:paraId="54CA5489">
      <w:pPr>
        <w:pStyle w:val="14"/>
        <w:ind w:left="-708" w:leftChars="-337"/>
        <w:rPr>
          <w:rFonts w:hint="eastAsia"/>
          <w:color w:val="auto"/>
        </w:rPr>
      </w:pPr>
      <w:r>
        <w:rPr>
          <w:rFonts w:hint="eastAsia"/>
          <w:color w:val="auto"/>
        </w:rPr>
        <w:t>1</w:t>
      </w:r>
      <w:r>
        <w:rPr>
          <w:rFonts w:hint="eastAsia"/>
          <w:color w:val="auto"/>
          <w:lang w:eastAsia="zh-CN"/>
        </w:rPr>
        <w:t>）</w:t>
      </w:r>
      <w:r>
        <w:rPr>
          <w:rFonts w:hint="eastAsia"/>
          <w:color w:val="auto"/>
        </w:rPr>
        <w:t>投标人为独立法人，并具备统一社会信用代码。</w:t>
      </w:r>
    </w:p>
    <w:p w14:paraId="5A0B14A0">
      <w:pPr>
        <w:pStyle w:val="14"/>
        <w:ind w:left="-708" w:leftChars="-337"/>
        <w:rPr>
          <w:rFonts w:hint="eastAsia"/>
          <w:color w:val="auto"/>
        </w:rPr>
      </w:pPr>
      <w:r>
        <w:rPr>
          <w:rFonts w:hint="eastAsia"/>
          <w:color w:val="auto"/>
        </w:rPr>
        <w:t>2</w:t>
      </w:r>
      <w:r>
        <w:rPr>
          <w:rFonts w:hint="eastAsia"/>
          <w:color w:val="auto"/>
          <w:lang w:eastAsia="zh-CN"/>
        </w:rPr>
        <w:t>）</w:t>
      </w:r>
      <w:r>
        <w:rPr>
          <w:rFonts w:hint="eastAsia"/>
          <w:color w:val="auto"/>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70D8E1F9">
      <w:pPr>
        <w:pStyle w:val="14"/>
        <w:ind w:left="-708" w:leftChars="-337"/>
        <w:rPr>
          <w:rFonts w:hint="eastAsia"/>
          <w:color w:val="auto"/>
        </w:rPr>
      </w:pPr>
      <w:r>
        <w:rPr>
          <w:rFonts w:hint="eastAsia"/>
          <w:color w:val="auto"/>
        </w:rPr>
        <w:t>3</w:t>
      </w:r>
      <w:r>
        <w:rPr>
          <w:rFonts w:hint="eastAsia"/>
          <w:color w:val="auto"/>
          <w:lang w:eastAsia="zh-CN"/>
        </w:rPr>
        <w:t>）</w:t>
      </w:r>
      <w:r>
        <w:rPr>
          <w:rFonts w:hint="eastAsia"/>
          <w:color w:val="auto"/>
        </w:rPr>
        <w:t>被列入我院投标人黑名单（在我院招投标活动中存在2次违规行为）未满3年的投标人将被拒绝其参与本次招投标活动。</w:t>
      </w:r>
    </w:p>
    <w:p w14:paraId="3D56AA6C">
      <w:pPr>
        <w:pStyle w:val="14"/>
        <w:ind w:left="-708" w:leftChars="-337"/>
        <w:rPr>
          <w:rFonts w:hint="eastAsia"/>
          <w:color w:val="auto"/>
        </w:rPr>
      </w:pPr>
      <w:r>
        <w:rPr>
          <w:rFonts w:hint="eastAsia"/>
          <w:color w:val="auto"/>
        </w:rPr>
        <w:t>4）为保证服务和产品质量, 必须提供产品制造商的授权书原件(或复印件）及售后服务原件（复印件），否则投标无效。</w:t>
      </w:r>
    </w:p>
    <w:p w14:paraId="1FF71B61">
      <w:pPr>
        <w:pStyle w:val="14"/>
        <w:ind w:left="-708" w:leftChars="-337"/>
        <w:rPr>
          <w:rFonts w:hint="eastAsia"/>
          <w:color w:val="auto"/>
        </w:rPr>
      </w:pPr>
      <w:r>
        <w:rPr>
          <w:rFonts w:hint="eastAsia"/>
          <w:color w:val="auto"/>
        </w:rPr>
        <w:t>5）本项目不接收联合体投标。</w:t>
      </w:r>
    </w:p>
    <w:p w14:paraId="5D49838D">
      <w:pPr>
        <w:pStyle w:val="14"/>
        <w:ind w:left="-708" w:leftChars="-337"/>
        <w:rPr>
          <w:rFonts w:hint="default" w:cs="宋体"/>
          <w:b/>
          <w:bCs/>
          <w:lang w:val="en-US" w:eastAsia="zh-CN"/>
        </w:rPr>
      </w:pPr>
      <w:r>
        <w:rPr>
          <w:rFonts w:hint="eastAsia" w:cs="宋体"/>
          <w:b/>
          <w:bCs/>
          <w:lang w:val="en-US" w:eastAsia="zh-CN"/>
        </w:rPr>
        <w:t>2、投标产品资格要求</w:t>
      </w:r>
    </w:p>
    <w:p w14:paraId="4E8A55B4">
      <w:pPr>
        <w:pStyle w:val="14"/>
        <w:ind w:left="-708" w:leftChars="-337" w:firstLine="480" w:firstLineChars="200"/>
        <w:rPr>
          <w:rFonts w:hint="eastAsia"/>
          <w:highlight w:val="yellow"/>
        </w:rPr>
      </w:pP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E0ECF89">
      <w:pPr>
        <w:pStyle w:val="14"/>
        <w:rPr>
          <w:rFonts w:hint="default" w:eastAsia="宋体"/>
          <w:highlight w:val="yellow"/>
          <w:lang w:val="en-US" w:eastAsia="zh-CN"/>
        </w:rPr>
      </w:pPr>
    </w:p>
    <w:p w14:paraId="27807589">
      <w:pPr>
        <w:pStyle w:val="14"/>
        <w:ind w:left="-708" w:leftChars="-337"/>
        <w:rPr>
          <w:rFonts w:hint="eastAsia"/>
        </w:rPr>
      </w:pPr>
      <w:r>
        <w:rPr>
          <w:rFonts w:hint="eastAsia"/>
          <w:b/>
          <w:bCs/>
        </w:rPr>
        <w:t>3、售后服务和</w:t>
      </w:r>
      <w:r>
        <w:rPr>
          <w:rFonts w:hint="eastAsia"/>
          <w:b/>
          <w:bCs/>
          <w:lang w:val="en-US" w:eastAsia="zh-CN"/>
        </w:rPr>
        <w:t>资质</w:t>
      </w:r>
    </w:p>
    <w:p w14:paraId="619C6660">
      <w:pPr>
        <w:pStyle w:val="14"/>
        <w:ind w:left="-708" w:leftChars="-337"/>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14:paraId="005838B6">
      <w:pPr>
        <w:pStyle w:val="14"/>
        <w:ind w:left="-708" w:leftChars="-337"/>
        <w:rPr>
          <w:rFonts w:hint="eastAsia"/>
        </w:rPr>
      </w:pPr>
      <w:r>
        <w:rPr>
          <w:rFonts w:hint="eastAsia"/>
          <w:lang w:val="en-US" w:eastAsia="zh-CN"/>
        </w:rPr>
        <w:t>2）</w:t>
      </w:r>
      <w:r>
        <w:rPr>
          <w:rFonts w:hint="eastAsia"/>
        </w:rPr>
        <w:t>质保期：设备安装完毕通过验收投入使用之日起不少于</w:t>
      </w:r>
      <w:r>
        <w:rPr>
          <w:rFonts w:hint="eastAsia"/>
          <w:highlight w:val="yellow"/>
          <w:lang w:val="en-US" w:eastAsia="zh-CN"/>
        </w:rPr>
        <w:t>1</w:t>
      </w:r>
      <w:r>
        <w:rPr>
          <w:rFonts w:hint="eastAsia"/>
        </w:rPr>
        <w:t>年。</w:t>
      </w:r>
    </w:p>
    <w:p w14:paraId="30128F44">
      <w:pPr>
        <w:pStyle w:val="14"/>
        <w:ind w:left="-708" w:leftChars="-337"/>
        <w:rPr>
          <w:rFonts w:hint="eastAsia"/>
        </w:rPr>
      </w:pPr>
      <w:r>
        <w:rPr>
          <w:rFonts w:hint="eastAsia"/>
          <w:lang w:val="en-US" w:eastAsia="zh-CN"/>
        </w:rPr>
        <w:t>3）</w:t>
      </w:r>
      <w:r>
        <w:rPr>
          <w:rFonts w:hint="eastAsia"/>
        </w:rPr>
        <w:t>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758647FD">
      <w:pPr>
        <w:pStyle w:val="14"/>
        <w:ind w:left="-708" w:leftChars="-337"/>
        <w:rPr>
          <w:rFonts w:hint="eastAsia" w:cs="宋体"/>
          <w:kern w:val="0"/>
          <w:sz w:val="24"/>
          <w:szCs w:val="24"/>
        </w:rPr>
      </w:pPr>
      <w:r>
        <w:rPr>
          <w:rFonts w:hint="eastAsia"/>
          <w:lang w:val="en-US" w:eastAsia="zh-CN"/>
        </w:rPr>
        <w:t>4）</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659CF101">
      <w:pPr>
        <w:pStyle w:val="14"/>
        <w:ind w:left="-708" w:leftChars="-337"/>
        <w:rPr>
          <w:rFonts w:hint="default" w:eastAsia="宋体" w:cs="宋体"/>
          <w:kern w:val="0"/>
          <w:sz w:val="24"/>
          <w:szCs w:val="24"/>
          <w:lang w:val="en-US" w:eastAsia="zh-CN"/>
        </w:rPr>
      </w:pPr>
      <w:r>
        <w:rPr>
          <w:rFonts w:hint="eastAsia" w:cs="宋体"/>
          <w:kern w:val="0"/>
          <w:sz w:val="24"/>
          <w:szCs w:val="24"/>
          <w:lang w:val="en-US" w:eastAsia="zh-CN"/>
        </w:rPr>
        <w:t>5)</w:t>
      </w:r>
      <w:r>
        <w:rPr>
          <w:rFonts w:hint="eastAsia" w:ascii="宋体" w:hAnsi="宋体" w:eastAsia="宋体" w:cs="宋体"/>
          <w:color w:val="000000"/>
          <w:kern w:val="0"/>
          <w:sz w:val="24"/>
          <w:szCs w:val="24"/>
          <w:lang w:val="en-US" w:eastAsia="zh-CN" w:bidi="ar"/>
        </w:rPr>
        <w:t>安装调试合格后，双方对设备进行性能考核，通过考核且达到采购人要求，方可签署验收合格文件。</w:t>
      </w:r>
    </w:p>
    <w:p w14:paraId="7B9CCBE3">
      <w:pPr>
        <w:pStyle w:val="14"/>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lang w:eastAsia="zh-CN"/>
        </w:rPr>
        <w:t>贺州市八步区人民医院指定地点</w:t>
      </w:r>
      <w:r>
        <w:rPr>
          <w:kern w:val="0"/>
          <w:sz w:val="24"/>
          <w:szCs w:val="24"/>
        </w:rPr>
        <w:t xml:space="preserve">    </w:t>
      </w:r>
    </w:p>
    <w:p w14:paraId="6605A776">
      <w:pPr>
        <w:pStyle w:val="14"/>
        <w:ind w:left="-708" w:leftChars="-337"/>
        <w:rPr>
          <w:rFonts w:hint="eastAsia"/>
          <w:kern w:val="0"/>
          <w:sz w:val="24"/>
          <w:szCs w:val="24"/>
          <w:lang w:val="en-US" w:eastAsia="zh-CN"/>
        </w:rPr>
      </w:pPr>
      <w:r>
        <w:rPr>
          <w:rFonts w:hint="eastAsia"/>
          <w:kern w:val="0"/>
          <w:sz w:val="24"/>
          <w:szCs w:val="24"/>
          <w:lang w:val="en-US" w:eastAsia="zh-CN"/>
        </w:rPr>
        <w:t>7）付款条件（进度和方式）：</w:t>
      </w:r>
    </w:p>
    <w:p w14:paraId="06055705">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rPr>
        <w:t>签订合同后，全部货物到达指定地点、安装调试并验收合格后，凭双方签署验收合格证，乙方开具全额发票给甲方，甲方自收到发票之</w:t>
      </w:r>
      <w:r>
        <w:rPr>
          <w:rFonts w:hint="eastAsia" w:cs="宋体"/>
          <w:kern w:val="0"/>
          <w:sz w:val="24"/>
          <w:szCs w:val="24"/>
          <w:lang w:eastAsia="zh-CN"/>
        </w:rPr>
        <w:t>后按支付程序</w:t>
      </w:r>
      <w:r>
        <w:rPr>
          <w:rFonts w:hint="eastAsia" w:cs="宋体"/>
          <w:kern w:val="0"/>
          <w:sz w:val="24"/>
          <w:szCs w:val="24"/>
        </w:rPr>
        <w:t>支付总合同金额的</w:t>
      </w:r>
      <w:r>
        <w:rPr>
          <w:rFonts w:hint="eastAsia" w:cs="宋体"/>
          <w:b/>
          <w:bCs/>
          <w:kern w:val="0"/>
          <w:sz w:val="24"/>
          <w:szCs w:val="24"/>
          <w:lang w:val="en-US" w:eastAsia="zh-CN"/>
        </w:rPr>
        <w:t>9</w:t>
      </w:r>
      <w:r>
        <w:rPr>
          <w:rFonts w:hint="eastAsia" w:cs="宋体"/>
          <w:b/>
          <w:bCs/>
          <w:kern w:val="0"/>
          <w:sz w:val="24"/>
          <w:szCs w:val="24"/>
        </w:rPr>
        <w:t>0%</w:t>
      </w:r>
      <w:r>
        <w:rPr>
          <w:rFonts w:hint="eastAsia" w:cs="宋体"/>
          <w:kern w:val="0"/>
          <w:sz w:val="24"/>
          <w:szCs w:val="24"/>
        </w:rPr>
        <w:t>，12个月后支付合同总金额的</w:t>
      </w:r>
      <w:r>
        <w:rPr>
          <w:rFonts w:hint="eastAsia" w:cs="宋体"/>
          <w:b/>
          <w:bCs/>
          <w:kern w:val="0"/>
          <w:sz w:val="24"/>
          <w:szCs w:val="24"/>
        </w:rPr>
        <w:t>10%</w:t>
      </w:r>
      <w:r>
        <w:rPr>
          <w:rFonts w:hint="eastAsia" w:cs="宋体"/>
          <w:kern w:val="0"/>
          <w:sz w:val="24"/>
          <w:szCs w:val="24"/>
        </w:rPr>
        <w:t>（不计利息）。</w:t>
      </w:r>
    </w:p>
    <w:p w14:paraId="36491F93">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0577EE21">
      <w:pPr>
        <w:widowControl/>
        <w:spacing w:line="360" w:lineRule="auto"/>
        <w:ind w:left="-708" w:leftChars="-338" w:hanging="2"/>
        <w:jc w:val="left"/>
        <w:rPr>
          <w:rFonts w:cs="宋体"/>
          <w:kern w:val="0"/>
          <w:sz w:val="24"/>
          <w:szCs w:val="24"/>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r>
        <w:rPr>
          <w:rFonts w:hint="eastAsia" w:cs="宋体"/>
          <w:b/>
          <w:bCs/>
          <w:kern w:val="0"/>
          <w:sz w:val="28"/>
          <w:szCs w:val="28"/>
          <w:lang w:eastAsia="zh-CN"/>
        </w:rPr>
        <w:t>：</w:t>
      </w: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30个历日</w:t>
          </w:r>
        </w:sdtContent>
      </w:sdt>
      <w:r>
        <w:rPr>
          <w:rFonts w:hint="eastAsia" w:cs="宋体"/>
          <w:kern w:val="0"/>
          <w:sz w:val="24"/>
          <w:szCs w:val="24"/>
        </w:rPr>
        <w:t>内签订采购合同。</w:t>
      </w:r>
    </w:p>
    <w:p w14:paraId="38673717">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、特别说明</w:t>
      </w:r>
    </w:p>
    <w:p w14:paraId="25C0FD0B">
      <w:pPr>
        <w:widowControl/>
        <w:spacing w:line="400" w:lineRule="exact"/>
        <w:ind w:left="-613" w:leftChars="-292" w:firstLine="412" w:firstLineChars="172"/>
        <w:jc w:val="left"/>
        <w:rPr>
          <w:rFonts w:hint="eastAsia" w:cs="宋体"/>
          <w:kern w:val="0"/>
          <w:sz w:val="24"/>
          <w:szCs w:val="24"/>
        </w:rPr>
      </w:pPr>
      <w:bookmarkStart w:id="0" w:name="_GoBack"/>
      <w:bookmarkEnd w:id="0"/>
      <w:r>
        <w:rPr>
          <w:rFonts w:hint="eastAsia" w:cs="宋体"/>
          <w:kern w:val="0"/>
          <w:sz w:val="24"/>
          <w:szCs w:val="24"/>
        </w:rPr>
        <w:t>如果招标文件中对部分采购设备技术参数要求不详细，请各投标人在投标时补充说明。如投标人不作补充说明，</w:t>
      </w:r>
      <w:r>
        <w:rPr>
          <w:rFonts w:hint="eastAsia" w:cs="宋体"/>
          <w:kern w:val="0"/>
          <w:sz w:val="24"/>
          <w:szCs w:val="24"/>
          <w:lang w:eastAsia="zh-CN"/>
        </w:rPr>
        <w:t>贺州市八步区人民医院</w:t>
      </w:r>
      <w:r>
        <w:rPr>
          <w:rFonts w:hint="eastAsia" w:cs="宋体"/>
          <w:kern w:val="0"/>
          <w:sz w:val="24"/>
          <w:szCs w:val="24"/>
        </w:rPr>
        <w:t>招标管理办公室将从有利于招标人的角度出发，认定其所报配置为可能存在情况的最高标准。</w:t>
      </w:r>
    </w:p>
    <w:p w14:paraId="3161B38D">
      <w:pPr>
        <w:widowControl/>
        <w:jc w:val="cente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6914C15C">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5AEAE873">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最低评标价法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14:paraId="379E5344">
      <w:pPr>
        <w:pStyle w:val="14"/>
        <w:ind w:firstLine="482" w:firstLineChars="200"/>
        <w:rPr>
          <w:rFonts w:hint="eastAsia" w:eastAsia="宋体"/>
          <w:b/>
          <w:bCs/>
          <w:kern w:val="0"/>
          <w:lang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NjY0OGE4NzcwZTFjZDNlMzIzY2FjMTJmYzQxMzY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1E032B"/>
    <w:rsid w:val="021F7DC1"/>
    <w:rsid w:val="04554334"/>
    <w:rsid w:val="04611626"/>
    <w:rsid w:val="054C589A"/>
    <w:rsid w:val="055E32F7"/>
    <w:rsid w:val="06630DB5"/>
    <w:rsid w:val="06782EF1"/>
    <w:rsid w:val="089D23C9"/>
    <w:rsid w:val="08D42882"/>
    <w:rsid w:val="097D7547"/>
    <w:rsid w:val="098175B4"/>
    <w:rsid w:val="09CA5E73"/>
    <w:rsid w:val="0CC05EEA"/>
    <w:rsid w:val="0D013EC9"/>
    <w:rsid w:val="0E923698"/>
    <w:rsid w:val="0F422736"/>
    <w:rsid w:val="0F5F3EF3"/>
    <w:rsid w:val="104D4104"/>
    <w:rsid w:val="10C97A40"/>
    <w:rsid w:val="122B15C9"/>
    <w:rsid w:val="14292D22"/>
    <w:rsid w:val="149F6D0A"/>
    <w:rsid w:val="18BA03EC"/>
    <w:rsid w:val="199221EE"/>
    <w:rsid w:val="19EA4300"/>
    <w:rsid w:val="1A0F6516"/>
    <w:rsid w:val="1A961DE1"/>
    <w:rsid w:val="1DE6523D"/>
    <w:rsid w:val="1E276524"/>
    <w:rsid w:val="1FDC01D6"/>
    <w:rsid w:val="20440D0D"/>
    <w:rsid w:val="21076690"/>
    <w:rsid w:val="210C3C83"/>
    <w:rsid w:val="21445E15"/>
    <w:rsid w:val="2218153E"/>
    <w:rsid w:val="229972C4"/>
    <w:rsid w:val="26431704"/>
    <w:rsid w:val="26492F73"/>
    <w:rsid w:val="27124E7C"/>
    <w:rsid w:val="280E7074"/>
    <w:rsid w:val="297C705F"/>
    <w:rsid w:val="29F0414A"/>
    <w:rsid w:val="2B342280"/>
    <w:rsid w:val="2D7C3A6A"/>
    <w:rsid w:val="2E44559E"/>
    <w:rsid w:val="2EDE6376"/>
    <w:rsid w:val="2F2E149C"/>
    <w:rsid w:val="2FE34275"/>
    <w:rsid w:val="30227288"/>
    <w:rsid w:val="3194337D"/>
    <w:rsid w:val="33E424FB"/>
    <w:rsid w:val="353115DE"/>
    <w:rsid w:val="35D20537"/>
    <w:rsid w:val="3737378F"/>
    <w:rsid w:val="37BB119D"/>
    <w:rsid w:val="3806606D"/>
    <w:rsid w:val="38787475"/>
    <w:rsid w:val="38D26C34"/>
    <w:rsid w:val="39037B98"/>
    <w:rsid w:val="397701BE"/>
    <w:rsid w:val="39CB3889"/>
    <w:rsid w:val="3AB53967"/>
    <w:rsid w:val="3B5D137F"/>
    <w:rsid w:val="3B613904"/>
    <w:rsid w:val="3C071134"/>
    <w:rsid w:val="3D075192"/>
    <w:rsid w:val="3E24326B"/>
    <w:rsid w:val="3ED953F3"/>
    <w:rsid w:val="3F8769CB"/>
    <w:rsid w:val="4037219F"/>
    <w:rsid w:val="40BF2194"/>
    <w:rsid w:val="412A3AB7"/>
    <w:rsid w:val="41366ED0"/>
    <w:rsid w:val="443B7D84"/>
    <w:rsid w:val="466B16B2"/>
    <w:rsid w:val="473A2575"/>
    <w:rsid w:val="487321E2"/>
    <w:rsid w:val="49206844"/>
    <w:rsid w:val="4A9566A3"/>
    <w:rsid w:val="4C0E095C"/>
    <w:rsid w:val="4CB44B77"/>
    <w:rsid w:val="4EF851EF"/>
    <w:rsid w:val="51771314"/>
    <w:rsid w:val="521E0DE4"/>
    <w:rsid w:val="527A2BB8"/>
    <w:rsid w:val="528C1CB0"/>
    <w:rsid w:val="53177C0E"/>
    <w:rsid w:val="538B1861"/>
    <w:rsid w:val="540D3518"/>
    <w:rsid w:val="543177F1"/>
    <w:rsid w:val="556233C2"/>
    <w:rsid w:val="55DB45BE"/>
    <w:rsid w:val="5708582A"/>
    <w:rsid w:val="58C25617"/>
    <w:rsid w:val="594B0611"/>
    <w:rsid w:val="5A611E32"/>
    <w:rsid w:val="5A7476F4"/>
    <w:rsid w:val="5C921D2A"/>
    <w:rsid w:val="5CF70570"/>
    <w:rsid w:val="5D2B705E"/>
    <w:rsid w:val="5DCF1811"/>
    <w:rsid w:val="5DF71C31"/>
    <w:rsid w:val="60B44CEE"/>
    <w:rsid w:val="61A30FEA"/>
    <w:rsid w:val="643302C3"/>
    <w:rsid w:val="64591730"/>
    <w:rsid w:val="647C3E2B"/>
    <w:rsid w:val="66215E2C"/>
    <w:rsid w:val="67D53EC8"/>
    <w:rsid w:val="69E00902"/>
    <w:rsid w:val="6A513DD5"/>
    <w:rsid w:val="6D590A0C"/>
    <w:rsid w:val="6DD0797D"/>
    <w:rsid w:val="6E2F0CD1"/>
    <w:rsid w:val="7047716A"/>
    <w:rsid w:val="704957D0"/>
    <w:rsid w:val="70CE4BA7"/>
    <w:rsid w:val="71754026"/>
    <w:rsid w:val="72FD2525"/>
    <w:rsid w:val="739449B2"/>
    <w:rsid w:val="743326A2"/>
    <w:rsid w:val="745B01E9"/>
    <w:rsid w:val="74B5471E"/>
    <w:rsid w:val="75387844"/>
    <w:rsid w:val="76342151"/>
    <w:rsid w:val="77E41C8F"/>
    <w:rsid w:val="7A326F58"/>
    <w:rsid w:val="7B2965AD"/>
    <w:rsid w:val="7C303BFB"/>
    <w:rsid w:val="7CA915F3"/>
    <w:rsid w:val="7D4C0330"/>
    <w:rsid w:val="7D6B2EAC"/>
    <w:rsid w:val="7E4E3B5C"/>
    <w:rsid w:val="7EA15D23"/>
    <w:rsid w:val="7F7F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99"/>
    <w:pPr>
      <w:jc w:val="left"/>
    </w:pPr>
  </w:style>
  <w:style w:type="paragraph" w:styleId="3">
    <w:name w:val="Body Text"/>
    <w:basedOn w:val="1"/>
    <w:next w:val="1"/>
    <w:autoRedefine/>
    <w:unhideWhenUsed/>
    <w:qFormat/>
    <w:uiPriority w:val="0"/>
    <w:pPr>
      <w:spacing w:after="120"/>
    </w:pPr>
  </w:style>
  <w:style w:type="paragraph" w:styleId="4">
    <w:name w:val="Plain Text"/>
    <w:basedOn w:val="1"/>
    <w:link w:val="18"/>
    <w:autoRedefine/>
    <w:qFormat/>
    <w:uiPriority w:val="99"/>
    <w:rPr>
      <w:rFonts w:ascii="宋体" w:hAnsi="Courier New"/>
    </w:rPr>
  </w:style>
  <w:style w:type="paragraph" w:styleId="5">
    <w:name w:val="footer"/>
    <w:basedOn w:val="1"/>
    <w:link w:val="22"/>
    <w:autoRedefine/>
    <w:unhideWhenUsed/>
    <w:qFormat/>
    <w:uiPriority w:val="99"/>
    <w:pPr>
      <w:tabs>
        <w:tab w:val="center" w:pos="4153"/>
        <w:tab w:val="right" w:pos="8306"/>
      </w:tabs>
      <w:snapToGrid w:val="0"/>
      <w:jc w:val="left"/>
    </w:pPr>
    <w:rPr>
      <w:sz w:val="18"/>
      <w:szCs w:val="18"/>
    </w:rPr>
  </w:style>
  <w:style w:type="paragraph" w:styleId="6">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8">
    <w:name w:val="annotation subject"/>
    <w:basedOn w:val="2"/>
    <w:next w:val="2"/>
    <w:link w:val="17"/>
    <w:autoRedefine/>
    <w:semiHidden/>
    <w:unhideWhenUsed/>
    <w:qFormat/>
    <w:uiPriority w:val="99"/>
    <w:rPr>
      <w:b/>
      <w:bCs/>
    </w:rPr>
  </w:style>
  <w:style w:type="paragraph" w:styleId="9">
    <w:name w:val="Body Text First Indent"/>
    <w:basedOn w:val="3"/>
    <w:autoRedefine/>
    <w:unhideWhenUsed/>
    <w:qFormat/>
    <w:uiPriority w:val="99"/>
    <w:pPr>
      <w:ind w:firstLine="420" w:firstLineChars="100"/>
    </w:pPr>
  </w:style>
  <w:style w:type="table" w:styleId="11">
    <w:name w:val="Table Grid"/>
    <w:basedOn w:val="10"/>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autoRedefine/>
    <w:semiHidden/>
    <w:qFormat/>
    <w:uiPriority w:val="99"/>
    <w:rPr>
      <w:sz w:val="21"/>
      <w:szCs w:val="21"/>
    </w:rPr>
  </w:style>
  <w:style w:type="paragraph" w:customStyle="1" w:styleId="14">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批注文字 字符"/>
    <w:basedOn w:val="12"/>
    <w:autoRedefine/>
    <w:qFormat/>
    <w:uiPriority w:val="99"/>
    <w:rPr>
      <w:rFonts w:ascii="Times New Roman" w:hAnsi="Times New Roman" w:eastAsia="宋体" w:cs="Times New Roman"/>
      <w:szCs w:val="21"/>
    </w:rPr>
  </w:style>
  <w:style w:type="character" w:customStyle="1" w:styleId="16">
    <w:name w:val="批注文字 字符1"/>
    <w:link w:val="2"/>
    <w:autoRedefine/>
    <w:semiHidden/>
    <w:qFormat/>
    <w:uiPriority w:val="99"/>
    <w:rPr>
      <w:rFonts w:ascii="Times New Roman" w:hAnsi="Times New Roman" w:eastAsia="宋体" w:cs="Times New Roman"/>
      <w:szCs w:val="21"/>
    </w:rPr>
  </w:style>
  <w:style w:type="character" w:customStyle="1" w:styleId="17">
    <w:name w:val="批注主题 字符"/>
    <w:basedOn w:val="16"/>
    <w:link w:val="8"/>
    <w:autoRedefine/>
    <w:semiHidden/>
    <w:qFormat/>
    <w:uiPriority w:val="99"/>
    <w:rPr>
      <w:rFonts w:ascii="Times New Roman" w:hAnsi="Times New Roman" w:eastAsia="宋体" w:cs="Times New Roman"/>
      <w:b/>
      <w:bCs/>
      <w:szCs w:val="21"/>
    </w:rPr>
  </w:style>
  <w:style w:type="character" w:customStyle="1" w:styleId="18">
    <w:name w:val="纯文本 字符"/>
    <w:basedOn w:val="12"/>
    <w:link w:val="4"/>
    <w:autoRedefine/>
    <w:qFormat/>
    <w:uiPriority w:val="99"/>
    <w:rPr>
      <w:rFonts w:ascii="宋体" w:hAnsi="Courier New" w:eastAsia="宋体" w:cs="Times New Roman"/>
      <w:szCs w:val="21"/>
    </w:rPr>
  </w:style>
  <w:style w:type="paragraph" w:customStyle="1" w:styleId="19">
    <w:name w:val="表格文字"/>
    <w:basedOn w:val="1"/>
    <w:autoRedefine/>
    <w:qFormat/>
    <w:uiPriority w:val="0"/>
    <w:pPr>
      <w:spacing w:before="25" w:after="25"/>
      <w:jc w:val="left"/>
    </w:pPr>
    <w:rPr>
      <w:rFonts w:ascii="Calibri" w:hAnsi="Calibri"/>
      <w:bCs/>
      <w:spacing w:val="10"/>
      <w:kern w:val="0"/>
      <w:sz w:val="24"/>
      <w:szCs w:val="20"/>
    </w:rPr>
  </w:style>
  <w:style w:type="character" w:customStyle="1" w:styleId="20">
    <w:name w:val="fontstyle01"/>
    <w:autoRedefine/>
    <w:qFormat/>
    <w:uiPriority w:val="0"/>
    <w:rPr>
      <w:rFonts w:hint="eastAsia" w:ascii="宋体" w:hAnsi="宋体" w:eastAsia="宋体"/>
      <w:color w:val="000000"/>
      <w:sz w:val="24"/>
      <w:szCs w:val="24"/>
    </w:rPr>
  </w:style>
  <w:style w:type="character" w:customStyle="1" w:styleId="21">
    <w:name w:val="页眉 字符"/>
    <w:basedOn w:val="12"/>
    <w:link w:val="6"/>
    <w:autoRedefine/>
    <w:qFormat/>
    <w:uiPriority w:val="99"/>
    <w:rPr>
      <w:rFonts w:ascii="Times New Roman" w:hAnsi="Times New Roman" w:eastAsia="宋体" w:cs="Times New Roman"/>
      <w:sz w:val="18"/>
      <w:szCs w:val="18"/>
    </w:rPr>
  </w:style>
  <w:style w:type="character" w:customStyle="1" w:styleId="22">
    <w:name w:val="页脚 字符"/>
    <w:basedOn w:val="12"/>
    <w:link w:val="5"/>
    <w:autoRedefine/>
    <w:qFormat/>
    <w:uiPriority w:val="99"/>
    <w:rPr>
      <w:rFonts w:ascii="Times New Roman" w:hAnsi="Times New Roman" w:eastAsia="宋体" w:cs="Times New Roman"/>
      <w:sz w:val="18"/>
      <w:szCs w:val="18"/>
    </w:rPr>
  </w:style>
  <w:style w:type="character" w:styleId="23">
    <w:name w:val="Placeholder Text"/>
    <w:basedOn w:val="12"/>
    <w:autoRedefine/>
    <w:semiHidden/>
    <w:qFormat/>
    <w:uiPriority w:val="99"/>
    <w:rPr>
      <w:color w:val="808080"/>
    </w:rPr>
  </w:style>
  <w:style w:type="paragraph" w:customStyle="1" w:styleId="24">
    <w:name w:val="样式1"/>
    <w:basedOn w:val="1"/>
    <w:autoRedefine/>
    <w:qFormat/>
    <w:uiPriority w:val="0"/>
  </w:style>
  <w:style w:type="character" w:customStyle="1" w:styleId="25">
    <w:name w:val="font11"/>
    <w:basedOn w:val="1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41916958">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60F420097394E1B8F5C294379C7133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3</Pages>
  <Words>1813</Words>
  <Characters>1903</Characters>
  <Lines>26</Lines>
  <Paragraphs>7</Paragraphs>
  <TotalTime>34</TotalTime>
  <ScaleCrop>false</ScaleCrop>
  <LinksUpToDate>false</LinksUpToDate>
  <CharactersWithSpaces>1923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小女韡Asdet</cp:lastModifiedBy>
  <cp:lastPrinted>2024-08-22T00:23:22Z</cp:lastPrinted>
  <dcterms:modified xsi:type="dcterms:W3CDTF">2024-08-22T00:34:18Z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B6870A9873AE418C8EA40CEC39534993_13</vt:lpwstr>
  </property>
</Properties>
</file>