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DC7DB">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14:paraId="1A55BAA5">
      <w:pPr>
        <w:pStyle w:val="13"/>
        <w:ind w:left="-500" w:leftChars="-238" w:firstLine="420" w:firstLineChars="199"/>
        <w:rPr>
          <w:rFonts w:hint="eastAsia"/>
          <w:color w:val="FF0000"/>
          <w:sz w:val="21"/>
          <w:szCs w:val="21"/>
          <w:lang w:eastAsia="zh-CN"/>
        </w:rPr>
      </w:pPr>
      <w:r>
        <w:rPr>
          <w:rFonts w:hint="eastAsia"/>
          <w:b/>
          <w:bCs/>
          <w:color w:val="FF0000"/>
          <w:sz w:val="21"/>
          <w:szCs w:val="21"/>
        </w:rPr>
        <w:t>★ 部分为核心参数</w:t>
      </w:r>
      <w:r>
        <w:rPr>
          <w:rFonts w:hint="eastAsia"/>
          <w:color w:val="FF0000"/>
          <w:sz w:val="21"/>
          <w:szCs w:val="21"/>
          <w:lang w:eastAsia="zh-CN"/>
        </w:rPr>
        <w:t>：</w:t>
      </w:r>
      <w:r>
        <w:rPr>
          <w:rFonts w:hint="eastAsia"/>
          <w:color w:val="FF0000"/>
          <w:sz w:val="21"/>
          <w:szCs w:val="21"/>
        </w:rPr>
        <w:t>不满足视为无效投标</w:t>
      </w:r>
      <w:r>
        <w:rPr>
          <w:rFonts w:hint="eastAsia"/>
          <w:color w:val="FF0000"/>
          <w:sz w:val="21"/>
          <w:szCs w:val="21"/>
          <w:lang w:eastAsia="zh-CN"/>
        </w:rPr>
        <w:t>；</w:t>
      </w:r>
    </w:p>
    <w:p w14:paraId="1DC2E7AB">
      <w:pPr>
        <w:pStyle w:val="13"/>
        <w:ind w:left="-500" w:leftChars="-238" w:firstLine="420" w:firstLineChars="199"/>
        <w:rPr>
          <w:rFonts w:hint="eastAsia"/>
          <w:color w:val="FF0000"/>
          <w:sz w:val="21"/>
          <w:szCs w:val="21"/>
          <w:lang w:val="en-US" w:eastAsia="zh-CN"/>
        </w:rPr>
      </w:pP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14:paraId="57DC331D">
      <w:pPr>
        <w:pStyle w:val="13"/>
        <w:ind w:left="-500" w:leftChars="-238" w:firstLine="420" w:firstLineChars="199"/>
        <w:rPr>
          <w:rFonts w:hint="default"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14:paraId="359745ED">
      <w:pPr>
        <w:pStyle w:val="13"/>
        <w:ind w:left="-708" w:leftChars="-337"/>
        <w:rPr>
          <w:rFonts w:cs="宋体"/>
          <w:b/>
          <w:bCs/>
          <w:sz w:val="28"/>
          <w:szCs w:val="28"/>
        </w:rPr>
      </w:pPr>
      <w:r>
        <w:rPr>
          <w:rFonts w:hint="eastAsia" w:cs="宋体"/>
          <w:b/>
          <w:bCs/>
          <w:sz w:val="28"/>
          <w:szCs w:val="28"/>
        </w:rPr>
        <w:t>一、采购清单、技术规格参数、质量标准和要求</w:t>
      </w:r>
    </w:p>
    <w:p w14:paraId="4D451272">
      <w:pPr>
        <w:pStyle w:val="13"/>
        <w:ind w:left="-708" w:leftChars="-337"/>
        <w:rPr>
          <w:b/>
          <w:bCs/>
        </w:rPr>
      </w:pPr>
      <w:r>
        <w:rPr>
          <w:rFonts w:hint="eastAsia" w:cs="宋体"/>
          <w:b/>
          <w:bCs/>
        </w:rPr>
        <w:t>（一）</w:t>
      </w:r>
      <w:r>
        <w:rPr>
          <w:rFonts w:hint="eastAsia" w:cs="宋体"/>
          <w:b/>
          <w:bCs/>
          <w:lang w:val="en-US" w:eastAsia="zh-CN"/>
        </w:rPr>
        <w:t>工程量</w:t>
      </w:r>
      <w:r>
        <w:rPr>
          <w:rFonts w:hint="eastAsia" w:cs="宋体"/>
          <w:b/>
          <w:bCs/>
        </w:rPr>
        <w:t>清单</w:t>
      </w:r>
      <w:r>
        <w:rPr>
          <w:b/>
          <w:bCs/>
        </w:rPr>
        <w:t> </w:t>
      </w:r>
    </w:p>
    <w:p w14:paraId="374B1306">
      <w:pPr>
        <w:pStyle w:val="13"/>
        <w:ind w:left="-708" w:leftChars="-337"/>
        <w:rPr>
          <w:rFonts w:hint="default" w:eastAsia="宋体"/>
          <w:b/>
          <w:bCs/>
          <w:lang w:val="en-US" w:eastAsia="zh-CN"/>
        </w:rPr>
      </w:pPr>
      <w:r>
        <w:rPr>
          <w:rFonts w:hint="eastAsia"/>
          <w:b/>
          <w:bCs/>
          <w:lang w:val="en-US" w:eastAsia="zh-CN"/>
        </w:rPr>
        <w:t xml:space="preserve">     </w:t>
      </w:r>
    </w:p>
    <w:p w14:paraId="5088E64A">
      <w:pPr>
        <w:pStyle w:val="13"/>
        <w:ind w:left="-708" w:leftChars="-337" w:firstLine="482" w:firstLineChars="200"/>
        <w:rPr>
          <w:rFonts w:hint="default" w:eastAsia="宋体"/>
          <w:b/>
          <w:bCs/>
          <w:lang w:val="en-US" w:eastAsia="zh-CN"/>
        </w:rPr>
      </w:pPr>
      <w:r>
        <w:rPr>
          <w:rFonts w:hint="eastAsia"/>
          <w:b/>
          <w:bCs/>
          <w:lang w:val="en-US" w:eastAsia="zh-CN"/>
        </w:rPr>
        <w:t>另见附件，</w:t>
      </w:r>
      <w:r>
        <w:rPr>
          <w:rFonts w:hint="eastAsia" w:ascii="Times New Roman" w:hAnsi="Times New Roman" w:eastAsia="宋体" w:cs="Times New Roman"/>
          <w:b/>
          <w:bCs/>
          <w:lang w:val="en-US" w:eastAsia="zh-CN"/>
        </w:rPr>
        <w:t>最终按实际工程量进行结算。</w:t>
      </w:r>
    </w:p>
    <w:p w14:paraId="4B4F5559">
      <w:pPr>
        <w:widowControl/>
        <w:numPr>
          <w:ilvl w:val="0"/>
          <w:numId w:val="2"/>
        </w:numPr>
        <w:spacing w:line="360" w:lineRule="auto"/>
        <w:ind w:left="-708" w:leftChars="-337"/>
        <w:jc w:val="left"/>
        <w:rPr>
          <w:rFonts w:hint="default"/>
          <w:lang w:val="en-US" w:eastAsia="zh-CN"/>
        </w:rPr>
      </w:pPr>
      <w:r>
        <w:rPr>
          <w:rFonts w:hint="eastAsia" w:cs="宋体"/>
          <w:b/>
          <w:bCs/>
          <w:kern w:val="0"/>
          <w:sz w:val="24"/>
          <w:szCs w:val="24"/>
        </w:rPr>
        <w:t>技术规格参数</w:t>
      </w:r>
    </w:p>
    <w:p w14:paraId="4DE179E3">
      <w:pPr>
        <w:pStyle w:val="13"/>
        <w:ind w:left="-708" w:leftChars="-337"/>
        <w:rPr>
          <w:rFonts w:hint="default"/>
          <w:lang w:val="en-US" w:eastAsia="zh-CN"/>
        </w:rPr>
      </w:pPr>
      <w:r>
        <w:rPr>
          <w:rFonts w:hint="eastAsia"/>
          <w:lang w:val="en-US" w:eastAsia="zh-CN"/>
        </w:rPr>
        <w:t xml:space="preserve">     </w:t>
      </w:r>
      <w:r>
        <w:rPr>
          <w:rFonts w:hint="eastAsia"/>
          <w:b/>
          <w:bCs/>
          <w:color w:val="0000FF"/>
          <w:sz w:val="18"/>
          <w:szCs w:val="18"/>
          <w:lang w:val="en-US" w:eastAsia="zh-CN"/>
        </w:rPr>
        <w:t>见项目清单。</w:t>
      </w:r>
    </w:p>
    <w:p w14:paraId="285D25BC">
      <w:pPr>
        <w:widowControl/>
        <w:numPr>
          <w:ilvl w:val="0"/>
          <w:numId w:val="2"/>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14:paraId="369FF4AB">
      <w:pPr>
        <w:pStyle w:val="13"/>
        <w:ind w:left="-708" w:leftChars="-337"/>
        <w:rPr>
          <w:rFonts w:hint="eastAsia" w:ascii="Times New Roman" w:hAnsi="Times New Roman" w:cs="宋体"/>
        </w:rPr>
      </w:pPr>
      <w:r>
        <w:rPr>
          <w:rFonts w:hint="eastAsia" w:ascii="Times New Roman" w:hAnsi="Times New Roman" w:cs="宋体"/>
        </w:rPr>
        <w:t>以</w:t>
      </w:r>
      <w:r>
        <w:rPr>
          <w:rFonts w:hint="eastAsia" w:cs="宋体"/>
          <w:lang w:val="en-US" w:eastAsia="zh-CN"/>
        </w:rPr>
        <w:t>工程量清单、</w:t>
      </w:r>
      <w:r>
        <w:rPr>
          <w:rFonts w:hint="eastAsia" w:ascii="Times New Roman" w:hAnsi="Times New Roman" w:cs="宋体"/>
        </w:rPr>
        <w:t>国家颁发的施工验收规范和质量检验标准为</w:t>
      </w:r>
      <w:r>
        <w:rPr>
          <w:rFonts w:hint="eastAsia" w:cs="宋体"/>
          <w:lang w:val="en-US" w:eastAsia="zh-CN"/>
        </w:rPr>
        <w:t>验收</w:t>
      </w:r>
      <w:r>
        <w:rPr>
          <w:rFonts w:hint="eastAsia" w:ascii="Times New Roman" w:hAnsi="Times New Roman" w:cs="宋体"/>
        </w:rPr>
        <w:t>依据</w:t>
      </w:r>
    </w:p>
    <w:p w14:paraId="3029E558">
      <w:pPr>
        <w:pStyle w:val="13"/>
        <w:ind w:left="-708" w:leftChars="-337"/>
        <w:rPr>
          <w:rFonts w:hint="default"/>
          <w:b/>
          <w:bCs/>
          <w:kern w:val="0"/>
          <w:sz w:val="24"/>
          <w:szCs w:val="24"/>
          <w:u w:val="single"/>
          <w:lang w:val="en-US" w:eastAsia="zh-CN"/>
        </w:rPr>
      </w:pPr>
      <w:r>
        <w:rPr>
          <w:rFonts w:hint="eastAsia"/>
          <w:kern w:val="0"/>
          <w:sz w:val="24"/>
          <w:szCs w:val="24"/>
          <w:lang w:val="en-US" w:eastAsia="zh-CN"/>
        </w:rPr>
        <w:t>施工工期：</w:t>
      </w:r>
      <w:r>
        <w:rPr>
          <w:rFonts w:hint="eastAsia"/>
          <w:color w:val="FF0000"/>
          <w:kern w:val="0"/>
          <w:sz w:val="24"/>
          <w:szCs w:val="24"/>
          <w:u w:val="single"/>
          <w:lang w:val="en-US" w:eastAsia="zh-CN"/>
        </w:rPr>
        <w:t>20</w:t>
      </w:r>
      <w:r>
        <w:rPr>
          <w:rFonts w:hint="eastAsia"/>
          <w:color w:val="FF0000"/>
          <w:kern w:val="0"/>
          <w:sz w:val="24"/>
          <w:szCs w:val="24"/>
          <w:lang w:val="en-US" w:eastAsia="zh-CN"/>
        </w:rPr>
        <w:t>日</w:t>
      </w:r>
      <w:r>
        <w:rPr>
          <w:rFonts w:hint="eastAsia"/>
          <w:kern w:val="0"/>
          <w:sz w:val="24"/>
          <w:szCs w:val="24"/>
          <w:lang w:val="en-US" w:eastAsia="zh-CN"/>
        </w:rPr>
        <w:t>历天，违约责任：乙方未按合同规定的时间竣工，每逾期一天，按合同总价的</w:t>
      </w:r>
      <w:r>
        <w:rPr>
          <w:rFonts w:hint="eastAsia"/>
          <w:kern w:val="0"/>
          <w:sz w:val="24"/>
          <w:szCs w:val="24"/>
          <w:u w:val="single"/>
          <w:lang w:val="en-US" w:eastAsia="zh-CN"/>
        </w:rPr>
        <w:t>1%/</w:t>
      </w:r>
      <w:r>
        <w:rPr>
          <w:rFonts w:hint="eastAsia"/>
          <w:kern w:val="0"/>
          <w:sz w:val="24"/>
          <w:szCs w:val="24"/>
          <w:lang w:val="en-US" w:eastAsia="zh-CN"/>
        </w:rPr>
        <w:t>天计算违约金，不可抗力事件发生或甲方原因影响除外。如无不可抗力事件发生或甲方原因影响的发生，乙方无故拖延工程期限，甲方可随时终止合同，支付已完成工程量的</w:t>
      </w:r>
      <w:r>
        <w:rPr>
          <w:rFonts w:hint="eastAsia"/>
          <w:kern w:val="0"/>
          <w:sz w:val="24"/>
          <w:szCs w:val="24"/>
          <w:u w:val="single"/>
          <w:lang w:val="en-US" w:eastAsia="zh-CN"/>
        </w:rPr>
        <w:t>80%</w:t>
      </w:r>
      <w:r>
        <w:rPr>
          <w:rFonts w:hint="eastAsia"/>
          <w:kern w:val="0"/>
          <w:sz w:val="24"/>
          <w:szCs w:val="24"/>
          <w:lang w:val="en-US" w:eastAsia="zh-CN"/>
        </w:rPr>
        <w:t xml:space="preserve">工程款给乙方。 </w:t>
      </w:r>
    </w:p>
    <w:p w14:paraId="0BF4F2DB">
      <w:pPr>
        <w:pStyle w:val="13"/>
        <w:ind w:left="-708" w:leftChars="-337"/>
        <w:rPr>
          <w:rFonts w:hint="eastAsia" w:cs="宋体"/>
          <w:b/>
          <w:bCs/>
        </w:rPr>
      </w:pPr>
      <w:r>
        <w:rPr>
          <w:rFonts w:hint="eastAsia" w:cs="宋体"/>
          <w:b/>
          <w:bCs/>
        </w:rPr>
        <w:t>（四）商务要求</w:t>
      </w:r>
    </w:p>
    <w:p w14:paraId="3295F063">
      <w:pPr>
        <w:pStyle w:val="13"/>
        <w:ind w:left="-708" w:leftChars="-337"/>
        <w:rPr>
          <w:rFonts w:hint="default" w:eastAsia="宋体" w:cs="宋体"/>
          <w:b w:val="0"/>
          <w:bCs w:val="0"/>
          <w:lang w:val="en-US" w:eastAsia="zh-CN"/>
        </w:rPr>
      </w:pPr>
      <w:r>
        <w:rPr>
          <w:rFonts w:hint="eastAsia" w:cs="宋体"/>
          <w:b/>
          <w:bCs/>
          <w:lang w:val="en-US" w:eastAsia="zh-CN"/>
        </w:rPr>
        <w:t>1、投标人资格要求</w:t>
      </w:r>
    </w:p>
    <w:p w14:paraId="16F747E8">
      <w:pPr>
        <w:pStyle w:val="13"/>
        <w:ind w:left="-708" w:leftChars="-337"/>
        <w:rPr>
          <w:rFonts w:cs="宋体"/>
        </w:rPr>
      </w:pPr>
      <w:r>
        <w:rPr>
          <w:rFonts w:hint="eastAsia" w:cs="宋体"/>
        </w:rPr>
        <w:t>1</w:t>
      </w:r>
      <w:r>
        <w:rPr>
          <w:rFonts w:hint="eastAsia" w:cs="宋体"/>
          <w:lang w:eastAsia="zh-CN"/>
        </w:rPr>
        <w:t>）</w:t>
      </w:r>
      <w:r>
        <w:rPr>
          <w:rFonts w:hint="eastAsia" w:cs="宋体"/>
        </w:rPr>
        <w:t>投标人为独立法人，并具备统一社会信用代码。</w:t>
      </w:r>
    </w:p>
    <w:p w14:paraId="4458CFF3">
      <w:pPr>
        <w:pStyle w:val="13"/>
        <w:ind w:left="-708" w:leftChars="-337"/>
        <w:rPr>
          <w:rFonts w:cs="宋体"/>
        </w:rPr>
      </w:pPr>
      <w:r>
        <w:rPr>
          <w:rFonts w:hint="eastAsia" w:cs="宋体"/>
        </w:rPr>
        <w:t>2</w:t>
      </w:r>
      <w:r>
        <w:rPr>
          <w:rFonts w:hint="eastAsia" w:cs="宋体"/>
          <w:lang w:eastAsia="zh-CN"/>
        </w:rPr>
        <w:t>）</w:t>
      </w:r>
      <w:r>
        <w:rPr>
          <w:rFonts w:hint="eastAsia" w:cs="宋体"/>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14:paraId="308B6C2C">
      <w:pPr>
        <w:pStyle w:val="13"/>
        <w:ind w:left="-708" w:leftChars="-337"/>
        <w:rPr>
          <w:rFonts w:hint="eastAsia" w:cs="宋体"/>
        </w:rPr>
      </w:pPr>
      <w:r>
        <w:rPr>
          <w:rFonts w:hint="eastAsia" w:cs="宋体"/>
        </w:rPr>
        <w:t>3</w:t>
      </w:r>
      <w:r>
        <w:rPr>
          <w:rFonts w:hint="eastAsia" w:cs="宋体"/>
          <w:lang w:eastAsia="zh-CN"/>
        </w:rPr>
        <w:t>）</w:t>
      </w:r>
      <w:r>
        <w:rPr>
          <w:rFonts w:hint="eastAsia" w:cs="宋体"/>
        </w:rPr>
        <w:t>被列入我院投标人黑名单（在我院招投标活动中存在2次违规行为）未满3年的投标人将被拒绝其参与本次招投标活动。</w:t>
      </w:r>
    </w:p>
    <w:p w14:paraId="56A01336">
      <w:pPr>
        <w:pStyle w:val="13"/>
        <w:ind w:left="-708" w:leftChars="-337"/>
        <w:rPr>
          <w:rFonts w:hint="eastAsia" w:cs="宋体"/>
          <w:color w:val="auto"/>
        </w:rPr>
      </w:pPr>
      <w:r>
        <w:rPr>
          <w:rFonts w:hint="eastAsia" w:cs="宋体"/>
          <w:lang w:val="en-US" w:eastAsia="zh-CN"/>
        </w:rPr>
        <w:t>4）</w:t>
      </w:r>
      <w:r>
        <w:rPr>
          <w:rFonts w:hint="eastAsia" w:cs="宋体"/>
          <w:color w:val="auto"/>
        </w:rPr>
        <w:t>本项目不接收联合体投标。</w:t>
      </w:r>
    </w:p>
    <w:p w14:paraId="2EA308EB">
      <w:pPr>
        <w:pStyle w:val="13"/>
        <w:ind w:left="-708" w:leftChars="-337"/>
        <w:rPr>
          <w:rFonts w:hint="eastAsia" w:ascii="Times New Roman" w:hAnsi="Times New Roman" w:eastAsia="宋体" w:cs="宋体"/>
          <w:lang w:val="en-US" w:eastAsia="zh-CN"/>
        </w:rPr>
      </w:pPr>
      <w:r>
        <w:rPr>
          <w:rFonts w:hint="eastAsia" w:cs="宋体"/>
          <w:color w:val="auto"/>
          <w:lang w:val="en-US" w:eastAsia="zh-CN"/>
        </w:rPr>
        <w:t>5）必须具备建筑工程施工总承包叁级（含）以上资质，且具备有效的安全生产许可证，拟投入的项目经理必须具备建筑工程专业二级（含）以上注册建造师执业资格</w:t>
      </w:r>
      <w:r>
        <w:rPr>
          <w:rFonts w:hint="eastAsia" w:cs="宋体"/>
          <w:lang w:val="en-US" w:eastAsia="zh-CN"/>
        </w:rPr>
        <w:t>。</w:t>
      </w:r>
    </w:p>
    <w:p w14:paraId="39E34F5F">
      <w:pPr>
        <w:pStyle w:val="13"/>
        <w:ind w:left="-708" w:leftChars="-337"/>
        <w:rPr>
          <w:rFonts w:hint="eastAsia" w:ascii="Times New Roman" w:hAnsi="Times New Roman" w:eastAsia="宋体" w:cs="宋体"/>
          <w:lang w:val="en-US" w:eastAsia="zh-CN"/>
        </w:rPr>
      </w:pPr>
      <w:r>
        <w:rPr>
          <w:rFonts w:hint="eastAsia" w:cs="宋体"/>
          <w:lang w:val="en-US" w:eastAsia="zh-CN"/>
        </w:rPr>
        <w:t>6）</w:t>
      </w:r>
      <w:r>
        <w:rPr>
          <w:rFonts w:hint="eastAsia" w:ascii="Times New Roman" w:hAnsi="Times New Roman" w:eastAsia="宋体" w:cs="宋体"/>
          <w:color w:val="auto"/>
        </w:rPr>
        <w:t>有固定的经营场所，具备相关项目的供货能力和售后服务能力，具有良好的商业信誉和财务状况</w:t>
      </w:r>
      <w:r>
        <w:rPr>
          <w:rFonts w:hint="eastAsia" w:ascii="Times New Roman" w:hAnsi="Times New Roman" w:eastAsia="宋体" w:cs="宋体"/>
          <w:color w:val="auto"/>
          <w:lang w:eastAsia="zh-CN"/>
        </w:rPr>
        <w:t>。</w:t>
      </w:r>
    </w:p>
    <w:p w14:paraId="54FF3705">
      <w:pPr>
        <w:pStyle w:val="13"/>
        <w:ind w:left="-708" w:leftChars="-337"/>
        <w:rPr>
          <w:rFonts w:hint="eastAsia"/>
        </w:rPr>
      </w:pPr>
      <w:r>
        <w:rPr>
          <w:rFonts w:hint="eastAsia"/>
          <w:b/>
          <w:bCs/>
          <w:lang w:val="en-US" w:eastAsia="zh-CN"/>
        </w:rPr>
        <w:t>2</w:t>
      </w:r>
      <w:r>
        <w:rPr>
          <w:rFonts w:hint="eastAsia"/>
          <w:b/>
          <w:bCs/>
        </w:rPr>
        <w:t>、售后服务和</w:t>
      </w:r>
      <w:r>
        <w:rPr>
          <w:rFonts w:hint="eastAsia"/>
          <w:b/>
          <w:bCs/>
          <w:lang w:val="en-US" w:eastAsia="zh-CN"/>
        </w:rPr>
        <w:t>资质</w:t>
      </w:r>
    </w:p>
    <w:p w14:paraId="3875A311">
      <w:pPr>
        <w:pStyle w:val="13"/>
        <w:ind w:left="-708" w:leftChars="-337"/>
        <w:rPr>
          <w:rFonts w:hint="eastAsia"/>
        </w:rPr>
      </w:pPr>
      <w:r>
        <w:rPr>
          <w:rFonts w:hint="eastAsia"/>
          <w:lang w:val="en-US" w:eastAsia="zh-CN"/>
        </w:rPr>
        <w:t>1）</w:t>
      </w:r>
      <w:r>
        <w:rPr>
          <w:rFonts w:hint="eastAsia"/>
        </w:rPr>
        <w:t>质保期：通过验收之日起</w:t>
      </w:r>
      <w:r>
        <w:rPr>
          <w:rFonts w:hint="eastAsia"/>
          <w:highlight w:val="yellow"/>
        </w:rPr>
        <w:t>1</w:t>
      </w:r>
      <w:r>
        <w:rPr>
          <w:rFonts w:hint="eastAsia"/>
        </w:rPr>
        <w:t>年。</w:t>
      </w:r>
    </w:p>
    <w:p w14:paraId="224D5BC4">
      <w:pPr>
        <w:pStyle w:val="13"/>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地点为：</w:t>
      </w:r>
      <w:r>
        <w:rPr>
          <w:rFonts w:hint="eastAsia" w:cs="宋体"/>
          <w:kern w:val="0"/>
          <w:sz w:val="24"/>
          <w:szCs w:val="24"/>
          <w:highlight w:val="yellow"/>
        </w:rPr>
        <w:t>广西壮族自治区梧州市万秀区</w:t>
      </w:r>
      <w:r>
        <w:rPr>
          <w:rFonts w:hint="eastAsia" w:cs="宋体"/>
          <w:kern w:val="0"/>
          <w:sz w:val="24"/>
          <w:szCs w:val="24"/>
          <w:highlight w:val="yellow"/>
          <w:lang w:val="en-US" w:eastAsia="zh-CN"/>
        </w:rPr>
        <w:t>西江四路金鸡冲1号</w:t>
      </w:r>
      <w:r>
        <w:rPr>
          <w:kern w:val="0"/>
          <w:sz w:val="24"/>
          <w:szCs w:val="24"/>
        </w:rPr>
        <w:t xml:space="preserve">    </w:t>
      </w:r>
    </w:p>
    <w:p w14:paraId="040DE6A6">
      <w:pPr>
        <w:pStyle w:val="13"/>
        <w:ind w:left="-708" w:leftChars="-337"/>
        <w:rPr>
          <w:rFonts w:hint="eastAsia"/>
          <w:kern w:val="0"/>
          <w:sz w:val="24"/>
          <w:szCs w:val="24"/>
          <w:lang w:val="en-US" w:eastAsia="zh-CN"/>
        </w:rPr>
      </w:pPr>
      <w:r>
        <w:rPr>
          <w:rFonts w:hint="eastAsia"/>
          <w:kern w:val="0"/>
          <w:sz w:val="24"/>
          <w:szCs w:val="24"/>
          <w:lang w:val="en-US" w:eastAsia="zh-CN"/>
        </w:rPr>
        <w:t>3）付款条件（进度和方式）：</w:t>
      </w:r>
    </w:p>
    <w:p w14:paraId="6651FF50">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经验收合格后，</w:t>
      </w:r>
      <w:r>
        <w:rPr>
          <w:rFonts w:hint="eastAsia" w:cs="宋体"/>
          <w:kern w:val="0"/>
          <w:sz w:val="24"/>
          <w:szCs w:val="24"/>
          <w:lang w:val="en-US" w:eastAsia="zh-CN"/>
        </w:rPr>
        <w:t>三十个工作日</w:t>
      </w:r>
      <w:r>
        <w:rPr>
          <w:rFonts w:hint="eastAsia" w:cs="宋体"/>
          <w:kern w:val="0"/>
          <w:sz w:val="24"/>
          <w:szCs w:val="24"/>
        </w:rPr>
        <w:t>付合同款的 </w:t>
      </w:r>
      <w:r>
        <w:rPr>
          <w:rFonts w:hint="eastAsia" w:cs="宋体"/>
          <w:kern w:val="0"/>
          <w:sz w:val="24"/>
          <w:szCs w:val="24"/>
          <w:highlight w:val="yellow"/>
          <w:lang w:val="en-US" w:eastAsia="zh-CN"/>
        </w:rPr>
        <w:t>95</w:t>
      </w:r>
      <w:r>
        <w:rPr>
          <w:rFonts w:hint="eastAsia" w:cs="宋体"/>
          <w:kern w:val="0"/>
          <w:sz w:val="24"/>
          <w:szCs w:val="24"/>
          <w:highlight w:val="yellow"/>
        </w:rPr>
        <w:t>%</w:t>
      </w:r>
      <w:r>
        <w:rPr>
          <w:rFonts w:hint="eastAsia" w:cs="宋体"/>
          <w:kern w:val="0"/>
          <w:sz w:val="24"/>
          <w:szCs w:val="24"/>
        </w:rPr>
        <w:t xml:space="preserve"> ，其</w:t>
      </w:r>
      <w:r>
        <w:rPr>
          <w:rFonts w:hint="eastAsia" w:ascii="宋体" w:hAnsi="宋体" w:eastAsia="宋体" w:cs="宋体"/>
          <w:b/>
          <w:bCs/>
          <w:color w:val="auto"/>
          <w:sz w:val="24"/>
          <w:szCs w:val="24"/>
          <w:u w:val="single"/>
        </w:rPr>
        <w:t>余</w:t>
      </w:r>
      <w:r>
        <w:rPr>
          <w:rFonts w:hint="eastAsia" w:ascii="宋体" w:hAnsi="宋体" w:cs="宋体"/>
          <w:b/>
          <w:bCs/>
          <w:color w:val="auto"/>
          <w:sz w:val="24"/>
          <w:szCs w:val="24"/>
          <w:u w:val="single"/>
          <w:lang w:val="en-US" w:eastAsia="zh-CN"/>
        </w:rPr>
        <w:t>5</w:t>
      </w:r>
      <w:r>
        <w:rPr>
          <w:rFonts w:hint="eastAsia" w:ascii="宋体" w:hAnsi="宋体" w:eastAsia="宋体" w:cs="宋体"/>
          <w:b/>
          <w:bCs/>
          <w:color w:val="auto"/>
          <w:sz w:val="24"/>
          <w:szCs w:val="24"/>
          <w:u w:val="single"/>
        </w:rPr>
        <w:t>% ，</w:t>
      </w:r>
      <w:r>
        <w:rPr>
          <w:rFonts w:hint="eastAsia" w:cs="宋体"/>
          <w:kern w:val="0"/>
          <w:sz w:val="24"/>
          <w:szCs w:val="24"/>
          <w:highlight w:val="yellow"/>
        </w:rPr>
        <w:t xml:space="preserve"> </w:t>
      </w:r>
      <w:r>
        <w:rPr>
          <w:rFonts w:hint="eastAsia" w:cs="宋体"/>
          <w:kern w:val="0"/>
          <w:sz w:val="24"/>
          <w:szCs w:val="24"/>
          <w:highlight w:val="yellow"/>
          <w:lang w:val="en-US" w:eastAsia="zh-CN"/>
        </w:rPr>
        <w:t>壹</w:t>
      </w:r>
      <w:r>
        <w:rPr>
          <w:rFonts w:hint="eastAsia" w:cs="宋体"/>
          <w:kern w:val="0"/>
          <w:sz w:val="24"/>
          <w:szCs w:val="24"/>
        </w:rPr>
        <w:t>年（根据项目特点定）内无质量问题后付清。如验收不合格以及发现伪劣产品等，招标人将视情形采取退货、拒付款、终止合同、索赔等措施，直至通过有关部门，依法维权。</w:t>
      </w:r>
    </w:p>
    <w:p w14:paraId="087B488A">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14:paraId="50948EBA">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25</w:t>
          </w:r>
        </w:sdtContent>
      </w:sdt>
      <w:bookmarkStart w:id="0" w:name="_GoBack"/>
      <w:bookmarkEnd w:id="0"/>
      <w:r>
        <w:rPr>
          <w:rFonts w:hint="eastAsia" w:cs="宋体"/>
          <w:kern w:val="0"/>
          <w:sz w:val="24"/>
          <w:szCs w:val="24"/>
          <w:lang w:val="en-US" w:eastAsia="zh-CN"/>
        </w:rPr>
        <w:t>日</w:t>
      </w:r>
      <w:r>
        <w:rPr>
          <w:rFonts w:hint="eastAsia" w:cs="宋体"/>
          <w:kern w:val="0"/>
          <w:sz w:val="24"/>
          <w:szCs w:val="24"/>
        </w:rPr>
        <w:t>内签订采购合同。</w:t>
      </w:r>
    </w:p>
    <w:p w14:paraId="18F19C1E">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14:paraId="37C60C16">
      <w:pPr>
        <w:pStyle w:val="13"/>
      </w:pPr>
    </w:p>
    <w:p w14:paraId="1F25ABA2">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14:paraId="5278E025">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14:paraId="79845513">
      <w:pPr>
        <w:widowControl/>
        <w:ind w:firstLine="1907" w:firstLineChars="500"/>
        <w:jc w:val="both"/>
        <w:rPr>
          <w:rFonts w:hint="eastAsia" w:cs="宋体"/>
          <w:b/>
          <w:bCs/>
          <w:kern w:val="0"/>
          <w:sz w:val="38"/>
          <w:szCs w:val="38"/>
        </w:rPr>
      </w:pPr>
    </w:p>
    <w:p w14:paraId="3796E091">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14:paraId="72865B93">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14:paraId="596F64E9">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最低评标价法</w:t>
      </w:r>
      <w:r>
        <w:rPr>
          <w:rFonts w:hint="eastAsia" w:cs="宋体"/>
          <w:kern w:val="0"/>
          <w:sz w:val="24"/>
          <w:szCs w:val="24"/>
        </w:rPr>
        <w:t>确定中标候选人。</w:t>
      </w:r>
    </w:p>
    <w:p w14:paraId="2FC57C21">
      <w:pPr>
        <w:pStyle w:val="13"/>
        <w:rPr>
          <w:rFonts w:hint="eastAsia" w:cs="宋体"/>
          <w:b/>
          <w:bCs/>
          <w:kern w:val="0"/>
          <w:sz w:val="24"/>
          <w:szCs w:val="24"/>
        </w:rPr>
      </w:pPr>
    </w:p>
    <w:sectPr>
      <w:footerReference r:id="rId3" w:type="default"/>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E049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BFF73">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BFF73">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70B654D3"/>
    <w:multiLevelType w:val="multilevel"/>
    <w:tmpl w:val="70B654D3"/>
    <w:lvl w:ilvl="0" w:tentative="0">
      <w:start w:val="1"/>
      <w:numFmt w:val="chineseCountingThousand"/>
      <w:suff w:val="nothing"/>
      <w:lvlText w:val="%1、"/>
      <w:lvlJc w:val="left"/>
      <w:pPr>
        <w:ind w:left="0" w:firstLine="0"/>
      </w:pPr>
      <w:rPr>
        <w:rFonts w:hint="eastAsia" w:ascii="宋体" w:hAnsi="宋体" w:eastAsia="宋体"/>
        <w:b/>
        <w:i w:val="0"/>
        <w:sz w:val="32"/>
      </w:rPr>
    </w:lvl>
    <w:lvl w:ilvl="1" w:tentative="0">
      <w:start w:val="1"/>
      <w:numFmt w:val="decimal"/>
      <w:lvlRestart w:val="0"/>
      <w:pStyle w:val="25"/>
      <w:suff w:val="space"/>
      <w:lvlText w:val="%2、"/>
      <w:lvlJc w:val="left"/>
      <w:pPr>
        <w:ind w:left="0" w:firstLine="284"/>
      </w:pPr>
      <w:rPr>
        <w:rFonts w:hint="eastAsia" w:ascii="宋体" w:hAnsi="宋体" w:eastAsia="宋体"/>
        <w:b/>
        <w:i w:val="0"/>
        <w:sz w:val="24"/>
      </w:rPr>
    </w:lvl>
    <w:lvl w:ilvl="2" w:tentative="0">
      <w:start w:val="1"/>
      <w:numFmt w:val="decimal"/>
      <w:isLgl/>
      <w:suff w:val="space"/>
      <w:lvlText w:val="%2.%3"/>
      <w:lvlJc w:val="left"/>
      <w:pPr>
        <w:ind w:left="0" w:firstLine="482"/>
      </w:pPr>
      <w:rPr>
        <w:rFonts w:hint="eastAsia" w:ascii="宋体" w:hAnsi="宋体" w:eastAsia="宋体" w:cs="Times New Roman"/>
        <w:b w:val="0"/>
        <w:bCs w:val="0"/>
        <w:i w:val="0"/>
        <w:iCs w:val="0"/>
        <w:caps w:val="0"/>
        <w:smallCaps w:val="0"/>
        <w:strike w:val="0"/>
        <w:dstrike w:val="0"/>
        <w:vanish w:val="0"/>
        <w:spacing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Restart w:val="2"/>
      <w:suff w:val="space"/>
      <w:lvlText w:val="▲%2.%4"/>
      <w:lvlJc w:val="left"/>
      <w:pPr>
        <w:ind w:left="0" w:firstLine="284"/>
      </w:pPr>
      <w:rPr>
        <w:rFonts w:hint="eastAsia" w:ascii="宋体" w:hAnsi="宋体" w:eastAsia="宋体"/>
        <w:b w:val="0"/>
        <w:i w:val="0"/>
        <w:sz w:val="24"/>
      </w:rPr>
    </w:lvl>
    <w:lvl w:ilvl="4" w:tentative="0">
      <w:start w:val="1"/>
      <w:numFmt w:val="decimal"/>
      <w:lvlRestart w:val="3"/>
      <w:isLgl/>
      <w:suff w:val="space"/>
      <w:lvlText w:val="(%5)"/>
      <w:lvlJc w:val="left"/>
      <w:pPr>
        <w:ind w:left="0" w:firstLine="624"/>
      </w:pPr>
      <w:rPr>
        <w:rFonts w:hint="eastAsia" w:ascii="宋体" w:hAnsi="宋体" w:eastAsia="宋体"/>
        <w:b w:val="0"/>
        <w:i w:val="0"/>
        <w:sz w:val="21"/>
      </w:rPr>
    </w:lvl>
    <w:lvl w:ilvl="5" w:tentative="0">
      <w:start w:val="1"/>
      <w:numFmt w:val="upperLetter"/>
      <w:lvlRestart w:val="4"/>
      <w:suff w:val="space"/>
      <w:lvlText w:val="(%6)"/>
      <w:lvlJc w:val="left"/>
      <w:pPr>
        <w:ind w:left="0" w:firstLine="1021"/>
      </w:pPr>
      <w:rPr>
        <w:rFonts w:hint="eastAsia" w:ascii="宋体" w:hAnsi="宋体" w:eastAsia="仿宋"/>
        <w:b w:val="0"/>
        <w:i w:val="0"/>
        <w:sz w:val="24"/>
      </w:rPr>
    </w:lvl>
    <w:lvl w:ilvl="6" w:tentative="0">
      <w:start w:val="1"/>
      <w:numFmt w:val="decimal"/>
      <w:lvlRestart w:val="4"/>
      <w:suff w:val="space"/>
      <w:lvlText w:val="%2.%3.%7"/>
      <w:lvlJc w:val="left"/>
      <w:pPr>
        <w:ind w:left="0" w:firstLine="624"/>
      </w:pPr>
      <w:rPr>
        <w:rFonts w:hint="eastAsia" w:ascii="宋体" w:hAnsi="宋体" w:eastAsia="宋体"/>
        <w:sz w:val="21"/>
      </w:rPr>
    </w:lvl>
    <w:lvl w:ilvl="7" w:tentative="0">
      <w:start w:val="1"/>
      <w:numFmt w:val="decimal"/>
      <w:suff w:val="space"/>
      <w:lvlText w:val="（%8）"/>
      <w:lvlJc w:val="left"/>
      <w:pPr>
        <w:ind w:left="0" w:firstLine="624"/>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YzI3N2Y4M2JkMGNjNTE4ODUzZjk0NzVmYTViYzk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5305A"/>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E10F7A"/>
    <w:rsid w:val="058600FE"/>
    <w:rsid w:val="08C923EE"/>
    <w:rsid w:val="0C8B0CD1"/>
    <w:rsid w:val="0C8B6EFD"/>
    <w:rsid w:val="0CC05EEA"/>
    <w:rsid w:val="100A091F"/>
    <w:rsid w:val="10C97A40"/>
    <w:rsid w:val="122B15C9"/>
    <w:rsid w:val="1AA8659F"/>
    <w:rsid w:val="1F0C2535"/>
    <w:rsid w:val="218E20AB"/>
    <w:rsid w:val="2218153E"/>
    <w:rsid w:val="237B0BDB"/>
    <w:rsid w:val="238241FC"/>
    <w:rsid w:val="25D6720D"/>
    <w:rsid w:val="260D7B7B"/>
    <w:rsid w:val="26431704"/>
    <w:rsid w:val="27C23004"/>
    <w:rsid w:val="2AAC5984"/>
    <w:rsid w:val="2B843B99"/>
    <w:rsid w:val="2BB84635"/>
    <w:rsid w:val="2C7D5EC4"/>
    <w:rsid w:val="2E44559E"/>
    <w:rsid w:val="2E9767C9"/>
    <w:rsid w:val="309F548B"/>
    <w:rsid w:val="3194337D"/>
    <w:rsid w:val="319F761B"/>
    <w:rsid w:val="3737378F"/>
    <w:rsid w:val="3806606D"/>
    <w:rsid w:val="397701BE"/>
    <w:rsid w:val="3F0F056E"/>
    <w:rsid w:val="3F8769CB"/>
    <w:rsid w:val="4033445D"/>
    <w:rsid w:val="41366ED0"/>
    <w:rsid w:val="43763175"/>
    <w:rsid w:val="49382118"/>
    <w:rsid w:val="4BE07188"/>
    <w:rsid w:val="52730525"/>
    <w:rsid w:val="529812BF"/>
    <w:rsid w:val="538A03E0"/>
    <w:rsid w:val="5DA913C5"/>
    <w:rsid w:val="60BF594D"/>
    <w:rsid w:val="63107508"/>
    <w:rsid w:val="632D110E"/>
    <w:rsid w:val="635179ED"/>
    <w:rsid w:val="66C7779A"/>
    <w:rsid w:val="678071CC"/>
    <w:rsid w:val="693D30FD"/>
    <w:rsid w:val="6A513DD5"/>
    <w:rsid w:val="6DD0797D"/>
    <w:rsid w:val="6EE94A61"/>
    <w:rsid w:val="70886912"/>
    <w:rsid w:val="71754026"/>
    <w:rsid w:val="736A30C9"/>
    <w:rsid w:val="74B5471E"/>
    <w:rsid w:val="753B4908"/>
    <w:rsid w:val="77E41C8F"/>
    <w:rsid w:val="77E80D46"/>
    <w:rsid w:val="78B62CD2"/>
    <w:rsid w:val="7B666A8C"/>
    <w:rsid w:val="7BE82B3B"/>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99"/>
    <w:pPr>
      <w:jc w:val="left"/>
    </w:pPr>
  </w:style>
  <w:style w:type="paragraph" w:styleId="3">
    <w:name w:val="Body Text"/>
    <w:basedOn w:val="1"/>
    <w:next w:val="4"/>
    <w:autoRedefine/>
    <w:qFormat/>
    <w:uiPriority w:val="0"/>
    <w:rPr>
      <w:rFonts w:ascii="Calibri" w:eastAsia="Calibri"/>
      <w:b/>
      <w:spacing w:val="-8"/>
      <w:sz w:val="44"/>
    </w:rPr>
  </w:style>
  <w:style w:type="paragraph" w:styleId="4">
    <w:name w:val="Date"/>
    <w:basedOn w:val="1"/>
    <w:next w:val="1"/>
    <w:autoRedefine/>
    <w:qFormat/>
    <w:uiPriority w:val="0"/>
    <w:pPr>
      <w:ind w:left="100" w:leftChars="2500"/>
    </w:pPr>
    <w:rPr>
      <w:rFonts w:ascii="宋体" w:hAnsi="Courier New"/>
      <w:bCs/>
      <w:kern w:val="0"/>
      <w:sz w:val="24"/>
      <w:szCs w:val="20"/>
    </w:rPr>
  </w:style>
  <w:style w:type="paragraph" w:styleId="5">
    <w:name w:val="Plain Text"/>
    <w:basedOn w:val="1"/>
    <w:link w:val="17"/>
    <w:autoRedefine/>
    <w:qFormat/>
    <w:uiPriority w:val="99"/>
    <w:rPr>
      <w:rFonts w:ascii="宋体" w:hAnsi="Courier New"/>
    </w:rPr>
  </w:style>
  <w:style w:type="paragraph" w:styleId="6">
    <w:name w:val="footer"/>
    <w:basedOn w:val="1"/>
    <w:link w:val="21"/>
    <w:autoRedefine/>
    <w:unhideWhenUsed/>
    <w:qFormat/>
    <w:uiPriority w:val="99"/>
    <w:pPr>
      <w:tabs>
        <w:tab w:val="center" w:pos="4153"/>
        <w:tab w:val="right" w:pos="8306"/>
      </w:tabs>
      <w:snapToGrid w:val="0"/>
      <w:jc w:val="left"/>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autoRedefine/>
    <w:semiHidden/>
    <w:unhideWhenUsed/>
    <w:qFormat/>
    <w:uiPriority w:val="99"/>
    <w:rPr>
      <w:b/>
      <w:bCs/>
    </w:rPr>
  </w:style>
  <w:style w:type="table" w:styleId="10">
    <w:name w:val="Table Grid"/>
    <w:basedOn w:val="9"/>
    <w:autoRedefine/>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autoRedefine/>
    <w:semiHidden/>
    <w:qFormat/>
    <w:uiPriority w:val="99"/>
    <w:rPr>
      <w:sz w:val="21"/>
      <w:szCs w:val="21"/>
    </w:rPr>
  </w:style>
  <w:style w:type="paragraph" w:customStyle="1" w:styleId="13">
    <w:name w:val="Default"/>
    <w:autoRedefine/>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4">
    <w:name w:val="批注文字 字符"/>
    <w:basedOn w:val="11"/>
    <w:autoRedefine/>
    <w:qFormat/>
    <w:uiPriority w:val="99"/>
    <w:rPr>
      <w:rFonts w:ascii="Times New Roman" w:hAnsi="Times New Roman" w:eastAsia="宋体" w:cs="Times New Roman"/>
      <w:szCs w:val="21"/>
    </w:rPr>
  </w:style>
  <w:style w:type="character" w:customStyle="1" w:styleId="15">
    <w:name w:val="批注文字 字符1"/>
    <w:link w:val="2"/>
    <w:autoRedefine/>
    <w:semiHidden/>
    <w:qFormat/>
    <w:uiPriority w:val="99"/>
    <w:rPr>
      <w:rFonts w:ascii="Times New Roman" w:hAnsi="Times New Roman" w:eastAsia="宋体" w:cs="Times New Roman"/>
      <w:szCs w:val="21"/>
    </w:rPr>
  </w:style>
  <w:style w:type="character" w:customStyle="1" w:styleId="16">
    <w:name w:val="批注主题 字符"/>
    <w:basedOn w:val="15"/>
    <w:link w:val="8"/>
    <w:autoRedefine/>
    <w:semiHidden/>
    <w:qFormat/>
    <w:uiPriority w:val="99"/>
    <w:rPr>
      <w:rFonts w:ascii="Times New Roman" w:hAnsi="Times New Roman" w:eastAsia="宋体" w:cs="Times New Roman"/>
      <w:b/>
      <w:bCs/>
      <w:szCs w:val="21"/>
    </w:rPr>
  </w:style>
  <w:style w:type="character" w:customStyle="1" w:styleId="17">
    <w:name w:val="纯文本 字符"/>
    <w:basedOn w:val="11"/>
    <w:link w:val="5"/>
    <w:autoRedefine/>
    <w:qFormat/>
    <w:uiPriority w:val="99"/>
    <w:rPr>
      <w:rFonts w:ascii="宋体" w:hAnsi="Courier New" w:eastAsia="宋体" w:cs="Times New Roman"/>
      <w:szCs w:val="21"/>
    </w:rPr>
  </w:style>
  <w:style w:type="paragraph" w:customStyle="1" w:styleId="18">
    <w:name w:val="表格文字"/>
    <w:basedOn w:val="1"/>
    <w:autoRedefine/>
    <w:qFormat/>
    <w:uiPriority w:val="0"/>
    <w:pPr>
      <w:spacing w:before="25" w:after="25"/>
      <w:jc w:val="left"/>
    </w:pPr>
    <w:rPr>
      <w:rFonts w:ascii="Calibri" w:hAnsi="Calibri"/>
      <w:bCs/>
      <w:spacing w:val="10"/>
      <w:kern w:val="0"/>
      <w:sz w:val="24"/>
      <w:szCs w:val="20"/>
    </w:rPr>
  </w:style>
  <w:style w:type="character" w:customStyle="1" w:styleId="19">
    <w:name w:val="fontstyle01"/>
    <w:autoRedefine/>
    <w:qFormat/>
    <w:uiPriority w:val="0"/>
    <w:rPr>
      <w:rFonts w:hint="eastAsia" w:ascii="宋体" w:hAnsi="宋体" w:eastAsia="宋体"/>
      <w:color w:val="000000"/>
      <w:sz w:val="24"/>
      <w:szCs w:val="24"/>
    </w:rPr>
  </w:style>
  <w:style w:type="character" w:customStyle="1" w:styleId="20">
    <w:name w:val="页眉 字符"/>
    <w:basedOn w:val="11"/>
    <w:link w:val="7"/>
    <w:autoRedefine/>
    <w:qFormat/>
    <w:uiPriority w:val="99"/>
    <w:rPr>
      <w:rFonts w:ascii="Times New Roman" w:hAnsi="Times New Roman" w:eastAsia="宋体" w:cs="Times New Roman"/>
      <w:sz w:val="18"/>
      <w:szCs w:val="18"/>
    </w:rPr>
  </w:style>
  <w:style w:type="character" w:customStyle="1" w:styleId="21">
    <w:name w:val="页脚 字符"/>
    <w:basedOn w:val="11"/>
    <w:link w:val="6"/>
    <w:autoRedefine/>
    <w:qFormat/>
    <w:uiPriority w:val="99"/>
    <w:rPr>
      <w:rFonts w:ascii="Times New Roman" w:hAnsi="Times New Roman" w:eastAsia="宋体" w:cs="Times New Roman"/>
      <w:sz w:val="18"/>
      <w:szCs w:val="18"/>
    </w:rPr>
  </w:style>
  <w:style w:type="character" w:styleId="22">
    <w:name w:val="Placeholder Text"/>
    <w:basedOn w:val="11"/>
    <w:autoRedefine/>
    <w:semiHidden/>
    <w:qFormat/>
    <w:uiPriority w:val="99"/>
    <w:rPr>
      <w:color w:val="808080"/>
    </w:rPr>
  </w:style>
  <w:style w:type="paragraph" w:customStyle="1" w:styleId="23">
    <w:name w:val="样式1"/>
    <w:basedOn w:val="1"/>
    <w:autoRedefine/>
    <w:qFormat/>
    <w:uiPriority w:val="0"/>
  </w:style>
  <w:style w:type="paragraph" w:styleId="24">
    <w:name w:val="List Paragraph"/>
    <w:basedOn w:val="1"/>
    <w:autoRedefine/>
    <w:qFormat/>
    <w:uiPriority w:val="99"/>
    <w:pPr>
      <w:ind w:firstLine="420" w:firstLineChars="200"/>
    </w:pPr>
  </w:style>
  <w:style w:type="paragraph" w:customStyle="1" w:styleId="25">
    <w:name w:val="&gt;须知 2级 1、"/>
    <w:next w:val="1"/>
    <w:autoRedefine/>
    <w:qFormat/>
    <w:uiPriority w:val="0"/>
    <w:pPr>
      <w:numPr>
        <w:ilvl w:val="1"/>
        <w:numId w:val="1"/>
      </w:numPr>
      <w:spacing w:before="120" w:beforeLines="50" w:line="360" w:lineRule="auto"/>
      <w:outlineLvl w:val="3"/>
    </w:pPr>
    <w:rPr>
      <w:rFonts w:ascii="宋体" w:hAnsi="Arial" w:eastAsia="宋体" w:cs="Times New Roman"/>
      <w:b/>
      <w:kern w:val="2"/>
      <w:sz w:val="24"/>
      <w:szCs w:val="24"/>
      <w:lang w:val="en-US" w:eastAsia="zh-CN" w:bidi="ar-SA"/>
    </w:rPr>
  </w:style>
  <w:style w:type="paragraph" w:customStyle="1" w:styleId="26">
    <w:name w:val="&gt;须知 正文"/>
    <w:next w:val="1"/>
    <w:autoRedefine/>
    <w:qFormat/>
    <w:uiPriority w:val="0"/>
    <w:pPr>
      <w:spacing w:line="360" w:lineRule="auto"/>
      <w:ind w:firstLine="200" w:firstLineChars="200"/>
    </w:pPr>
    <w:rPr>
      <w:rFonts w:ascii="宋体" w:hAnsi="宋体" w:eastAsia="宋体" w:cs="Times New Roman"/>
      <w:kern w:val="2"/>
      <w:sz w:val="21"/>
      <w:lang w:val="en-US" w:eastAsia="zh-CN" w:bidi="ar-SA"/>
    </w:rPr>
  </w:style>
  <w:style w:type="paragraph" w:customStyle="1" w:styleId="27">
    <w:name w:val="&gt;须知前附表首行"/>
    <w:next w:val="1"/>
    <w:autoRedefine/>
    <w:qFormat/>
    <w:uiPriority w:val="0"/>
    <w:pPr>
      <w:jc w:val="center"/>
    </w:pPr>
    <w:rPr>
      <w:rFonts w:ascii="宋体" w:hAnsi="宋体" w:eastAsia="宋体" w:cs="Times New Roman"/>
      <w:b/>
      <w:kern w:val="2"/>
      <w:sz w:val="21"/>
      <w:szCs w:val="24"/>
      <w:lang w:val="en-US" w:eastAsia="zh-CN" w:bidi="ar-SA"/>
    </w:rPr>
  </w:style>
  <w:style w:type="paragraph" w:customStyle="1" w:styleId="28">
    <w:name w:val="&gt;须知前附表内容"/>
    <w:basedOn w:val="1"/>
    <w:autoRedefine/>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14:paraId="36824DB1">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60F420097394E1B8F5C294379C7133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2</Pages>
  <Words>1091</Words>
  <Characters>1134</Characters>
  <Lines>26</Lines>
  <Paragraphs>7</Paragraphs>
  <TotalTime>3</TotalTime>
  <ScaleCrop>false</ScaleCrop>
  <LinksUpToDate>false</LinksUpToDate>
  <CharactersWithSpaces>1162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chance</cp:lastModifiedBy>
  <cp:lastPrinted>2024-02-05T00:15:00Z</cp:lastPrinted>
  <dcterms:modified xsi:type="dcterms:W3CDTF">2024-09-29T09:41:43Z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933E5ED450544549A5190ADC7140F67D</vt:lpwstr>
  </property>
</Properties>
</file>