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6"/>
        <w:ind w:left="-708" w:leftChars="-337"/>
        <w:rPr>
          <w:rFonts w:cs="宋体"/>
          <w:b/>
          <w:bCs/>
          <w:sz w:val="28"/>
          <w:szCs w:val="28"/>
        </w:rPr>
      </w:pPr>
      <w:r>
        <w:rPr>
          <w:rFonts w:hint="eastAsia" w:cs="宋体"/>
          <w:b/>
          <w:bCs/>
          <w:sz w:val="28"/>
          <w:szCs w:val="28"/>
        </w:rPr>
        <w:t>一、采购清单、技术规格参数、质量标准和要求</w:t>
      </w:r>
    </w:p>
    <w:p>
      <w:pPr>
        <w:pStyle w:val="16"/>
        <w:spacing w:line="440" w:lineRule="exact"/>
        <w:ind w:left="-708" w:leftChars="-337"/>
        <w:rPr>
          <w:rFonts w:ascii="宋体" w:hAnsi="宋体" w:cs="宋体"/>
          <w:color w:val="000000" w:themeColor="text1"/>
        </w:rPr>
      </w:pPr>
      <w:r>
        <w:rPr>
          <w:rFonts w:hint="eastAsia" w:cs="宋体"/>
          <w:b/>
          <w:bCs/>
          <w:color w:val="000000" w:themeColor="text1"/>
        </w:rPr>
        <w:t>（一）</w:t>
      </w:r>
      <w:r>
        <w:rPr>
          <w:rFonts w:hint="eastAsia" w:ascii="宋体" w:hAnsi="宋体" w:cs="宋体"/>
          <w:b/>
          <w:bCs/>
          <w:color w:val="000000" w:themeColor="text1"/>
        </w:rPr>
        <w:t>采购需求： </w:t>
      </w:r>
    </w:p>
    <w:p>
      <w:pPr>
        <w:rPr>
          <w:rFonts w:ascii="宋体" w:hAnsi="宋体" w:cs="宋体"/>
          <w:color w:val="000000" w:themeColor="text1"/>
          <w:kern w:val="0"/>
          <w:sz w:val="24"/>
          <w:szCs w:val="24"/>
        </w:rPr>
      </w:pPr>
      <w:r>
        <w:rPr>
          <w:rFonts w:hint="eastAsia" w:ascii="宋体" w:hAnsi="宋体" w:cs="宋体"/>
          <w:sz w:val="24"/>
          <w:szCs w:val="24"/>
        </w:rPr>
        <w:t>计划就广西桂东人民医院贺州两分院打印机配件及耗材采购项目进行公开询价招标。</w:t>
      </w:r>
      <w:r>
        <w:rPr>
          <w:rFonts w:hint="eastAsia" w:ascii="宋体" w:hAnsi="宋体" w:cs="宋体"/>
          <w:color w:val="FF0000"/>
          <w:sz w:val="24"/>
          <w:szCs w:val="24"/>
        </w:rPr>
        <w:t>两分院分别指贺州市八步区人民医院（贺州市八步区八莲路万安街22号）与广西壮族自治区桂东人民医院贺州分院（贺州市平桂区城西路58号）。</w:t>
      </w:r>
    </w:p>
    <w:p>
      <w:pPr>
        <w:widowControl/>
        <w:numPr>
          <w:ilvl w:val="0"/>
          <w:numId w:val="1"/>
        </w:numPr>
        <w:spacing w:line="440" w:lineRule="exact"/>
        <w:ind w:left="-708" w:leftChars="-337"/>
        <w:jc w:val="left"/>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技术规格参数</w:t>
      </w:r>
    </w:p>
    <w:p>
      <w:pPr>
        <w:widowControl/>
        <w:spacing w:line="440" w:lineRule="exact"/>
        <w:rPr>
          <w:rFonts w:ascii="宋体" w:hAnsi="宋体" w:cs="宋体"/>
          <w:sz w:val="24"/>
          <w:szCs w:val="24"/>
        </w:rPr>
      </w:pPr>
      <w:r>
        <w:rPr>
          <w:rFonts w:hint="eastAsia" w:ascii="宋体" w:hAnsi="宋体" w:cs="宋体"/>
          <w:sz w:val="24"/>
          <w:szCs w:val="24"/>
        </w:rPr>
        <w:t>招标货物及技术要求：</w:t>
      </w:r>
    </w:p>
    <w:p>
      <w:pPr>
        <w:spacing w:line="440" w:lineRule="exact"/>
        <w:ind w:firstLine="480" w:firstLineChars="200"/>
        <w:rPr>
          <w:rFonts w:ascii="宋体" w:hAnsi="宋体" w:cs="宋体"/>
          <w:color w:val="333333"/>
          <w:kern w:val="0"/>
          <w:sz w:val="24"/>
          <w:szCs w:val="24"/>
        </w:rPr>
      </w:pPr>
      <w:r>
        <w:rPr>
          <w:rFonts w:hint="eastAsia" w:ascii="宋体" w:hAnsi="宋体" w:cs="宋体"/>
          <w:color w:val="333333"/>
          <w:kern w:val="0"/>
          <w:sz w:val="24"/>
          <w:szCs w:val="24"/>
        </w:rPr>
        <w:t>1、供货期：贰年。</w:t>
      </w:r>
    </w:p>
    <w:p>
      <w:pPr>
        <w:spacing w:line="440" w:lineRule="exact"/>
        <w:ind w:firstLine="480" w:firstLineChars="200"/>
        <w:rPr>
          <w:rFonts w:ascii="宋体" w:hAnsi="宋体" w:cs="宋体"/>
          <w:color w:val="333333"/>
          <w:kern w:val="0"/>
          <w:sz w:val="24"/>
          <w:szCs w:val="24"/>
        </w:rPr>
      </w:pPr>
      <w:r>
        <w:rPr>
          <w:rFonts w:hint="eastAsia" w:ascii="宋体" w:hAnsi="宋体" w:cs="宋体"/>
          <w:color w:val="333333"/>
          <w:kern w:val="0"/>
          <w:sz w:val="24"/>
          <w:szCs w:val="24"/>
        </w:rPr>
        <w:t>2、耗材明细：</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注：实际供货数量及供货频率以医院实际需求为准，按需供货，预计数量仅作为投标报价之用。</w:t>
      </w:r>
    </w:p>
    <w:p>
      <w:pPr>
        <w:pStyle w:val="16"/>
        <w:ind w:left="-708" w:leftChars="-337"/>
        <w:rPr>
          <w:b/>
          <w:bCs/>
        </w:rPr>
      </w:pPr>
      <w:r>
        <w:rPr>
          <w:b/>
          <w:bCs/>
        </w:rPr>
        <w:t> </w:t>
      </w:r>
    </w:p>
    <w:tbl>
      <w:tblPr>
        <w:tblStyle w:val="14"/>
        <w:tblW w:w="9137" w:type="dxa"/>
        <w:tblInd w:w="11" w:type="dxa"/>
        <w:tblLayout w:type="fixed"/>
        <w:tblCellMar>
          <w:top w:w="0" w:type="dxa"/>
          <w:left w:w="108" w:type="dxa"/>
          <w:bottom w:w="0" w:type="dxa"/>
          <w:right w:w="108" w:type="dxa"/>
        </w:tblCellMar>
      </w:tblPr>
      <w:tblGrid>
        <w:gridCol w:w="966"/>
        <w:gridCol w:w="1416"/>
        <w:gridCol w:w="750"/>
        <w:gridCol w:w="1423"/>
        <w:gridCol w:w="1114"/>
        <w:gridCol w:w="3468"/>
      </w:tblGrid>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商品名称</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品牌</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控制价（元）</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551"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碳粉</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瓶</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适用于佳能、兄弟、惠普打印机</w:t>
            </w:r>
          </w:p>
        </w:tc>
      </w:tr>
      <w:tr>
        <w:tblPrEx>
          <w:tblLayout w:type="fixed"/>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硒鼓</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120</w:t>
            </w:r>
            <w:bookmarkStart w:id="0" w:name="_GoBack"/>
            <w:bookmarkEnd w:id="0"/>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适用于目前医院在用的打印机/复印机</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粉盒</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适用于佳能、兄弟、惠普打印机</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鼓芯</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色带</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条</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高宝、德宝</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适用于LQ300K、LQ-82KF</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刮板</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定影组件</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258</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搓纸轮</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色带架</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高宝、德宝</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适用于LQ300K、LQ-82KF</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彩色碳粉</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支</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适用于佳能imageRUNNER ADVANCEDX C3926</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鼓架</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r>
              <w:rPr>
                <w:rFonts w:hint="eastAsia" w:ascii="宋体" w:hAnsi="宋体" w:cs="宋体"/>
                <w:color w:val="000000"/>
                <w:kern w:val="0"/>
                <w:sz w:val="24"/>
                <w:szCs w:val="24"/>
                <w:lang w:val="en-US" w:eastAsia="zh-CN"/>
              </w:rPr>
              <w:t>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适用于兄弟打印机</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彩色硒鼓</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380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适用于佳能image CLASS LBP623cdn、LBP623dn</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磁棍</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上棍</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扫描头</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适用于目前医院在用的打印机/复印机</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激光器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17</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检测器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18</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面盖</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19</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主板</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手扭</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打印头</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打印头架</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进纸齿轮组</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离合器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tblPrEx>
          <w:tblLayout w:type="fixed"/>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色带齿轮组</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3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tblPrEx>
          <w:tblLayout w:type="fixed"/>
          <w:tblCellMar>
            <w:top w:w="0" w:type="dxa"/>
            <w:left w:w="108" w:type="dxa"/>
            <w:bottom w:w="0" w:type="dxa"/>
            <w:right w:w="108" w:type="dxa"/>
          </w:tblCellMar>
        </w:tblPrEx>
        <w:trPr>
          <w:trHeight w:val="393"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 w:val="24"/>
                <w:szCs w:val="24"/>
                <w:lang w:val="en-US" w:eastAsia="zh-CN"/>
              </w:rPr>
              <w:t>墨盒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个</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106</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适用于</w:t>
            </w:r>
            <w:r>
              <w:rPr>
                <w:rFonts w:hint="eastAsia" w:ascii="宋体" w:hAnsi="宋体" w:cs="宋体"/>
                <w:color w:val="000000"/>
                <w:kern w:val="0"/>
                <w:sz w:val="24"/>
                <w:szCs w:val="24"/>
                <w:lang w:val="en-US" w:eastAsia="zh-CN"/>
              </w:rPr>
              <w:t>佳能</w:t>
            </w:r>
            <w:r>
              <w:rPr>
                <w:rFonts w:hint="default" w:ascii="宋体" w:hAnsi="宋体" w:cs="宋体"/>
                <w:color w:val="000000"/>
                <w:kern w:val="0"/>
                <w:sz w:val="24"/>
                <w:szCs w:val="24"/>
              </w:rPr>
              <w:t>MP288</w:t>
            </w:r>
            <w:r>
              <w:rPr>
                <w:rFonts w:hint="eastAsia" w:ascii="宋体" w:hAnsi="宋体" w:cs="宋体"/>
                <w:color w:val="000000"/>
                <w:kern w:val="0"/>
                <w:sz w:val="24"/>
                <w:szCs w:val="24"/>
                <w:lang w:val="en-US" w:eastAsia="zh-CN"/>
              </w:rPr>
              <w:t>打印机</w:t>
            </w:r>
          </w:p>
        </w:tc>
      </w:tr>
    </w:tbl>
    <w:p>
      <w:pPr>
        <w:pStyle w:val="27"/>
        <w:spacing w:line="460" w:lineRule="exact"/>
        <w:ind w:firstLine="0" w:firstLineChars="0"/>
        <w:rPr>
          <w:b/>
          <w:bCs/>
          <w:sz w:val="28"/>
          <w:szCs w:val="28"/>
        </w:rPr>
      </w:pPr>
    </w:p>
    <w:p>
      <w:pPr>
        <w:pStyle w:val="27"/>
        <w:spacing w:line="460" w:lineRule="exact"/>
        <w:ind w:firstLine="0" w:firstLineChars="0"/>
        <w:rPr>
          <w:sz w:val="28"/>
          <w:szCs w:val="28"/>
        </w:rPr>
      </w:pPr>
      <w:r>
        <w:rPr>
          <w:rFonts w:hint="eastAsia"/>
          <w:b/>
          <w:bCs/>
          <w:sz w:val="28"/>
          <w:szCs w:val="28"/>
        </w:rPr>
        <w:t>目前院方在用的打印机/复印机及型号：</w:t>
      </w:r>
    </w:p>
    <w:p>
      <w:pPr>
        <w:spacing w:line="460" w:lineRule="exact"/>
        <w:rPr>
          <w:sz w:val="28"/>
          <w:szCs w:val="28"/>
        </w:rPr>
      </w:pPr>
      <w:r>
        <w:rPr>
          <w:rFonts w:hint="eastAsia"/>
          <w:sz w:val="28"/>
          <w:szCs w:val="28"/>
        </w:rPr>
        <w:t xml:space="preserve"> ★其中佳能Canon LBP6230dn、兄弟（Brother）HL-5585D、爱普生EPSON LQ-300KH打印机使用数量最多。</w:t>
      </w:r>
    </w:p>
    <w:tbl>
      <w:tblPr>
        <w:tblStyle w:val="15"/>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668"/>
        <w:gridCol w:w="2062"/>
        <w:gridCol w:w="176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widowControl/>
              <w:spacing w:line="240" w:lineRule="exact"/>
              <w:jc w:val="center"/>
              <w:rPr>
                <w:rFonts w:ascii="宋体" w:hAnsi="宋体" w:cs="宋体"/>
                <w:color w:val="000000"/>
                <w:kern w:val="0"/>
              </w:rPr>
            </w:pPr>
            <w:r>
              <w:rPr>
                <w:rFonts w:hint="eastAsia" w:ascii="宋体" w:hAnsi="宋体" w:cs="宋体"/>
                <w:color w:val="000000"/>
                <w:kern w:val="0"/>
              </w:rPr>
              <w:t>兄弟（Brother）MFC-8530DN</w:t>
            </w:r>
          </w:p>
        </w:tc>
        <w:tc>
          <w:tcPr>
            <w:tcW w:w="1668" w:type="dxa"/>
          </w:tcPr>
          <w:p>
            <w:pPr>
              <w:widowControl/>
              <w:spacing w:line="240" w:lineRule="exact"/>
              <w:jc w:val="center"/>
              <w:rPr>
                <w:rFonts w:ascii="宋体" w:hAnsi="宋体" w:cs="宋体"/>
                <w:color w:val="000000"/>
                <w:kern w:val="0"/>
              </w:rPr>
            </w:pPr>
            <w:r>
              <w:rPr>
                <w:rFonts w:hint="eastAsia" w:ascii="宋体" w:hAnsi="宋体" w:cs="宋体"/>
                <w:color w:val="000000"/>
                <w:kern w:val="0"/>
              </w:rPr>
              <w:t>佳能Canon LBP6230dn</w:t>
            </w:r>
          </w:p>
        </w:tc>
        <w:tc>
          <w:tcPr>
            <w:tcW w:w="2062" w:type="dxa"/>
          </w:tcPr>
          <w:p>
            <w:pPr>
              <w:widowControl/>
              <w:spacing w:line="240" w:lineRule="exact"/>
              <w:jc w:val="center"/>
              <w:rPr>
                <w:rFonts w:ascii="宋体" w:hAnsi="宋体" w:cs="宋体"/>
                <w:color w:val="000000"/>
                <w:kern w:val="0"/>
              </w:rPr>
            </w:pPr>
            <w:r>
              <w:rPr>
                <w:rFonts w:hint="eastAsia" w:ascii="宋体" w:hAnsi="宋体" w:cs="宋体"/>
                <w:color w:val="000000"/>
                <w:kern w:val="0"/>
              </w:rPr>
              <w:t>佳能Canon LBP621Cw</w:t>
            </w:r>
          </w:p>
        </w:tc>
        <w:tc>
          <w:tcPr>
            <w:tcW w:w="1765" w:type="dxa"/>
          </w:tcPr>
          <w:p>
            <w:pPr>
              <w:widowControl/>
              <w:spacing w:line="240" w:lineRule="exact"/>
              <w:jc w:val="center"/>
              <w:rPr>
                <w:rFonts w:ascii="宋体" w:hAnsi="宋体" w:cs="宋体"/>
                <w:color w:val="000000"/>
                <w:kern w:val="0"/>
              </w:rPr>
            </w:pPr>
            <w:r>
              <w:rPr>
                <w:rFonts w:hint="eastAsia" w:ascii="宋体" w:hAnsi="宋体" w:cs="宋体"/>
                <w:color w:val="000000"/>
                <w:kern w:val="0"/>
              </w:rPr>
              <w:t>爱普生EPSON LQ-300KH</w:t>
            </w:r>
          </w:p>
        </w:tc>
        <w:tc>
          <w:tcPr>
            <w:tcW w:w="1546" w:type="dxa"/>
          </w:tcPr>
          <w:p>
            <w:pPr>
              <w:widowControl/>
              <w:spacing w:line="240" w:lineRule="exact"/>
              <w:jc w:val="center"/>
              <w:rPr>
                <w:rFonts w:ascii="宋体" w:hAnsi="宋体" w:cs="宋体"/>
                <w:color w:val="000000"/>
                <w:kern w:val="0"/>
              </w:rPr>
            </w:pPr>
            <w:r>
              <w:rPr>
                <w:rFonts w:hint="eastAsia" w:ascii="宋体" w:hAnsi="宋体" w:cs="宋体"/>
                <w:color w:val="000000"/>
                <w:kern w:val="0"/>
              </w:rPr>
              <w:t>立象argox CP-2140M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widowControl/>
              <w:spacing w:line="240" w:lineRule="exact"/>
              <w:jc w:val="center"/>
              <w:rPr>
                <w:rFonts w:ascii="宋体" w:hAnsi="宋体" w:cs="宋体"/>
                <w:color w:val="000000"/>
                <w:kern w:val="0"/>
              </w:rPr>
            </w:pPr>
            <w:r>
              <w:rPr>
                <w:rFonts w:hint="eastAsia" w:ascii="宋体" w:hAnsi="宋体" w:cs="宋体"/>
                <w:color w:val="000000"/>
                <w:kern w:val="0"/>
              </w:rPr>
              <w:t>佳博热敏票据打印机GP-L80180</w:t>
            </w:r>
          </w:p>
        </w:tc>
        <w:tc>
          <w:tcPr>
            <w:tcW w:w="1668" w:type="dxa"/>
          </w:tcPr>
          <w:p>
            <w:pPr>
              <w:widowControl/>
              <w:spacing w:line="240" w:lineRule="exact"/>
              <w:jc w:val="center"/>
              <w:rPr>
                <w:rFonts w:ascii="宋体" w:hAnsi="宋体" w:cs="宋体"/>
                <w:color w:val="000000"/>
                <w:kern w:val="0"/>
              </w:rPr>
            </w:pPr>
            <w:r>
              <w:rPr>
                <w:rFonts w:hint="eastAsia" w:ascii="宋体" w:hAnsi="宋体" w:cs="宋体"/>
                <w:color w:val="000000"/>
                <w:kern w:val="0"/>
              </w:rPr>
              <w:t>多功能一体机（HP M329dn）</w:t>
            </w:r>
          </w:p>
        </w:tc>
        <w:tc>
          <w:tcPr>
            <w:tcW w:w="2062" w:type="dxa"/>
          </w:tcPr>
          <w:p>
            <w:pPr>
              <w:widowControl/>
              <w:spacing w:line="240" w:lineRule="exact"/>
              <w:jc w:val="center"/>
              <w:rPr>
                <w:rFonts w:ascii="宋体" w:hAnsi="宋体" w:cs="宋体"/>
                <w:color w:val="000000"/>
                <w:kern w:val="0"/>
              </w:rPr>
            </w:pPr>
            <w:r>
              <w:rPr>
                <w:rFonts w:hint="eastAsia" w:ascii="宋体" w:hAnsi="宋体" w:cs="宋体"/>
                <w:color w:val="000000"/>
                <w:kern w:val="0"/>
              </w:rPr>
              <w:t>兄弟（Brother）HL-5585D</w:t>
            </w:r>
          </w:p>
        </w:tc>
        <w:tc>
          <w:tcPr>
            <w:tcW w:w="1765" w:type="dxa"/>
          </w:tcPr>
          <w:p>
            <w:pPr>
              <w:widowControl/>
              <w:spacing w:line="240" w:lineRule="exact"/>
              <w:jc w:val="center"/>
              <w:rPr>
                <w:rFonts w:ascii="宋体" w:hAnsi="宋体" w:cs="宋体"/>
                <w:color w:val="000000"/>
                <w:kern w:val="0"/>
              </w:rPr>
            </w:pPr>
            <w:r>
              <w:rPr>
                <w:rFonts w:hint="eastAsia" w:ascii="宋体" w:hAnsi="宋体" w:cs="宋体"/>
                <w:color w:val="000000"/>
                <w:kern w:val="0"/>
              </w:rPr>
              <w:t>佳能image CLASS LBP623cdn</w:t>
            </w:r>
          </w:p>
        </w:tc>
        <w:tc>
          <w:tcPr>
            <w:tcW w:w="1546" w:type="dxa"/>
          </w:tcPr>
          <w:p>
            <w:pPr>
              <w:widowControl/>
              <w:spacing w:line="240" w:lineRule="exact"/>
              <w:jc w:val="center"/>
              <w:rPr>
                <w:rFonts w:ascii="宋体" w:hAnsi="宋体" w:cs="宋体"/>
                <w:color w:val="000000"/>
                <w:kern w:val="0"/>
              </w:rPr>
            </w:pPr>
            <w:r>
              <w:rPr>
                <w:rFonts w:hint="eastAsia" w:ascii="宋体" w:hAnsi="宋体" w:cs="宋体"/>
                <w:color w:val="FF0000"/>
                <w:kern w:val="0"/>
              </w:rPr>
              <w:t>惠普 hp laserjet P1108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widowControl/>
              <w:spacing w:line="240" w:lineRule="exact"/>
              <w:jc w:val="center"/>
              <w:rPr>
                <w:rFonts w:ascii="宋体" w:hAnsi="宋体" w:cs="宋体"/>
                <w:color w:val="000000"/>
                <w:kern w:val="0"/>
                <w:lang w:val="zh-TW" w:eastAsia="zh-TW"/>
              </w:rPr>
            </w:pPr>
            <w:r>
              <w:rPr>
                <w:rFonts w:hint="eastAsia" w:ascii="宋体" w:hAnsi="宋体" w:cs="宋体"/>
                <w:color w:val="000000"/>
                <w:kern w:val="0"/>
              </w:rPr>
              <w:t>爱普生 LQ-82KF</w:t>
            </w:r>
          </w:p>
        </w:tc>
        <w:tc>
          <w:tcPr>
            <w:tcW w:w="1668" w:type="dxa"/>
            <w:vAlign w:val="center"/>
          </w:tcPr>
          <w:p>
            <w:pPr>
              <w:widowControl/>
              <w:spacing w:line="240" w:lineRule="exact"/>
              <w:jc w:val="center"/>
              <w:rPr>
                <w:rFonts w:ascii="宋体" w:hAnsi="宋体" w:cs="宋体"/>
                <w:color w:val="000000"/>
                <w:kern w:val="0"/>
                <w:lang w:val="zh-TW" w:eastAsia="zh-TW"/>
              </w:rPr>
            </w:pPr>
            <w:r>
              <w:rPr>
                <w:rFonts w:hint="eastAsia" w:ascii="宋体" w:hAnsi="宋体" w:cs="宋体"/>
                <w:color w:val="000000"/>
                <w:kern w:val="0"/>
              </w:rPr>
              <w:t>立像CP-3140L</w:t>
            </w:r>
          </w:p>
        </w:tc>
        <w:tc>
          <w:tcPr>
            <w:tcW w:w="2062" w:type="dxa"/>
            <w:vAlign w:val="center"/>
          </w:tcPr>
          <w:p>
            <w:pPr>
              <w:widowControl/>
              <w:spacing w:line="240" w:lineRule="exact"/>
              <w:jc w:val="center"/>
              <w:rPr>
                <w:rFonts w:ascii="宋体" w:hAnsi="宋体" w:cs="宋体"/>
                <w:color w:val="000000"/>
                <w:kern w:val="0"/>
                <w:lang w:val="zh-TW" w:eastAsia="zh-TW"/>
              </w:rPr>
            </w:pPr>
            <w:r>
              <w:rPr>
                <w:rFonts w:hint="eastAsia" w:ascii="宋体" w:hAnsi="宋体" w:cs="宋体"/>
                <w:color w:val="000000"/>
                <w:kern w:val="0"/>
              </w:rPr>
              <w:t>佳能 imageRUNNER ADVANCEDX C3926</w:t>
            </w:r>
          </w:p>
        </w:tc>
        <w:tc>
          <w:tcPr>
            <w:tcW w:w="1765" w:type="dxa"/>
            <w:vAlign w:val="center"/>
          </w:tcPr>
          <w:p>
            <w:pPr>
              <w:widowControl/>
              <w:spacing w:line="240" w:lineRule="exact"/>
              <w:jc w:val="center"/>
              <w:rPr>
                <w:rFonts w:ascii="宋体" w:hAnsi="宋体" w:cs="宋体"/>
                <w:color w:val="000000"/>
                <w:kern w:val="0"/>
              </w:rPr>
            </w:pPr>
            <w:r>
              <w:rPr>
                <w:rFonts w:hint="eastAsia" w:ascii="宋体" w:hAnsi="宋体" w:cs="宋体"/>
                <w:color w:val="000000"/>
                <w:kern w:val="0"/>
              </w:rPr>
              <w:t>佳能</w:t>
            </w:r>
            <w:r>
              <w:rPr>
                <w:rFonts w:hint="eastAsia" w:ascii="宋体" w:hAnsi="宋体" w:cs="宋体"/>
                <w:color w:val="000000"/>
                <w:kern w:val="0"/>
                <w:lang w:eastAsia="en-US"/>
              </w:rPr>
              <w:t>2900</w:t>
            </w:r>
            <w:r>
              <w:rPr>
                <w:rFonts w:hint="eastAsia" w:ascii="宋体" w:hAnsi="宋体" w:cs="宋体"/>
                <w:color w:val="000000"/>
                <w:kern w:val="0"/>
              </w:rPr>
              <w:t>、2900+</w:t>
            </w:r>
          </w:p>
        </w:tc>
        <w:tc>
          <w:tcPr>
            <w:tcW w:w="1546" w:type="dxa"/>
            <w:vAlign w:val="bottom"/>
          </w:tcPr>
          <w:p>
            <w:pPr>
              <w:widowControl/>
              <w:spacing w:line="240" w:lineRule="exact"/>
              <w:jc w:val="center"/>
              <w:rPr>
                <w:rFonts w:ascii="宋体" w:hAnsi="宋体" w:cs="宋体"/>
                <w:color w:val="000000"/>
                <w:kern w:val="0"/>
                <w:lang w:val="zh-TW" w:eastAsia="zh-TW"/>
              </w:rPr>
            </w:pPr>
            <w:r>
              <w:rPr>
                <w:rFonts w:hint="eastAsia" w:ascii="宋体" w:hAnsi="宋体" w:cs="宋体"/>
                <w:color w:val="000000"/>
                <w:kern w:val="0"/>
              </w:rPr>
              <w:t>佳能image CLASS LBP623dn</w:t>
            </w:r>
          </w:p>
        </w:tc>
      </w:tr>
    </w:tbl>
    <w:p>
      <w:pPr>
        <w:spacing w:line="460" w:lineRule="exact"/>
        <w:ind w:firstLine="560" w:firstLineChars="200"/>
        <w:rPr>
          <w:sz w:val="28"/>
          <w:szCs w:val="28"/>
        </w:rPr>
      </w:pPr>
      <w:r>
        <w:rPr>
          <w:rFonts w:hint="eastAsia"/>
          <w:sz w:val="28"/>
          <w:szCs w:val="28"/>
        </w:rPr>
        <w:t>粉盒及耗材详细如下：</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restart"/>
          </w:tcPr>
          <w:p>
            <w:pPr>
              <w:spacing w:line="460" w:lineRule="exact"/>
              <w:jc w:val="left"/>
              <w:rPr>
                <w:sz w:val="24"/>
                <w:szCs w:val="24"/>
              </w:rPr>
            </w:pPr>
            <w:r>
              <w:rPr>
                <w:rFonts w:hint="eastAsia"/>
                <w:sz w:val="24"/>
                <w:szCs w:val="24"/>
              </w:rPr>
              <w:t>耗材</w:t>
            </w:r>
          </w:p>
        </w:tc>
        <w:tc>
          <w:tcPr>
            <w:tcW w:w="3285" w:type="dxa"/>
            <w:vMerge w:val="restart"/>
          </w:tcPr>
          <w:p>
            <w:pPr>
              <w:spacing w:line="460" w:lineRule="exact"/>
              <w:jc w:val="left"/>
              <w:rPr>
                <w:sz w:val="24"/>
                <w:szCs w:val="24"/>
              </w:rPr>
            </w:pPr>
            <w:r>
              <w:rPr>
                <w:rFonts w:hint="eastAsia"/>
                <w:sz w:val="24"/>
                <w:szCs w:val="24"/>
              </w:rPr>
              <w:t>原装正品</w:t>
            </w:r>
          </w:p>
        </w:tc>
        <w:tc>
          <w:tcPr>
            <w:tcW w:w="3285" w:type="dxa"/>
          </w:tcPr>
          <w:p>
            <w:pPr>
              <w:spacing w:line="460" w:lineRule="exact"/>
              <w:jc w:val="left"/>
              <w:rPr>
                <w:sz w:val="24"/>
                <w:szCs w:val="24"/>
              </w:rPr>
            </w:pPr>
            <w:r>
              <w:rPr>
                <w:rFonts w:hint="eastAsia"/>
                <w:sz w:val="24"/>
                <w:szCs w:val="24"/>
              </w:rPr>
              <w:t>电源板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下辊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搓纸轮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激光器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主板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鼓架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打印针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刮板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定影组件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粉盒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刮片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磁辊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进纸齿轮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色带齿轮组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针驱动块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打印机头架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彩色硒鼓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硒鼓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鼓芯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定影膜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胶辊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离合器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tcPr>
          <w:p>
            <w:pPr>
              <w:spacing w:line="460" w:lineRule="exact"/>
              <w:jc w:val="left"/>
              <w:rPr>
                <w:sz w:val="24"/>
                <w:szCs w:val="24"/>
              </w:rPr>
            </w:pPr>
          </w:p>
        </w:tc>
        <w:tc>
          <w:tcPr>
            <w:tcW w:w="3285" w:type="dxa"/>
            <w:vMerge w:val="continue"/>
          </w:tcPr>
          <w:p>
            <w:pPr>
              <w:spacing w:line="460" w:lineRule="exact"/>
              <w:jc w:val="left"/>
              <w:rPr>
                <w:sz w:val="24"/>
                <w:szCs w:val="24"/>
              </w:rPr>
            </w:pPr>
          </w:p>
        </w:tc>
        <w:tc>
          <w:tcPr>
            <w:tcW w:w="3285" w:type="dxa"/>
          </w:tcPr>
          <w:p>
            <w:pPr>
              <w:spacing w:line="460" w:lineRule="exact"/>
              <w:jc w:val="left"/>
              <w:rPr>
                <w:sz w:val="24"/>
                <w:szCs w:val="24"/>
              </w:rPr>
            </w:pPr>
            <w:r>
              <w:rPr>
                <w:rFonts w:hint="eastAsia"/>
                <w:sz w:val="24"/>
                <w:szCs w:val="24"/>
              </w:rPr>
              <w:t>传感器</w:t>
            </w:r>
          </w:p>
        </w:tc>
      </w:tr>
    </w:tbl>
    <w:p>
      <w:pPr>
        <w:widowControl/>
        <w:spacing w:line="360" w:lineRule="auto"/>
        <w:ind w:left="-708"/>
        <w:jc w:val="left"/>
      </w:pPr>
      <w:r>
        <w:rPr>
          <w:rFonts w:hint="eastAsia"/>
        </w:rPr>
        <w:t xml:space="preserve">      </w:t>
      </w:r>
      <w:r>
        <w:rPr>
          <w:rFonts w:hint="eastAsia" w:ascii="宋体" w:hAnsi="宋体" w:cs="Arial"/>
          <w:sz w:val="24"/>
          <w:szCs w:val="24"/>
        </w:rPr>
        <w:t>3.</w:t>
      </w:r>
      <w:r>
        <w:rPr>
          <w:rFonts w:ascii="宋体" w:hAnsi="宋体" w:cs="Arial"/>
          <w:sz w:val="24"/>
          <w:szCs w:val="24"/>
        </w:rPr>
        <w:t>技术指标</w:t>
      </w:r>
    </w:p>
    <w:p>
      <w:pPr>
        <w:widowControl/>
        <w:spacing w:line="360" w:lineRule="auto"/>
        <w:ind w:left="-708" w:firstLine="600" w:firstLineChars="250"/>
        <w:jc w:val="left"/>
      </w:pPr>
      <w:r>
        <w:rPr>
          <w:rFonts w:hint="eastAsia" w:ascii="宋体" w:hAnsi="宋体" w:cs="Arial"/>
          <w:sz w:val="24"/>
          <w:szCs w:val="24"/>
        </w:rPr>
        <w:t>3</w:t>
      </w:r>
      <w:r>
        <w:rPr>
          <w:rFonts w:ascii="宋体" w:hAnsi="宋体" w:cs="Arial"/>
          <w:sz w:val="24"/>
          <w:szCs w:val="24"/>
        </w:rPr>
        <w:t>.1交付产品的技术指标应与招标文件规定的技术指标要求及投标文件中的承诺内容相一致。</w:t>
      </w:r>
    </w:p>
    <w:p>
      <w:pPr>
        <w:widowControl/>
        <w:spacing w:line="360" w:lineRule="auto"/>
        <w:jc w:val="left"/>
      </w:pPr>
      <w:r>
        <w:rPr>
          <w:rFonts w:hint="eastAsia" w:ascii="宋体" w:hAnsi="宋体" w:cs="Arial"/>
          <w:sz w:val="24"/>
          <w:szCs w:val="24"/>
        </w:rPr>
        <w:t>3</w:t>
      </w:r>
      <w:r>
        <w:rPr>
          <w:rFonts w:ascii="宋体" w:hAnsi="宋体" w:cs="Arial"/>
          <w:sz w:val="24"/>
          <w:szCs w:val="24"/>
        </w:rPr>
        <w:t>.2 除技术指标另有规定外，计量单位应该使用公制。</w:t>
      </w:r>
      <w:r>
        <w:rPr>
          <w:rFonts w:ascii="宋体" w:hAnsi="宋体" w:cs="Arial"/>
          <w:sz w:val="24"/>
          <w:szCs w:val="24"/>
        </w:rPr>
        <w:cr/>
      </w:r>
      <w:r>
        <w:rPr>
          <w:rFonts w:hint="eastAsia" w:ascii="宋体" w:hAnsi="宋体" w:cs="Arial"/>
          <w:sz w:val="24"/>
          <w:szCs w:val="24"/>
        </w:rPr>
        <w:t>4</w:t>
      </w:r>
      <w:r>
        <w:rPr>
          <w:rFonts w:ascii="宋体" w:hAnsi="宋体" w:cs="Arial"/>
          <w:sz w:val="24"/>
          <w:szCs w:val="24"/>
        </w:rPr>
        <w:t>.交货</w:t>
      </w:r>
    </w:p>
    <w:p>
      <w:pPr>
        <w:spacing w:line="360" w:lineRule="auto"/>
        <w:rPr>
          <w:rFonts w:ascii="宋体" w:hAnsi="宋体" w:cs="Arial"/>
          <w:sz w:val="24"/>
          <w:szCs w:val="24"/>
        </w:rPr>
      </w:pPr>
      <w:r>
        <w:rPr>
          <w:rFonts w:ascii="宋体" w:hAnsi="宋体" w:cs="Arial"/>
          <w:sz w:val="24"/>
          <w:szCs w:val="24"/>
        </w:rPr>
        <w:t>供方按照</w:t>
      </w:r>
      <w:r>
        <w:rPr>
          <w:rFonts w:hint="eastAsia" w:ascii="宋体" w:hAnsi="宋体" w:cs="Arial"/>
          <w:sz w:val="24"/>
          <w:szCs w:val="24"/>
        </w:rPr>
        <w:t>招标方的实际具体要求供货</w:t>
      </w:r>
    </w:p>
    <w:p>
      <w:pPr>
        <w:spacing w:line="360" w:lineRule="auto"/>
        <w:rPr>
          <w:rFonts w:ascii="宋体" w:hAnsi="宋体" w:cs="Arial"/>
          <w:sz w:val="24"/>
          <w:szCs w:val="24"/>
        </w:rPr>
      </w:pPr>
      <w:r>
        <w:rPr>
          <w:rFonts w:hint="eastAsia" w:ascii="宋体" w:hAnsi="宋体" w:cs="Arial"/>
          <w:sz w:val="24"/>
          <w:szCs w:val="24"/>
        </w:rPr>
        <w:t>5</w:t>
      </w:r>
      <w:r>
        <w:rPr>
          <w:rFonts w:ascii="宋体" w:hAnsi="宋体" w:cs="Arial"/>
          <w:sz w:val="24"/>
          <w:szCs w:val="24"/>
        </w:rPr>
        <w:t>.付款</w:t>
      </w:r>
    </w:p>
    <w:p>
      <w:pPr>
        <w:spacing w:line="360" w:lineRule="auto"/>
        <w:rPr>
          <w:rFonts w:ascii="宋体" w:hAnsi="宋体" w:cs="Arial"/>
          <w:sz w:val="24"/>
          <w:szCs w:val="24"/>
        </w:rPr>
      </w:pPr>
      <w:r>
        <w:rPr>
          <w:rFonts w:hint="eastAsia" w:ascii="宋体" w:hAnsi="宋体" w:cs="Arial"/>
          <w:sz w:val="24"/>
          <w:szCs w:val="24"/>
        </w:rPr>
        <w:t>5</w:t>
      </w:r>
      <w:r>
        <w:rPr>
          <w:rFonts w:ascii="宋体" w:hAnsi="宋体" w:cs="Arial"/>
          <w:sz w:val="24"/>
          <w:szCs w:val="24"/>
        </w:rPr>
        <w:t>.1</w:t>
      </w:r>
      <w:r>
        <w:rPr>
          <w:rFonts w:hint="eastAsia" w:ascii="宋体" w:hAnsi="宋体" w:cs="Arial"/>
          <w:sz w:val="24"/>
          <w:szCs w:val="24"/>
        </w:rPr>
        <w:t xml:space="preserve"> 采购期为中标合同签订起2年，按实际使用量（每次更换物资必须由科室签名确认为准），每</w:t>
      </w:r>
      <w:r>
        <w:rPr>
          <w:rFonts w:hint="eastAsia" w:ascii="宋体" w:hAnsi="宋体" w:cs="Arial"/>
          <w:sz w:val="24"/>
          <w:szCs w:val="24"/>
          <w:lang w:eastAsia="zh-CN"/>
        </w:rPr>
        <w:t>季度第一个月的</w:t>
      </w:r>
      <w:r>
        <w:rPr>
          <w:rFonts w:hint="eastAsia" w:ascii="宋体" w:hAnsi="宋体" w:cs="Arial"/>
          <w:sz w:val="24"/>
          <w:szCs w:val="24"/>
        </w:rPr>
        <w:t>5日前上交送货单，每季度（三个月）结算一次。</w:t>
      </w:r>
    </w:p>
    <w:p>
      <w:pPr>
        <w:pStyle w:val="2"/>
        <w:ind w:firstLine="0" w:firstLineChars="0"/>
        <w:rPr>
          <w:rFonts w:cs="Arial"/>
          <w:b w:val="0"/>
          <w:bCs w:val="0"/>
          <w:caps w:val="0"/>
          <w:szCs w:val="24"/>
        </w:rPr>
      </w:pPr>
      <w:r>
        <w:rPr>
          <w:rFonts w:hint="eastAsia" w:cs="Arial"/>
          <w:b w:val="0"/>
          <w:bCs w:val="0"/>
          <w:szCs w:val="24"/>
        </w:rPr>
        <w:t>6</w:t>
      </w:r>
      <w:r>
        <w:rPr>
          <w:rFonts w:hint="eastAsia" w:cs="Arial"/>
          <w:b w:val="0"/>
          <w:bCs w:val="0"/>
          <w:caps w:val="0"/>
          <w:szCs w:val="24"/>
        </w:rPr>
        <w:t>.报价要求</w:t>
      </w:r>
    </w:p>
    <w:p>
      <w:pPr>
        <w:pStyle w:val="2"/>
        <w:spacing w:line="360" w:lineRule="auto"/>
        <w:ind w:firstLine="0" w:firstLineChars="0"/>
        <w:rPr>
          <w:rFonts w:cs="Arial"/>
          <w:b w:val="0"/>
          <w:bCs w:val="0"/>
          <w:caps w:val="0"/>
          <w:szCs w:val="24"/>
        </w:rPr>
      </w:pPr>
      <w:r>
        <w:rPr>
          <w:rFonts w:hint="eastAsia" w:cs="Arial"/>
          <w:b w:val="0"/>
          <w:bCs w:val="0"/>
          <w:caps w:val="0"/>
          <w:szCs w:val="24"/>
        </w:rPr>
        <w:t>6.1报价要求：报价请根据清单类型进行报价，需包含各类型单价及总价（数量参考招标内容清单</w:t>
      </w:r>
      <w:r>
        <w:rPr>
          <w:rFonts w:hint="eastAsia" w:cs="Arial"/>
          <w:b w:val="0"/>
          <w:bCs w:val="0"/>
          <w:caps w:val="0"/>
          <w:szCs w:val="24"/>
          <w:lang w:eastAsia="zh-CN"/>
        </w:rPr>
        <w:t>中</w:t>
      </w:r>
      <w:r>
        <w:rPr>
          <w:rFonts w:hint="eastAsia" w:cs="Arial"/>
          <w:b w:val="0"/>
          <w:bCs w:val="0"/>
          <w:caps w:val="0"/>
          <w:szCs w:val="24"/>
        </w:rPr>
        <w:t>的数量），本项目最高控制价为</w:t>
      </w:r>
      <w:r>
        <w:rPr>
          <w:rFonts w:hint="eastAsia" w:cs="Arial"/>
          <w:b w:val="0"/>
          <w:bCs w:val="0"/>
          <w:caps w:val="0"/>
          <w:color w:val="FF0000"/>
          <w:szCs w:val="24"/>
          <w:lang w:val="en-US" w:eastAsia="zh-CN"/>
        </w:rPr>
        <w:t>0.2445</w:t>
      </w:r>
      <w:r>
        <w:rPr>
          <w:rFonts w:hint="eastAsia" w:cs="Arial"/>
          <w:b w:val="0"/>
          <w:bCs w:val="0"/>
          <w:caps w:val="0"/>
          <w:szCs w:val="24"/>
        </w:rPr>
        <w:t>万元，投标报价超出最高控制价视为投标无效。</w:t>
      </w:r>
    </w:p>
    <w:p>
      <w:pPr>
        <w:spacing w:line="360" w:lineRule="auto"/>
        <w:rPr>
          <w:rFonts w:ascii="宋体" w:hAnsi="宋体" w:cs="Arial"/>
          <w:sz w:val="24"/>
          <w:szCs w:val="24"/>
        </w:rPr>
      </w:pPr>
      <w:r>
        <w:rPr>
          <w:rFonts w:hint="eastAsia" w:ascii="宋体" w:hAnsi="宋体" w:cs="Arial"/>
          <w:sz w:val="24"/>
          <w:szCs w:val="24"/>
        </w:rPr>
        <w:t>7</w:t>
      </w:r>
      <w:r>
        <w:rPr>
          <w:rFonts w:ascii="宋体" w:hAnsi="宋体" w:cs="Arial"/>
          <w:sz w:val="24"/>
          <w:szCs w:val="24"/>
        </w:rPr>
        <w:t>.保密</w:t>
      </w:r>
    </w:p>
    <w:p>
      <w:pPr>
        <w:spacing w:line="360" w:lineRule="auto"/>
        <w:rPr>
          <w:rFonts w:ascii="宋体" w:hAnsi="宋体" w:cs="Arial"/>
          <w:sz w:val="24"/>
          <w:szCs w:val="24"/>
        </w:rPr>
      </w:pPr>
      <w:r>
        <w:rPr>
          <w:rFonts w:hint="eastAsia" w:ascii="宋体" w:hAnsi="宋体" w:cs="Arial"/>
          <w:sz w:val="24"/>
          <w:szCs w:val="24"/>
        </w:rPr>
        <w:t>7.</w:t>
      </w:r>
      <w:r>
        <w:rPr>
          <w:rFonts w:ascii="宋体" w:hAnsi="宋体" w:cs="Arial"/>
          <w:sz w:val="24"/>
          <w:szCs w:val="24"/>
        </w:rPr>
        <w:t>1 供方应保证所供货物不附带任何可导致信息外泄的电子原器件。</w:t>
      </w:r>
    </w:p>
    <w:p>
      <w:pPr>
        <w:widowControl/>
        <w:spacing w:line="440" w:lineRule="exact"/>
        <w:ind w:left="-468" w:leftChars="-223" w:firstLine="477" w:firstLineChars="199"/>
        <w:jc w:val="left"/>
        <w:rPr>
          <w:rFonts w:ascii="宋体" w:hAnsi="宋体" w:cs="宋体"/>
          <w:kern w:val="0"/>
          <w:sz w:val="24"/>
          <w:szCs w:val="24"/>
        </w:rPr>
      </w:pPr>
      <w:r>
        <w:rPr>
          <w:rFonts w:hint="eastAsia" w:cs="Arial"/>
          <w:sz w:val="24"/>
          <w:szCs w:val="24"/>
        </w:rPr>
        <w:t>8.</w:t>
      </w:r>
      <w:r>
        <w:rPr>
          <w:rFonts w:hint="eastAsia" w:ascii="宋体" w:hAnsi="宋体" w:cs="宋体"/>
          <w:kern w:val="0"/>
          <w:sz w:val="24"/>
          <w:szCs w:val="24"/>
        </w:rPr>
        <w:t>违约条款</w:t>
      </w:r>
    </w:p>
    <w:p>
      <w:pPr>
        <w:pStyle w:val="16"/>
        <w:spacing w:line="440" w:lineRule="exact"/>
        <w:ind w:left="-708" w:leftChars="-337" w:firstLine="720" w:firstLineChars="300"/>
        <w:rPr>
          <w:rFonts w:ascii="宋体" w:hAnsi="宋体" w:cs="宋体"/>
        </w:rPr>
      </w:pPr>
      <w:r>
        <w:rPr>
          <w:rFonts w:hint="eastAsia" w:ascii="宋体" w:hAnsi="宋体" w:cs="宋体"/>
        </w:rPr>
        <w:t>8.1如果中标人未能按合同规定的时间或双方另行确定的延期交货期按时足额交货的（不可抗力除外），每逾期1天，中标人应</w:t>
      </w:r>
      <w:r>
        <w:rPr>
          <w:rFonts w:hint="eastAsia" w:ascii="宋体" w:hAnsi="宋体" w:cs="宋体"/>
          <w:color w:val="FF0000"/>
        </w:rPr>
        <w:t>按</w:t>
      </w:r>
      <w:r>
        <w:rPr>
          <w:rFonts w:hint="eastAsia" w:ascii="宋体" w:hAnsi="宋体" w:cs="宋体"/>
        </w:rPr>
        <w:t>合同金额的每日0.5％向采购人支付逾期交货的违约金。逾期交货违约金的支付采购人有权从未付的合同货款中予以扣除，总额不超过20%。若中标人逾期交货达30天（含30天）以上的，采购人有权单方解除本合同。若因此给采购人造成损失的，还应赔偿采购人所受的损失；</w:t>
      </w:r>
    </w:p>
    <w:p>
      <w:pPr>
        <w:pStyle w:val="16"/>
        <w:spacing w:line="440" w:lineRule="exact"/>
        <w:ind w:left="-708" w:leftChars="-337" w:firstLine="720" w:firstLineChars="300"/>
        <w:rPr>
          <w:rFonts w:ascii="宋体" w:hAnsi="宋体" w:cs="宋体"/>
        </w:rPr>
      </w:pPr>
      <w:r>
        <w:rPr>
          <w:rFonts w:hint="eastAsia" w:ascii="宋体" w:hAnsi="宋体" w:cs="宋体"/>
        </w:rPr>
        <w:t>8.2质保期内中标人未根据售后服务条款提供服务，采购人管理部门将视情况对中标人出具书面通知，每出具一次通知，扣除合同总金额的0.5%，若因服务问题给采购人造成损失的，中标人还应赔偿甲方所受的损失。</w:t>
      </w:r>
    </w:p>
    <w:p>
      <w:pPr>
        <w:pStyle w:val="16"/>
        <w:spacing w:line="440" w:lineRule="exact"/>
        <w:ind w:left="-708" w:leftChars="-337" w:firstLine="720" w:firstLineChars="300"/>
      </w:pPr>
      <w:r>
        <w:rPr>
          <w:rFonts w:hint="eastAsia" w:ascii="宋体" w:hAnsi="宋体" w:cs="宋体"/>
          <w:color w:val="FF0000"/>
        </w:rPr>
        <w:t>8.3每季度对中标人的服务情况进行考核，当季考核不合格发出警告，对一年内累计两次考核不合格的，甲方有权终止合同。</w:t>
      </w:r>
    </w:p>
    <w:p>
      <w:pPr>
        <w:pStyle w:val="16"/>
        <w:ind w:left="-708" w:leftChars="-337"/>
        <w:rPr>
          <w:rFonts w:cs="宋体"/>
          <w:b/>
          <w:bCs/>
        </w:rPr>
      </w:pPr>
      <w:r>
        <w:rPr>
          <w:rFonts w:hint="eastAsia" w:cs="宋体"/>
          <w:bCs/>
          <w:color w:val="auto"/>
        </w:rPr>
        <w:t>（三）</w:t>
      </w:r>
      <w:r>
        <w:rPr>
          <w:rFonts w:hint="eastAsia" w:cs="宋体"/>
          <w:b/>
          <w:bCs/>
        </w:rPr>
        <w:t>项目基本要求</w:t>
      </w:r>
    </w:p>
    <w:p>
      <w:pPr>
        <w:adjustRightInd w:val="0"/>
        <w:snapToGrid w:val="0"/>
        <w:ind w:firstLine="480" w:firstLineChars="200"/>
        <w:rPr>
          <w:rFonts w:ascii="宋体" w:hAnsi="宋体" w:cs="Arial"/>
          <w:sz w:val="24"/>
          <w:szCs w:val="24"/>
        </w:rPr>
      </w:pPr>
      <w:r>
        <w:rPr>
          <w:rFonts w:hint="eastAsia" w:ascii="宋体" w:hAnsi="宋体" w:cs="Arial"/>
          <w:sz w:val="24"/>
          <w:szCs w:val="24"/>
        </w:rPr>
        <w:t>1、所有货物应为生产厂家正规渠道全新合格产品，保证其产品质量，并按照国家有关规定实行三包服务，提供免费上门服务。所供物品如有质量问题无条件更换物品，直至合格为止。</w:t>
      </w:r>
    </w:p>
    <w:p>
      <w:pPr>
        <w:adjustRightInd w:val="0"/>
        <w:snapToGrid w:val="0"/>
        <w:ind w:firstLine="480" w:firstLineChars="200"/>
        <w:rPr>
          <w:rFonts w:ascii="宋体" w:hAnsi="宋体" w:cs="Arial"/>
          <w:sz w:val="24"/>
          <w:szCs w:val="24"/>
        </w:rPr>
      </w:pPr>
      <w:r>
        <w:rPr>
          <w:rFonts w:hint="eastAsia" w:ascii="宋体" w:hAnsi="宋体" w:cs="Arial"/>
          <w:sz w:val="24"/>
          <w:szCs w:val="24"/>
        </w:rPr>
        <w:t>2、本项目服务时间为</w:t>
      </w:r>
      <w:r>
        <w:rPr>
          <w:rFonts w:ascii="宋体" w:hAnsi="宋体" w:cs="Arial"/>
          <w:sz w:val="24"/>
          <w:szCs w:val="24"/>
        </w:rPr>
        <w:t>7</w:t>
      </w:r>
      <w:r>
        <w:rPr>
          <w:rFonts w:hint="eastAsia" w:ascii="宋体" w:hAnsi="宋体" w:cs="Arial"/>
          <w:sz w:val="24"/>
          <w:szCs w:val="24"/>
        </w:rPr>
        <w:t>×</w:t>
      </w:r>
      <w:r>
        <w:rPr>
          <w:rFonts w:ascii="宋体" w:hAnsi="宋体" w:cs="Arial"/>
          <w:sz w:val="24"/>
          <w:szCs w:val="24"/>
        </w:rPr>
        <w:t>24</w:t>
      </w:r>
      <w:r>
        <w:rPr>
          <w:rFonts w:hint="eastAsia" w:ascii="宋体" w:hAnsi="宋体" w:cs="Arial"/>
          <w:sz w:val="24"/>
          <w:szCs w:val="24"/>
        </w:rPr>
        <w:t>小时，投标人须拟派专门人员</w:t>
      </w:r>
      <w:r>
        <w:rPr>
          <w:rFonts w:ascii="宋体" w:hAnsi="宋体" w:cs="Arial"/>
          <w:sz w:val="24"/>
          <w:szCs w:val="24"/>
        </w:rPr>
        <w:t>7</w:t>
      </w:r>
      <w:r>
        <w:rPr>
          <w:rFonts w:hint="eastAsia" w:ascii="宋体" w:hAnsi="宋体" w:cs="Arial"/>
          <w:sz w:val="24"/>
          <w:szCs w:val="24"/>
        </w:rPr>
        <w:t>×</w:t>
      </w:r>
      <w:r>
        <w:rPr>
          <w:rFonts w:ascii="宋体" w:hAnsi="宋体" w:cs="Arial"/>
          <w:sz w:val="24"/>
          <w:szCs w:val="24"/>
        </w:rPr>
        <w:t>24</w:t>
      </w:r>
      <w:r>
        <w:rPr>
          <w:rFonts w:hint="eastAsia" w:ascii="宋体" w:hAnsi="宋体" w:cs="Arial"/>
          <w:sz w:val="24"/>
          <w:szCs w:val="24"/>
        </w:rPr>
        <w:t>小时实时与采购方沟通，供货响应20分钟内，院内打印机或耗材出现故障时需20分钟内到达现场，并在1个小时内处理完成。如特殊情况可以与采购方另行协商，取得采购方同意后再供货。若投标人存在多次沟通不及时或未在规定时间内送货上门，采购方有权终止合同。</w:t>
      </w:r>
    </w:p>
    <w:p>
      <w:pPr>
        <w:adjustRightInd w:val="0"/>
        <w:snapToGrid w:val="0"/>
        <w:ind w:firstLine="480" w:firstLineChars="200"/>
        <w:rPr>
          <w:rFonts w:ascii="宋体" w:hAnsi="宋体" w:cs="Arial"/>
          <w:sz w:val="24"/>
          <w:szCs w:val="24"/>
        </w:rPr>
      </w:pPr>
      <w:r>
        <w:rPr>
          <w:rFonts w:hint="eastAsia" w:ascii="宋体" w:hAnsi="宋体" w:cs="Arial"/>
          <w:sz w:val="24"/>
          <w:szCs w:val="24"/>
        </w:rPr>
        <w:t>二、其它要求：</w:t>
      </w:r>
    </w:p>
    <w:p>
      <w:pPr>
        <w:adjustRightInd w:val="0"/>
        <w:snapToGrid w:val="0"/>
        <w:ind w:firstLine="480" w:firstLineChars="200"/>
        <w:rPr>
          <w:rFonts w:ascii="宋体" w:hAnsi="宋体" w:cs="Arial"/>
          <w:sz w:val="24"/>
          <w:szCs w:val="24"/>
        </w:rPr>
      </w:pPr>
      <w:r>
        <w:rPr>
          <w:rFonts w:hint="eastAsia" w:ascii="宋体" w:hAnsi="宋体" w:cs="Arial"/>
          <w:sz w:val="24"/>
          <w:szCs w:val="24"/>
        </w:rPr>
        <w:t>1、服务承诺使用本次招标耗材的打印机提供免费维修和维护只收取配件费用直到合同期满或打印机报废。耗材提供商负责院内打印机的维修、维护工作等打印机故障报修处理此项服务不另行收费，服务时间7*24小时接受报修处理，报修响应时间20分钟。</w:t>
      </w:r>
    </w:p>
    <w:p>
      <w:pPr>
        <w:adjustRightInd w:val="0"/>
        <w:snapToGrid w:val="0"/>
        <w:ind w:firstLine="480" w:firstLineChars="200"/>
        <w:rPr>
          <w:rFonts w:ascii="宋体" w:hAnsi="宋体" w:cs="Arial"/>
          <w:sz w:val="24"/>
          <w:szCs w:val="24"/>
        </w:rPr>
      </w:pPr>
      <w:r>
        <w:rPr>
          <w:rFonts w:hint="eastAsia" w:ascii="宋体" w:hAnsi="宋体" w:cs="Arial"/>
          <w:sz w:val="24"/>
          <w:szCs w:val="24"/>
        </w:rPr>
        <w:t>2、报价提供原装耗材的价格及代用品牌的价格。所报的原装品牌均要求原厂原装正品产品需与打印机品牌相一致（不包括促销装或组合装），代用品牌需在投标文件中应详细说明所提供产品的品牌型号。</w:t>
      </w:r>
    </w:p>
    <w:p>
      <w:pPr>
        <w:adjustRightInd w:val="0"/>
        <w:snapToGrid w:val="0"/>
        <w:ind w:firstLine="480" w:firstLineChars="200"/>
        <w:rPr>
          <w:rFonts w:ascii="宋体" w:hAnsi="宋体" w:cs="Arial"/>
          <w:sz w:val="24"/>
          <w:szCs w:val="24"/>
        </w:rPr>
      </w:pPr>
      <w:r>
        <w:rPr>
          <w:rFonts w:hint="eastAsia" w:ascii="宋体" w:hAnsi="宋体" w:cs="Arial"/>
          <w:sz w:val="24"/>
          <w:szCs w:val="24"/>
        </w:rPr>
        <w:t>3、各投标供应商需分别计算出原装耗材总价、代用耗材总价及投标总价。投标总价</w:t>
      </w:r>
      <w:r>
        <w:rPr>
          <w:rFonts w:ascii="宋体" w:hAnsi="宋体" w:cs="Arial"/>
          <w:sz w:val="24"/>
          <w:szCs w:val="24"/>
        </w:rPr>
        <w:t>=</w:t>
      </w:r>
      <w:r>
        <w:rPr>
          <w:rFonts w:hint="eastAsia" w:ascii="宋体" w:hAnsi="宋体" w:cs="Arial"/>
          <w:sz w:val="24"/>
          <w:szCs w:val="24"/>
        </w:rPr>
        <w:t>原装（各耗材参考数量</w:t>
      </w:r>
      <w:r>
        <w:rPr>
          <w:rFonts w:ascii="宋体" w:hAnsi="宋体" w:cs="Arial"/>
          <w:sz w:val="24"/>
          <w:szCs w:val="24"/>
        </w:rPr>
        <w:t>*</w:t>
      </w:r>
      <w:r>
        <w:rPr>
          <w:rFonts w:hint="eastAsia" w:ascii="宋体" w:hAnsi="宋体" w:cs="Arial"/>
          <w:sz w:val="24"/>
          <w:szCs w:val="24"/>
        </w:rPr>
        <w:t>各耗材投标单价）及代用（各耗材参考数量</w:t>
      </w:r>
      <w:r>
        <w:rPr>
          <w:rFonts w:ascii="宋体" w:hAnsi="宋体" w:cs="Arial"/>
          <w:sz w:val="24"/>
          <w:szCs w:val="24"/>
        </w:rPr>
        <w:t>*</w:t>
      </w:r>
      <w:r>
        <w:rPr>
          <w:rFonts w:hint="eastAsia" w:ascii="宋体" w:hAnsi="宋体" w:cs="Arial"/>
          <w:sz w:val="24"/>
          <w:szCs w:val="24"/>
        </w:rPr>
        <w:t>各耗材投标单价）之和。</w:t>
      </w:r>
    </w:p>
    <w:p>
      <w:pPr>
        <w:adjustRightInd w:val="0"/>
        <w:snapToGrid w:val="0"/>
        <w:ind w:firstLine="480" w:firstLineChars="200"/>
        <w:rPr>
          <w:rFonts w:ascii="宋体" w:hAnsi="宋体" w:cs="Arial"/>
          <w:sz w:val="24"/>
          <w:szCs w:val="24"/>
        </w:rPr>
      </w:pPr>
      <w:r>
        <w:rPr>
          <w:rFonts w:hint="eastAsia" w:ascii="宋体" w:hAnsi="宋体" w:cs="Arial"/>
          <w:sz w:val="24"/>
          <w:szCs w:val="24"/>
        </w:rPr>
        <w:t>4、本次报价包含产品及备品配件、运费、安装费、人工费、材料费、管理费、风险费用、调试费、产品三包费用、规费及税金，并含产品相关保险、安装等人员意外伤害保险、施工安全文明措施费，以及相关检测、验收、技术培训、售后服务等完成本项目的所有费用。</w:t>
      </w:r>
    </w:p>
    <w:p>
      <w:pPr>
        <w:adjustRightInd w:val="0"/>
        <w:snapToGrid w:val="0"/>
        <w:ind w:firstLine="480" w:firstLineChars="200"/>
        <w:rPr>
          <w:rFonts w:ascii="宋体" w:hAnsi="宋体" w:cs="Arial"/>
          <w:sz w:val="24"/>
          <w:szCs w:val="24"/>
        </w:rPr>
      </w:pPr>
      <w:r>
        <w:rPr>
          <w:rFonts w:hint="eastAsia" w:ascii="宋体" w:hAnsi="宋体" w:cs="Arial"/>
          <w:sz w:val="24"/>
          <w:szCs w:val="24"/>
        </w:rPr>
        <w:t>5、采购科室负责人受理部门质量投诉的，一个月内如出现三次因中标人以假充真、以劣充优、以少充多，进货渠道非法、不规范、不正当，或者受贿、欺诈以及其他严重违约、违规、违法行为的投诉，情况属实的，采购方有权扣除当月所有</w:t>
      </w:r>
      <w:r>
        <w:rPr>
          <w:rFonts w:hint="eastAsia" w:ascii="宋体" w:hAnsi="宋体" w:cs="Arial"/>
          <w:color w:val="FF0000"/>
          <w:sz w:val="24"/>
          <w:szCs w:val="24"/>
        </w:rPr>
        <w:t>已</w:t>
      </w:r>
      <w:r>
        <w:rPr>
          <w:rFonts w:hint="eastAsia" w:ascii="宋体" w:hAnsi="宋体" w:cs="Arial"/>
          <w:sz w:val="24"/>
          <w:szCs w:val="24"/>
        </w:rPr>
        <w:t>供耗材的费用，连续两个月出现每月三次因耗材质量问题的投诉，采购方有权终止合同。</w:t>
      </w:r>
    </w:p>
    <w:p>
      <w:pPr>
        <w:pStyle w:val="16"/>
        <w:ind w:left="-708" w:leftChars="-337"/>
        <w:rPr>
          <w:rFonts w:cs="宋体"/>
          <w:b/>
          <w:bCs/>
          <w:color w:val="auto"/>
        </w:rPr>
      </w:pPr>
      <w:r>
        <w:rPr>
          <w:rFonts w:hint="eastAsia" w:cs="宋体"/>
          <w:b/>
          <w:bCs/>
          <w:color w:val="auto"/>
        </w:rPr>
        <w:t>（四）商务要求</w:t>
      </w:r>
    </w:p>
    <w:p>
      <w:pPr>
        <w:pStyle w:val="16"/>
        <w:ind w:left="-708" w:leftChars="-337"/>
        <w:rPr>
          <w:rFonts w:cs="宋体"/>
          <w:color w:val="auto"/>
        </w:rPr>
      </w:pPr>
      <w:r>
        <w:rPr>
          <w:rFonts w:hint="eastAsia" w:cs="宋体"/>
          <w:b/>
          <w:bCs/>
          <w:color w:val="auto"/>
        </w:rPr>
        <w:t xml:space="preserve">    1、投标人资格要求</w:t>
      </w:r>
    </w:p>
    <w:p>
      <w:pPr>
        <w:pStyle w:val="16"/>
        <w:ind w:left="-708" w:leftChars="-337" w:firstLine="480" w:firstLineChars="200"/>
        <w:rPr>
          <w:rFonts w:cs="宋体"/>
          <w:color w:val="auto"/>
        </w:rPr>
      </w:pPr>
      <w:r>
        <w:rPr>
          <w:rFonts w:hint="eastAsia" w:cs="宋体"/>
          <w:color w:val="auto"/>
        </w:rPr>
        <w:t>1）投标人为独立法人，并具备统一社会信用代码。</w:t>
      </w:r>
    </w:p>
    <w:p>
      <w:pPr>
        <w:pStyle w:val="16"/>
        <w:ind w:left="-708" w:leftChars="-337" w:firstLine="480" w:firstLineChars="200"/>
        <w:rPr>
          <w:rFonts w:cs="宋体"/>
          <w:color w:val="auto"/>
        </w:rPr>
      </w:pPr>
      <w:r>
        <w:rPr>
          <w:rFonts w:hint="eastAsia" w:cs="宋体"/>
          <w:color w:val="auto"/>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6"/>
        <w:ind w:left="-708" w:leftChars="-337" w:firstLine="480" w:firstLineChars="200"/>
        <w:rPr>
          <w:rFonts w:cs="宋体"/>
          <w:color w:val="auto"/>
        </w:rPr>
      </w:pPr>
      <w:r>
        <w:rPr>
          <w:rFonts w:hint="eastAsia" w:cs="宋体"/>
          <w:color w:val="auto"/>
        </w:rPr>
        <w:t>3）被列入我院投标人黑名单（在我院招投标活动中存在2次违规行为）未满3年的投标人将被拒绝其参与本次招投标活动。</w:t>
      </w:r>
    </w:p>
    <w:p>
      <w:pPr>
        <w:pStyle w:val="16"/>
        <w:ind w:left="-708" w:leftChars="-337" w:firstLine="480" w:firstLineChars="200"/>
        <w:rPr>
          <w:rFonts w:cs="宋体"/>
          <w:color w:val="auto"/>
        </w:rPr>
      </w:pPr>
      <w:r>
        <w:rPr>
          <w:rFonts w:hint="eastAsia" w:ascii="宋体" w:hAnsi="宋体" w:cs="宋体"/>
          <w:color w:val="auto"/>
        </w:rPr>
        <w:t>4）本项目不接收联合体投标</w:t>
      </w:r>
      <w:r>
        <w:rPr>
          <w:rFonts w:hint="eastAsia" w:cs="宋体"/>
          <w:color w:val="auto"/>
        </w:rPr>
        <w:t>。</w:t>
      </w:r>
    </w:p>
    <w:p>
      <w:pPr>
        <w:pStyle w:val="16"/>
        <w:ind w:left="-708" w:leftChars="-337"/>
        <w:rPr>
          <w:b/>
          <w:bCs/>
        </w:rPr>
      </w:pPr>
      <w:r>
        <w:rPr>
          <w:rFonts w:hint="eastAsia"/>
          <w:b/>
          <w:bCs/>
        </w:rPr>
        <w:t xml:space="preserve">    2、售后服务和资质</w:t>
      </w:r>
    </w:p>
    <w:p>
      <w:pPr>
        <w:pStyle w:val="27"/>
        <w:spacing w:line="460" w:lineRule="exact"/>
        <w:ind w:firstLine="0" w:firstLineChars="0"/>
        <w:rPr>
          <w:rFonts w:ascii="宋体" w:hAnsi="宋体" w:cs="Arial"/>
          <w:sz w:val="24"/>
          <w:szCs w:val="24"/>
        </w:rPr>
      </w:pPr>
      <w:r>
        <w:rPr>
          <w:rFonts w:hint="eastAsia" w:ascii="宋体" w:hAnsi="宋体" w:cs="Arial"/>
          <w:sz w:val="24"/>
          <w:szCs w:val="24"/>
        </w:rPr>
        <w:t>服务内容：</w:t>
      </w:r>
    </w:p>
    <w:p>
      <w:pPr>
        <w:pStyle w:val="27"/>
        <w:spacing w:line="460" w:lineRule="exact"/>
        <w:ind w:firstLine="480"/>
        <w:rPr>
          <w:rFonts w:ascii="宋体" w:hAnsi="宋体" w:cs="Arial"/>
          <w:sz w:val="24"/>
          <w:szCs w:val="24"/>
        </w:rPr>
      </w:pPr>
      <w:r>
        <w:rPr>
          <w:rFonts w:hint="eastAsia" w:ascii="宋体" w:hAnsi="宋体" w:cs="Arial"/>
          <w:sz w:val="24"/>
          <w:szCs w:val="24"/>
        </w:rPr>
        <w:t>1.当院方科室人员就打印机相关问题遇上不明之处，提出疑问时，供应商工作人员应耐心沟通、解释。</w:t>
      </w:r>
    </w:p>
    <w:p>
      <w:pPr>
        <w:pStyle w:val="27"/>
        <w:spacing w:line="460" w:lineRule="exact"/>
        <w:ind w:firstLine="480"/>
        <w:rPr>
          <w:rFonts w:ascii="宋体" w:hAnsi="宋体" w:cs="Arial"/>
          <w:sz w:val="24"/>
          <w:szCs w:val="24"/>
        </w:rPr>
      </w:pPr>
      <w:r>
        <w:rPr>
          <w:rFonts w:hint="eastAsia" w:ascii="宋体" w:hAnsi="宋体" w:cs="Arial"/>
          <w:sz w:val="24"/>
          <w:szCs w:val="24"/>
        </w:rPr>
        <w:t>2.供应商在院方科室更换耗材和维修配件所产生的送货单必须是四联单，并经过该科室主任或护士长签字同意认可方有效。</w:t>
      </w:r>
    </w:p>
    <w:p>
      <w:pPr>
        <w:pStyle w:val="27"/>
        <w:spacing w:line="460" w:lineRule="exact"/>
        <w:ind w:firstLine="480"/>
        <w:rPr>
          <w:rFonts w:ascii="宋体" w:hAnsi="宋体" w:cs="Arial"/>
          <w:color w:val="FF0000"/>
          <w:sz w:val="24"/>
          <w:szCs w:val="24"/>
        </w:rPr>
      </w:pPr>
      <w:r>
        <w:rPr>
          <w:rFonts w:hint="eastAsia" w:ascii="宋体" w:hAnsi="宋体" w:cs="Arial"/>
          <w:color w:val="FF0000"/>
          <w:sz w:val="24"/>
          <w:szCs w:val="24"/>
        </w:rPr>
        <w:t>3.加粉时要做好打印机内部漏粉和废粉的清洁，加碳粉后，要保障打印机/复印机效果和打印/复印数量。</w:t>
      </w:r>
    </w:p>
    <w:p>
      <w:pPr>
        <w:pStyle w:val="27"/>
        <w:spacing w:line="460" w:lineRule="exact"/>
        <w:ind w:firstLine="480"/>
        <w:rPr>
          <w:rFonts w:ascii="宋体" w:hAnsi="宋体" w:cs="Arial"/>
          <w:sz w:val="24"/>
          <w:szCs w:val="24"/>
        </w:rPr>
      </w:pPr>
      <w:r>
        <w:rPr>
          <w:rFonts w:hint="eastAsia" w:ascii="宋体" w:hAnsi="宋体" w:cs="Arial"/>
          <w:sz w:val="24"/>
          <w:szCs w:val="24"/>
        </w:rPr>
        <w:t>4.打印机维修耗材如因品牌及机型不同而造成价格不同的，需逐一列出进行报价。</w:t>
      </w:r>
    </w:p>
    <w:p>
      <w:pPr>
        <w:spacing w:line="460" w:lineRule="exact"/>
        <w:ind w:firstLine="480" w:firstLineChars="200"/>
        <w:rPr>
          <w:rFonts w:ascii="宋体" w:hAnsi="宋体" w:cs="Arial"/>
          <w:sz w:val="24"/>
          <w:szCs w:val="24"/>
        </w:rPr>
      </w:pPr>
      <w:r>
        <w:rPr>
          <w:rFonts w:hint="eastAsia" w:ascii="宋体" w:hAnsi="宋体" w:cs="Arial"/>
          <w:sz w:val="24"/>
          <w:szCs w:val="24"/>
        </w:rPr>
        <w:t>5.如服务期招标方需要的产品未在此次采购清单列表内，经双方协商价格后进行备案可纳入清单并供货，但投标方需作出承诺，备案价格不得虚报，一经发现，即可取消服务资格（提供承诺书）。</w:t>
      </w:r>
    </w:p>
    <w:p>
      <w:pPr>
        <w:adjustRightInd w:val="0"/>
        <w:snapToGrid w:val="0"/>
        <w:spacing w:line="380" w:lineRule="exact"/>
        <w:ind w:firstLine="480" w:firstLineChars="200"/>
        <w:rPr>
          <w:rFonts w:ascii="宋体" w:hAnsi="宋体" w:cs="Arial"/>
          <w:sz w:val="24"/>
          <w:szCs w:val="24"/>
        </w:rPr>
      </w:pPr>
      <w:r>
        <w:rPr>
          <w:rFonts w:hint="eastAsia" w:ascii="宋体" w:hAnsi="宋体" w:cs="Arial"/>
          <w:sz w:val="24"/>
          <w:szCs w:val="24"/>
        </w:rPr>
        <w:t>本次招标共一个项目包，不可拆分细项，不可漏项，投标人必须编制投标文件、密封投标文件、递交投标文件，招标人按一个项目开标、评标、选择中标人。</w:t>
      </w:r>
    </w:p>
    <w:p>
      <w:pPr>
        <w:widowControl/>
        <w:spacing w:line="360" w:lineRule="auto"/>
        <w:ind w:left="-710" w:leftChars="-338" w:firstLine="602" w:firstLineChars="250"/>
        <w:jc w:val="left"/>
        <w:rPr>
          <w:rFonts w:cs="宋体"/>
          <w:color w:val="FF0000"/>
          <w:kern w:val="0"/>
          <w:sz w:val="24"/>
          <w:szCs w:val="24"/>
          <w:u w:val="single"/>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10" w:leftChars="-338" w:firstLine="600" w:firstLineChars="25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15个</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、核心条件</w:t>
      </w:r>
    </w:p>
    <w:p>
      <w:pPr>
        <w:adjustRightInd w:val="0"/>
        <w:snapToGrid w:val="0"/>
        <w:rPr>
          <w:rFonts w:ascii="宋体" w:hAnsi="宋体" w:cs="Arial"/>
          <w:sz w:val="24"/>
          <w:szCs w:val="24"/>
        </w:rPr>
      </w:pPr>
      <w:r>
        <w:rPr>
          <w:rFonts w:hint="eastAsia" w:ascii="宋体" w:hAnsi="宋体" w:cs="Arial"/>
          <w:color w:val="FF0000"/>
          <w:sz w:val="24"/>
          <w:szCs w:val="24"/>
        </w:rPr>
        <w:t>★（一）</w:t>
      </w:r>
      <w:r>
        <w:rPr>
          <w:rFonts w:hint="eastAsia" w:ascii="宋体" w:hAnsi="宋体" w:cs="Arial"/>
          <w:sz w:val="24"/>
          <w:szCs w:val="24"/>
        </w:rPr>
        <w:t>本项目服务时间为</w:t>
      </w:r>
      <w:r>
        <w:rPr>
          <w:rFonts w:ascii="宋体" w:hAnsi="宋体" w:cs="Arial"/>
          <w:sz w:val="24"/>
          <w:szCs w:val="24"/>
        </w:rPr>
        <w:t>7</w:t>
      </w:r>
      <w:r>
        <w:rPr>
          <w:rFonts w:hint="eastAsia" w:ascii="宋体" w:hAnsi="宋体" w:cs="Arial"/>
          <w:sz w:val="24"/>
          <w:szCs w:val="24"/>
        </w:rPr>
        <w:t>×</w:t>
      </w:r>
      <w:r>
        <w:rPr>
          <w:rFonts w:ascii="宋体" w:hAnsi="宋体" w:cs="Arial"/>
          <w:sz w:val="24"/>
          <w:szCs w:val="24"/>
        </w:rPr>
        <w:t>24</w:t>
      </w:r>
      <w:r>
        <w:rPr>
          <w:rFonts w:hint="eastAsia" w:ascii="宋体" w:hAnsi="宋体" w:cs="Arial"/>
          <w:sz w:val="24"/>
          <w:szCs w:val="24"/>
        </w:rPr>
        <w:t>小时，投标人须拟派专门人员</w:t>
      </w:r>
      <w:r>
        <w:rPr>
          <w:rFonts w:ascii="宋体" w:hAnsi="宋体" w:cs="Arial"/>
          <w:sz w:val="24"/>
          <w:szCs w:val="24"/>
        </w:rPr>
        <w:t>7</w:t>
      </w:r>
      <w:r>
        <w:rPr>
          <w:rFonts w:hint="eastAsia" w:ascii="宋体" w:hAnsi="宋体" w:cs="Arial"/>
          <w:sz w:val="24"/>
          <w:szCs w:val="24"/>
        </w:rPr>
        <w:t>×</w:t>
      </w:r>
      <w:r>
        <w:rPr>
          <w:rFonts w:ascii="宋体" w:hAnsi="宋体" w:cs="Arial"/>
          <w:sz w:val="24"/>
          <w:szCs w:val="24"/>
        </w:rPr>
        <w:t>24</w:t>
      </w:r>
      <w:r>
        <w:rPr>
          <w:rFonts w:hint="eastAsia" w:ascii="宋体" w:hAnsi="宋体" w:cs="Arial"/>
          <w:sz w:val="24"/>
          <w:szCs w:val="24"/>
        </w:rPr>
        <w:t>小时实时与采购方沟通，供货响应20分钟内，院内打印机或耗材出现故障时需20分钟内到达现场，并在1个小时内处理完成。如特殊情况可以与采购方另行协商，取得采购方同意后再供货。若投标人存在多次沟通不及时或未在规定时间内送货上门，采购方有权终止合同。</w:t>
      </w:r>
    </w:p>
    <w:p>
      <w:pPr>
        <w:spacing w:line="360" w:lineRule="auto"/>
        <w:rPr>
          <w:rFonts w:ascii="宋体" w:hAnsi="宋体" w:cs="Arial"/>
          <w:sz w:val="24"/>
          <w:szCs w:val="24"/>
        </w:rPr>
      </w:pPr>
      <w:r>
        <w:rPr>
          <w:rFonts w:hint="eastAsia" w:ascii="宋体" w:hAnsi="宋体" w:cs="Arial"/>
          <w:color w:val="FF0000"/>
          <w:sz w:val="24"/>
          <w:szCs w:val="24"/>
        </w:rPr>
        <w:t>★（二）</w:t>
      </w:r>
      <w:r>
        <w:rPr>
          <w:rFonts w:hint="eastAsia" w:ascii="宋体" w:hAnsi="宋体" w:cs="Arial"/>
          <w:sz w:val="24"/>
          <w:szCs w:val="24"/>
        </w:rPr>
        <w:t>供方派驻的人员应驻守在医院（含节假日），服务时间为上午8:00至12:00，</w:t>
      </w:r>
      <w:r>
        <w:rPr>
          <w:rFonts w:hint="eastAsia" w:ascii="宋体" w:hAnsi="宋体" w:cs="Arial"/>
          <w:color w:val="FF0000"/>
          <w:sz w:val="24"/>
          <w:szCs w:val="24"/>
        </w:rPr>
        <w:t>下午15:00至18:00</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w:t>
      </w:r>
      <w:r>
        <w:rPr>
          <w:rFonts w:hint="eastAsia" w:cs="宋体"/>
          <w:color w:val="FF0000"/>
          <w:kern w:val="0"/>
          <w:sz w:val="24"/>
          <w:szCs w:val="24"/>
        </w:rPr>
        <w:t>招标管理办公室</w:t>
      </w:r>
      <w:r>
        <w:rPr>
          <w:rFonts w:hint="eastAsia" w:cs="宋体"/>
          <w:kern w:val="0"/>
          <w:sz w:val="24"/>
          <w:szCs w:val="24"/>
        </w:rPr>
        <w:t>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rFonts w:cs="宋体"/>
          <w:b/>
          <w:bCs/>
          <w:kern w:val="0"/>
          <w:sz w:val="38"/>
          <w:szCs w:val="38"/>
        </w:rPr>
      </w:pP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rPr>
        <w:t>最低价</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pStyle w:val="16"/>
        <w:ind w:firstLine="480" w:firstLineChars="200"/>
      </w:pPr>
      <w:r>
        <w:rPr>
          <w:rFonts w:hint="eastAsia"/>
        </w:rPr>
        <w:t>无</w:t>
      </w:r>
    </w:p>
    <w:p>
      <w:pPr>
        <w:widowControl/>
        <w:spacing w:line="360" w:lineRule="auto"/>
        <w:jc w:val="center"/>
        <w:rPr>
          <w:rFonts w:ascii="宋体" w:hAnsi="宋体" w:cs="宋体"/>
          <w:b/>
          <w:bCs/>
          <w:kern w:val="0"/>
        </w:rPr>
      </w:pPr>
    </w:p>
    <w:p>
      <w:pPr>
        <w:pStyle w:val="16"/>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hYTUyMTMxMGMwNWY4YTgxYzZiODIxMTMzY2EwNmIifQ=="/>
    <w:docVar w:name="KY_MEDREF_DOCUID" w:val="굤噀1440⎱"/>
    <w:docVar w:name="KY_MEDREF_VERSION" w:val="w:docVa"/>
  </w:docVars>
  <w:rsids>
    <w:rsidRoot w:val="004C7EB2"/>
    <w:rsid w:val="00007740"/>
    <w:rsid w:val="00062A3B"/>
    <w:rsid w:val="00066185"/>
    <w:rsid w:val="00080292"/>
    <w:rsid w:val="0008196D"/>
    <w:rsid w:val="00095D83"/>
    <w:rsid w:val="000A6C18"/>
    <w:rsid w:val="000B7E2D"/>
    <w:rsid w:val="000E1AA6"/>
    <w:rsid w:val="001578CF"/>
    <w:rsid w:val="00190A12"/>
    <w:rsid w:val="0019551F"/>
    <w:rsid w:val="001A75B5"/>
    <w:rsid w:val="00204183"/>
    <w:rsid w:val="00241CD6"/>
    <w:rsid w:val="002C41E6"/>
    <w:rsid w:val="002C7944"/>
    <w:rsid w:val="00366D9A"/>
    <w:rsid w:val="00374C59"/>
    <w:rsid w:val="003C3AB5"/>
    <w:rsid w:val="003C75D5"/>
    <w:rsid w:val="003D56B6"/>
    <w:rsid w:val="003E7DC1"/>
    <w:rsid w:val="00464D1C"/>
    <w:rsid w:val="00474079"/>
    <w:rsid w:val="004B5A28"/>
    <w:rsid w:val="004C7EB2"/>
    <w:rsid w:val="004D08F5"/>
    <w:rsid w:val="004D2825"/>
    <w:rsid w:val="004F5A76"/>
    <w:rsid w:val="005007DD"/>
    <w:rsid w:val="00523A29"/>
    <w:rsid w:val="005270A9"/>
    <w:rsid w:val="0058726C"/>
    <w:rsid w:val="005D491D"/>
    <w:rsid w:val="00654BC6"/>
    <w:rsid w:val="00684BD7"/>
    <w:rsid w:val="006B543C"/>
    <w:rsid w:val="006D2308"/>
    <w:rsid w:val="006E5543"/>
    <w:rsid w:val="00707A97"/>
    <w:rsid w:val="00726A13"/>
    <w:rsid w:val="007814EA"/>
    <w:rsid w:val="007A5910"/>
    <w:rsid w:val="007F6F70"/>
    <w:rsid w:val="00825B15"/>
    <w:rsid w:val="008553F8"/>
    <w:rsid w:val="008A5DC5"/>
    <w:rsid w:val="008D3A6F"/>
    <w:rsid w:val="009328A0"/>
    <w:rsid w:val="0093759B"/>
    <w:rsid w:val="009530DC"/>
    <w:rsid w:val="00997B89"/>
    <w:rsid w:val="009B56D8"/>
    <w:rsid w:val="009C3FA5"/>
    <w:rsid w:val="00A2105C"/>
    <w:rsid w:val="00A44D5C"/>
    <w:rsid w:val="00A63D2C"/>
    <w:rsid w:val="00A80A61"/>
    <w:rsid w:val="00A83F43"/>
    <w:rsid w:val="00AC0EA5"/>
    <w:rsid w:val="00B50B55"/>
    <w:rsid w:val="00B8409A"/>
    <w:rsid w:val="00BA3521"/>
    <w:rsid w:val="00C33384"/>
    <w:rsid w:val="00C762C8"/>
    <w:rsid w:val="00C835D3"/>
    <w:rsid w:val="00C97AD7"/>
    <w:rsid w:val="00CA2C00"/>
    <w:rsid w:val="00CC2DEE"/>
    <w:rsid w:val="00CD11E9"/>
    <w:rsid w:val="00CD217F"/>
    <w:rsid w:val="00CD27A2"/>
    <w:rsid w:val="00D265DC"/>
    <w:rsid w:val="00D2685D"/>
    <w:rsid w:val="00D41CB5"/>
    <w:rsid w:val="00D57065"/>
    <w:rsid w:val="00D903BF"/>
    <w:rsid w:val="00DB5864"/>
    <w:rsid w:val="00DB6F45"/>
    <w:rsid w:val="00DC2DF7"/>
    <w:rsid w:val="00DE1E1E"/>
    <w:rsid w:val="00E02E5C"/>
    <w:rsid w:val="00E14108"/>
    <w:rsid w:val="00E72BBE"/>
    <w:rsid w:val="00E81D54"/>
    <w:rsid w:val="00EB039E"/>
    <w:rsid w:val="00EB1C9B"/>
    <w:rsid w:val="00EC4D35"/>
    <w:rsid w:val="00ED5546"/>
    <w:rsid w:val="00EE6564"/>
    <w:rsid w:val="00F902D8"/>
    <w:rsid w:val="00F923EB"/>
    <w:rsid w:val="00FD25C4"/>
    <w:rsid w:val="00FD44A5"/>
    <w:rsid w:val="077C1C83"/>
    <w:rsid w:val="0BB12559"/>
    <w:rsid w:val="0C0149DC"/>
    <w:rsid w:val="0C8B0CD1"/>
    <w:rsid w:val="0C8B6EFD"/>
    <w:rsid w:val="0C9E047D"/>
    <w:rsid w:val="0CC05EEA"/>
    <w:rsid w:val="0E802E29"/>
    <w:rsid w:val="108F3D83"/>
    <w:rsid w:val="10C97A40"/>
    <w:rsid w:val="10DE42D3"/>
    <w:rsid w:val="122B15C9"/>
    <w:rsid w:val="12492171"/>
    <w:rsid w:val="12CF692A"/>
    <w:rsid w:val="14794695"/>
    <w:rsid w:val="197E5C0A"/>
    <w:rsid w:val="1AB14119"/>
    <w:rsid w:val="1BF368B8"/>
    <w:rsid w:val="1E1B7B7F"/>
    <w:rsid w:val="1F0C2535"/>
    <w:rsid w:val="1FF5205A"/>
    <w:rsid w:val="20407BC3"/>
    <w:rsid w:val="2218153E"/>
    <w:rsid w:val="238241FC"/>
    <w:rsid w:val="24B1410B"/>
    <w:rsid w:val="24EC650D"/>
    <w:rsid w:val="25D6720D"/>
    <w:rsid w:val="26062EC3"/>
    <w:rsid w:val="260D7B7B"/>
    <w:rsid w:val="262C6199"/>
    <w:rsid w:val="26431704"/>
    <w:rsid w:val="266C365A"/>
    <w:rsid w:val="2A251F29"/>
    <w:rsid w:val="2C7D5EC4"/>
    <w:rsid w:val="2E44559E"/>
    <w:rsid w:val="2FCB5243"/>
    <w:rsid w:val="3194337D"/>
    <w:rsid w:val="325F0175"/>
    <w:rsid w:val="34C447B5"/>
    <w:rsid w:val="36962256"/>
    <w:rsid w:val="36F866E1"/>
    <w:rsid w:val="3737378F"/>
    <w:rsid w:val="3806606D"/>
    <w:rsid w:val="39352A89"/>
    <w:rsid w:val="397701BE"/>
    <w:rsid w:val="3A46288C"/>
    <w:rsid w:val="3AC222AB"/>
    <w:rsid w:val="3BFA6D1B"/>
    <w:rsid w:val="3BFF3014"/>
    <w:rsid w:val="3C0E728C"/>
    <w:rsid w:val="3C794178"/>
    <w:rsid w:val="3C9A5982"/>
    <w:rsid w:val="3D5D3239"/>
    <w:rsid w:val="3F8769CB"/>
    <w:rsid w:val="405728EC"/>
    <w:rsid w:val="40716EE6"/>
    <w:rsid w:val="41366ED0"/>
    <w:rsid w:val="41890678"/>
    <w:rsid w:val="41BF166E"/>
    <w:rsid w:val="43A92006"/>
    <w:rsid w:val="44952AC5"/>
    <w:rsid w:val="44B9318B"/>
    <w:rsid w:val="45A83EF3"/>
    <w:rsid w:val="46BA3AAD"/>
    <w:rsid w:val="47636670"/>
    <w:rsid w:val="47B86DC8"/>
    <w:rsid w:val="482F2FA2"/>
    <w:rsid w:val="4A504A9B"/>
    <w:rsid w:val="4B9B6192"/>
    <w:rsid w:val="4DAB2CC6"/>
    <w:rsid w:val="4DCB3EC6"/>
    <w:rsid w:val="4E4A61B0"/>
    <w:rsid w:val="4EAF0F12"/>
    <w:rsid w:val="4F3D58C4"/>
    <w:rsid w:val="523812FC"/>
    <w:rsid w:val="52730525"/>
    <w:rsid w:val="52D61640"/>
    <w:rsid w:val="52D80399"/>
    <w:rsid w:val="54FD5B15"/>
    <w:rsid w:val="55A629CE"/>
    <w:rsid w:val="565D1B35"/>
    <w:rsid w:val="59190CA2"/>
    <w:rsid w:val="59C67DD6"/>
    <w:rsid w:val="5B956D07"/>
    <w:rsid w:val="5C8450CB"/>
    <w:rsid w:val="5C9C3F1C"/>
    <w:rsid w:val="5CFB672C"/>
    <w:rsid w:val="5D4464C7"/>
    <w:rsid w:val="5DA86032"/>
    <w:rsid w:val="5DF33EF8"/>
    <w:rsid w:val="5F65655C"/>
    <w:rsid w:val="609415B5"/>
    <w:rsid w:val="60B847DE"/>
    <w:rsid w:val="615D53B0"/>
    <w:rsid w:val="620B7A16"/>
    <w:rsid w:val="62565A43"/>
    <w:rsid w:val="632D110E"/>
    <w:rsid w:val="6336352B"/>
    <w:rsid w:val="637448EA"/>
    <w:rsid w:val="63955374"/>
    <w:rsid w:val="64FB6417"/>
    <w:rsid w:val="650D23B7"/>
    <w:rsid w:val="677F6F32"/>
    <w:rsid w:val="67C4179C"/>
    <w:rsid w:val="67E4014C"/>
    <w:rsid w:val="69A17E26"/>
    <w:rsid w:val="6A513DD5"/>
    <w:rsid w:val="6A843074"/>
    <w:rsid w:val="6B9D6CF3"/>
    <w:rsid w:val="6BF4154A"/>
    <w:rsid w:val="6D313433"/>
    <w:rsid w:val="6DD0797D"/>
    <w:rsid w:val="71227090"/>
    <w:rsid w:val="71754026"/>
    <w:rsid w:val="72FD52CD"/>
    <w:rsid w:val="748E31C9"/>
    <w:rsid w:val="74B5471E"/>
    <w:rsid w:val="76AF74C6"/>
    <w:rsid w:val="77E41C8F"/>
    <w:rsid w:val="77E80D46"/>
    <w:rsid w:val="77F76AF8"/>
    <w:rsid w:val="7A133B2A"/>
    <w:rsid w:val="7B3B368B"/>
    <w:rsid w:val="7C5A1D85"/>
    <w:rsid w:val="7CA915F3"/>
    <w:rsid w:val="7D103FB3"/>
    <w:rsid w:val="7FF84501"/>
    <w:rsid w:val="7FFC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
    <w:name w:val="annotation subject"/>
    <w:basedOn w:val="4"/>
    <w:next w:val="4"/>
    <w:link w:val="19"/>
    <w:semiHidden/>
    <w:unhideWhenUsed/>
    <w:qFormat/>
    <w:uiPriority w:val="99"/>
    <w:rPr>
      <w:b/>
      <w:bCs/>
    </w:rPr>
  </w:style>
  <w:style w:type="paragraph" w:styleId="4">
    <w:name w:val="annotation text"/>
    <w:basedOn w:val="1"/>
    <w:link w:val="18"/>
    <w:qFormat/>
    <w:uiPriority w:val="99"/>
    <w:pPr>
      <w:jc w:val="left"/>
    </w:pPr>
  </w:style>
  <w:style w:type="paragraph" w:styleId="5">
    <w:name w:val="Body Text"/>
    <w:basedOn w:val="1"/>
    <w:next w:val="6"/>
    <w:qFormat/>
    <w:uiPriority w:val="0"/>
    <w:rPr>
      <w:rFonts w:ascii="Calibri" w:eastAsia="Calibri"/>
      <w:b/>
      <w:spacing w:val="-8"/>
      <w:sz w:val="44"/>
    </w:rPr>
  </w:style>
  <w:style w:type="paragraph" w:styleId="6">
    <w:name w:val="Date"/>
    <w:basedOn w:val="1"/>
    <w:next w:val="1"/>
    <w:qFormat/>
    <w:uiPriority w:val="0"/>
    <w:pPr>
      <w:ind w:left="100" w:leftChars="2500"/>
    </w:pPr>
    <w:rPr>
      <w:rFonts w:ascii="宋体" w:hAnsi="Courier New"/>
      <w:bCs/>
      <w:kern w:val="0"/>
      <w:sz w:val="24"/>
      <w:szCs w:val="20"/>
    </w:rPr>
  </w:style>
  <w:style w:type="paragraph" w:styleId="7">
    <w:name w:val="Plain Text"/>
    <w:basedOn w:val="1"/>
    <w:link w:val="20"/>
    <w:qFormat/>
    <w:uiPriority w:val="99"/>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0"/>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13">
    <w:name w:val="annotation reference"/>
    <w:semiHidden/>
    <w:qFormat/>
    <w:uiPriority w:val="99"/>
    <w:rPr>
      <w:sz w:val="21"/>
      <w:szCs w:val="21"/>
    </w:rPr>
  </w:style>
  <w:style w:type="table" w:styleId="15">
    <w:name w:val="Table Grid"/>
    <w:basedOn w:val="1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批注文字 字符"/>
    <w:basedOn w:val="12"/>
    <w:qFormat/>
    <w:uiPriority w:val="99"/>
    <w:rPr>
      <w:rFonts w:ascii="Times New Roman" w:hAnsi="Times New Roman" w:eastAsia="宋体" w:cs="Times New Roman"/>
      <w:szCs w:val="21"/>
    </w:rPr>
  </w:style>
  <w:style w:type="character" w:customStyle="1" w:styleId="18">
    <w:name w:val="批注文字 Char"/>
    <w:link w:val="4"/>
    <w:semiHidden/>
    <w:qFormat/>
    <w:uiPriority w:val="99"/>
    <w:rPr>
      <w:rFonts w:ascii="Times New Roman" w:hAnsi="Times New Roman" w:eastAsia="宋体" w:cs="Times New Roman"/>
      <w:szCs w:val="21"/>
    </w:rPr>
  </w:style>
  <w:style w:type="character" w:customStyle="1" w:styleId="19">
    <w:name w:val="批注主题 Char"/>
    <w:basedOn w:val="18"/>
    <w:link w:val="3"/>
    <w:semiHidden/>
    <w:qFormat/>
    <w:uiPriority w:val="99"/>
    <w:rPr>
      <w:rFonts w:ascii="Times New Roman" w:hAnsi="Times New Roman" w:eastAsia="宋体" w:cs="Times New Roman"/>
      <w:b/>
      <w:bCs/>
      <w:szCs w:val="21"/>
    </w:rPr>
  </w:style>
  <w:style w:type="character" w:customStyle="1" w:styleId="20">
    <w:name w:val="纯文本 Char"/>
    <w:basedOn w:val="12"/>
    <w:link w:val="7"/>
    <w:qFormat/>
    <w:uiPriority w:val="99"/>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Char"/>
    <w:basedOn w:val="12"/>
    <w:link w:val="10"/>
    <w:qFormat/>
    <w:uiPriority w:val="99"/>
    <w:rPr>
      <w:rFonts w:ascii="Times New Roman" w:hAnsi="Times New Roman" w:eastAsia="宋体" w:cs="Times New Roman"/>
      <w:sz w:val="18"/>
      <w:szCs w:val="18"/>
    </w:rPr>
  </w:style>
  <w:style w:type="character" w:customStyle="1" w:styleId="24">
    <w:name w:val="页脚 Char"/>
    <w:basedOn w:val="12"/>
    <w:link w:val="9"/>
    <w:qFormat/>
    <w:uiPriority w:val="99"/>
    <w:rPr>
      <w:rFonts w:ascii="Times New Roman" w:hAnsi="Times New Roman" w:eastAsia="宋体" w:cs="Times New Roman"/>
      <w:sz w:val="18"/>
      <w:szCs w:val="18"/>
    </w:rPr>
  </w:style>
  <w:style w:type="character" w:styleId="25">
    <w:name w:val="Placeholder Text"/>
    <w:basedOn w:val="12"/>
    <w:semiHidden/>
    <w:qFormat/>
    <w:uiPriority w:val="99"/>
    <w:rPr>
      <w:color w:val="808080"/>
    </w:rPr>
  </w:style>
  <w:style w:type="paragraph" w:customStyle="1" w:styleId="26">
    <w:name w:val="样式1"/>
    <w:basedOn w:val="1"/>
    <w:qFormat/>
    <w:uiPriority w:val="0"/>
  </w:style>
  <w:style w:type="paragraph" w:styleId="27">
    <w:name w:val="List Paragraph"/>
    <w:basedOn w:val="1"/>
    <w:qFormat/>
    <w:uiPriority w:val="34"/>
    <w:pPr>
      <w:ind w:firstLine="420" w:firstLineChars="200"/>
    </w:pPr>
  </w:style>
  <w:style w:type="character" w:customStyle="1" w:styleId="28">
    <w:name w:val="批注框文本 Char"/>
    <w:basedOn w:val="12"/>
    <w:link w:val="8"/>
    <w:semiHidden/>
    <w:qFormat/>
    <w:uiPriority w:val="99"/>
    <w:rPr>
      <w:rFonts w:ascii="Times New Roman" w:hAnsi="Times New Roman"/>
      <w:kern w:val="2"/>
      <w:sz w:val="18"/>
      <w:szCs w:val="18"/>
    </w:rPr>
  </w:style>
  <w:style w:type="paragraph" w:customStyle="1" w:styleId="29">
    <w:name w:val="Other|1"/>
    <w:basedOn w:val="1"/>
    <w:qFormat/>
    <w:uiPriority w:val="0"/>
    <w:rPr>
      <w:rFonts w:ascii="Calibri" w:hAnsi="Calibri"/>
      <w:sz w:val="20"/>
      <w:szCs w:val="20"/>
      <w:lang w:val="zh-TW" w:eastAsia="zh-TW" w:bidi="zh-TW"/>
    </w:rPr>
  </w:style>
  <w:style w:type="character" w:customStyle="1" w:styleId="30">
    <w:name w:val="HTML 预设格式 Char"/>
    <w:basedOn w:val="12"/>
    <w:link w:val="11"/>
    <w:semiHidden/>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047FC0"/>
    <w:rsid w:val="00102898"/>
    <w:rsid w:val="001B2DBA"/>
    <w:rsid w:val="00205965"/>
    <w:rsid w:val="0048475D"/>
    <w:rsid w:val="00552732"/>
    <w:rsid w:val="006D7F00"/>
    <w:rsid w:val="007311C2"/>
    <w:rsid w:val="0080285A"/>
    <w:rsid w:val="008D14F2"/>
    <w:rsid w:val="008D1C8D"/>
    <w:rsid w:val="00AF338E"/>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3849A-F868-4308-88C4-098C380944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3358</Words>
  <Characters>3978</Characters>
  <Lines>31</Lines>
  <Paragraphs>8</Paragraphs>
  <TotalTime>0</TotalTime>
  <ScaleCrop>false</ScaleCrop>
  <LinksUpToDate>false</LinksUpToDate>
  <CharactersWithSpaces>4027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2024-10-20T08:13:14Z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BC6B623858AD4EF6B8932C9852D63447</vt:lpwstr>
  </property>
</Properties>
</file>