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94CD9">
      <w:pPr>
        <w:pStyle w:val="4"/>
        <w:spacing w:line="600" w:lineRule="exact"/>
        <w:jc w:val="center"/>
        <w:textAlignment w:val="baseline"/>
        <w:rPr>
          <w:rFonts w:ascii="Times New Roman" w:hAnsi="Times New Roman"/>
          <w:sz w:val="48"/>
          <w:szCs w:val="52"/>
        </w:rPr>
      </w:pPr>
    </w:p>
    <w:p w14:paraId="3854434B">
      <w:pPr>
        <w:pStyle w:val="4"/>
        <w:jc w:val="center"/>
        <w:textAlignment w:val="baseline"/>
        <w:rPr>
          <w:rFonts w:ascii="Times New Roman" w:hAnsi="Times New Roman"/>
          <w:b/>
          <w:sz w:val="84"/>
          <w:szCs w:val="84"/>
        </w:rPr>
      </w:pPr>
      <w:r>
        <w:rPr>
          <w:rFonts w:ascii="Times New Roman" w:hAnsi="Times New Roman"/>
          <w:b/>
          <w:sz w:val="84"/>
          <w:szCs w:val="84"/>
        </w:rPr>
        <w:t>采 购 合 同</w:t>
      </w:r>
    </w:p>
    <w:p w14:paraId="361DDEF1">
      <w:pPr>
        <w:pStyle w:val="4"/>
        <w:spacing w:line="276" w:lineRule="auto"/>
        <w:textAlignment w:val="baseline"/>
        <w:rPr>
          <w:rFonts w:ascii="Times New Roman" w:hAnsi="Times New Roman"/>
        </w:rPr>
      </w:pPr>
    </w:p>
    <w:p w14:paraId="26AC5288">
      <w:pPr>
        <w:pStyle w:val="4"/>
        <w:spacing w:line="276" w:lineRule="auto"/>
        <w:textAlignment w:val="baseline"/>
        <w:rPr>
          <w:rFonts w:ascii="Times New Roman" w:hAnsi="Times New Roman"/>
        </w:rPr>
      </w:pPr>
    </w:p>
    <w:p w14:paraId="1DC2AA3D">
      <w:pPr>
        <w:pStyle w:val="4"/>
        <w:spacing w:line="276" w:lineRule="auto"/>
        <w:textAlignment w:val="baseline"/>
        <w:rPr>
          <w:rFonts w:ascii="Times New Roman" w:hAnsi="Times New Roman"/>
        </w:rPr>
      </w:pPr>
    </w:p>
    <w:p w14:paraId="425D9CF2">
      <w:pPr>
        <w:pStyle w:val="4"/>
        <w:spacing w:line="276" w:lineRule="auto"/>
        <w:textAlignment w:val="baseline"/>
        <w:rPr>
          <w:rFonts w:ascii="Times New Roman" w:hAnsi="Times New Roman"/>
        </w:rPr>
      </w:pPr>
    </w:p>
    <w:p w14:paraId="5B096BC6">
      <w:pPr>
        <w:pStyle w:val="4"/>
        <w:spacing w:line="600" w:lineRule="exact"/>
        <w:ind w:left="1677" w:leftChars="337" w:hanging="969" w:hangingChars="303"/>
        <w:textAlignment w:val="baseline"/>
        <w:rPr>
          <w:rFonts w:ascii="Times New Roman" w:hAnsi="Times New Roman"/>
          <w:sz w:val="32"/>
          <w:szCs w:val="36"/>
        </w:rPr>
      </w:pPr>
      <w:r>
        <w:rPr>
          <w:rFonts w:ascii="Times New Roman" w:hAnsi="Times New Roman"/>
          <w:sz w:val="32"/>
          <w:szCs w:val="36"/>
        </w:rPr>
        <w:t>合同名称：</w:t>
      </w:r>
      <w:r>
        <w:rPr>
          <w:rFonts w:hint="eastAsia" w:ascii="Times New Roman" w:hAnsi="Times New Roman"/>
          <w:sz w:val="32"/>
          <w:szCs w:val="36"/>
          <w:u w:val="single" w:color="000000"/>
        </w:rPr>
        <w:t>广西桂东人民医院贺州两分院打印机配件及耗材采购项目</w:t>
      </w:r>
    </w:p>
    <w:p w14:paraId="3486F017">
      <w:pPr>
        <w:pStyle w:val="4"/>
        <w:spacing w:line="600" w:lineRule="exact"/>
        <w:ind w:left="1677" w:leftChars="337" w:hanging="969" w:hangingChars="303"/>
        <w:textAlignment w:val="baseline"/>
        <w:rPr>
          <w:rFonts w:ascii="Times New Roman" w:hAnsi="Times New Roman"/>
          <w:sz w:val="32"/>
          <w:szCs w:val="36"/>
        </w:rPr>
      </w:pPr>
      <w:r>
        <w:rPr>
          <w:rFonts w:ascii="Times New Roman" w:hAnsi="Times New Roman"/>
          <w:sz w:val="32"/>
          <w:szCs w:val="36"/>
        </w:rPr>
        <w:t>合同编号：</w:t>
      </w:r>
      <w:r>
        <w:rPr>
          <w:rFonts w:hint="eastAsia" w:ascii="Times New Roman" w:hAnsi="Times New Roman"/>
          <w:sz w:val="32"/>
          <w:szCs w:val="36"/>
          <w:u w:val="single" w:color="000000"/>
          <w:lang w:val="en-US" w:eastAsia="zh-CN"/>
        </w:rPr>
        <w:t xml:space="preserve">          </w:t>
      </w:r>
      <w:r>
        <w:rPr>
          <w:rFonts w:hint="eastAsia" w:ascii="Times New Roman" w:hAnsi="Times New Roman"/>
          <w:sz w:val="32"/>
          <w:szCs w:val="36"/>
          <w:u w:val="single" w:color="000000"/>
        </w:rPr>
        <w:t xml:space="preserve">  </w:t>
      </w:r>
    </w:p>
    <w:p w14:paraId="31CBE945">
      <w:pPr>
        <w:pStyle w:val="4"/>
        <w:spacing w:line="276" w:lineRule="auto"/>
        <w:ind w:left="1344" w:leftChars="337" w:hanging="636" w:hangingChars="303"/>
        <w:textAlignment w:val="baseline"/>
        <w:rPr>
          <w:rFonts w:ascii="Times New Roman" w:hAnsi="Times New Roman"/>
        </w:rPr>
      </w:pPr>
    </w:p>
    <w:p w14:paraId="32311BCC">
      <w:pPr>
        <w:pStyle w:val="4"/>
        <w:spacing w:line="276" w:lineRule="auto"/>
        <w:ind w:left="1344" w:leftChars="337" w:hanging="636" w:hangingChars="303"/>
        <w:textAlignment w:val="baseline"/>
        <w:rPr>
          <w:rFonts w:ascii="Times New Roman" w:hAnsi="Times New Roman"/>
        </w:rPr>
      </w:pPr>
    </w:p>
    <w:p w14:paraId="297D2FF1">
      <w:pPr>
        <w:pStyle w:val="4"/>
        <w:spacing w:line="276" w:lineRule="auto"/>
        <w:ind w:left="1344" w:leftChars="337" w:hanging="636" w:hangingChars="303"/>
        <w:textAlignment w:val="baseline"/>
        <w:rPr>
          <w:rFonts w:ascii="Times New Roman" w:hAnsi="Times New Roman"/>
        </w:rPr>
      </w:pPr>
    </w:p>
    <w:p w14:paraId="671D2438">
      <w:pPr>
        <w:pStyle w:val="4"/>
        <w:spacing w:line="600" w:lineRule="exact"/>
        <w:ind w:left="1677" w:leftChars="337" w:hanging="969" w:hangingChars="303"/>
        <w:textAlignment w:val="baseline"/>
        <w:rPr>
          <w:rFonts w:ascii="Times New Roman" w:hAnsi="Times New Roman"/>
          <w:sz w:val="32"/>
          <w:szCs w:val="36"/>
        </w:rPr>
      </w:pPr>
      <w:r>
        <w:rPr>
          <w:rFonts w:ascii="Times New Roman" w:hAnsi="Times New Roman"/>
          <w:sz w:val="32"/>
          <w:szCs w:val="36"/>
        </w:rPr>
        <w:t>采购单位（甲方）：</w:t>
      </w:r>
      <w:r>
        <w:rPr>
          <w:rFonts w:hint="eastAsia" w:ascii="Times New Roman" w:hAnsi="Times New Roman"/>
          <w:sz w:val="32"/>
          <w:szCs w:val="36"/>
          <w:u w:val="single" w:color="000000"/>
        </w:rPr>
        <w:t>贺州市八步区人民医院</w:t>
      </w:r>
    </w:p>
    <w:p w14:paraId="0BF5CE7E">
      <w:pPr>
        <w:pStyle w:val="4"/>
        <w:spacing w:line="600" w:lineRule="exact"/>
        <w:ind w:left="1677" w:leftChars="337" w:hanging="969" w:hangingChars="303"/>
        <w:textAlignment w:val="baseline"/>
        <w:rPr>
          <w:rFonts w:ascii="Times New Roman" w:hAnsi="Times New Roman"/>
          <w:sz w:val="32"/>
          <w:szCs w:val="36"/>
        </w:rPr>
      </w:pPr>
      <w:r>
        <w:rPr>
          <w:rFonts w:ascii="Times New Roman" w:hAnsi="Times New Roman"/>
          <w:sz w:val="32"/>
          <w:szCs w:val="36"/>
        </w:rPr>
        <w:t>供应商（乙方）：</w:t>
      </w:r>
      <w:r>
        <w:rPr>
          <w:rFonts w:hint="eastAsia" w:ascii="Times New Roman" w:hAnsi="Times New Roman"/>
          <w:sz w:val="32"/>
          <w:szCs w:val="36"/>
        </w:rPr>
        <w:t xml:space="preserve">  </w:t>
      </w:r>
      <w:r>
        <w:rPr>
          <w:rFonts w:hint="eastAsia" w:ascii="Times New Roman" w:hAnsi="Times New Roman"/>
          <w:sz w:val="32"/>
          <w:szCs w:val="36"/>
          <w:u w:val="single" w:color="000000"/>
          <w:lang w:val="en-US" w:eastAsia="zh-CN"/>
        </w:rPr>
        <w:t xml:space="preserve">                    </w:t>
      </w:r>
    </w:p>
    <w:p w14:paraId="0A7F0456">
      <w:pPr>
        <w:pStyle w:val="4"/>
        <w:spacing w:line="276" w:lineRule="auto"/>
        <w:ind w:left="630" w:leftChars="300"/>
        <w:textAlignment w:val="baseline"/>
        <w:rPr>
          <w:rFonts w:ascii="Times New Roman" w:hAnsi="Times New Roman"/>
          <w:sz w:val="18"/>
          <w:szCs w:val="36"/>
        </w:rPr>
      </w:pPr>
    </w:p>
    <w:p w14:paraId="70801A4A">
      <w:pPr>
        <w:pStyle w:val="4"/>
        <w:spacing w:line="276" w:lineRule="auto"/>
        <w:ind w:left="630" w:leftChars="300"/>
        <w:textAlignment w:val="baseline"/>
        <w:rPr>
          <w:rFonts w:ascii="Times New Roman" w:hAnsi="Times New Roman"/>
          <w:sz w:val="18"/>
          <w:szCs w:val="36"/>
        </w:rPr>
      </w:pPr>
    </w:p>
    <w:p w14:paraId="7C263A43">
      <w:pPr>
        <w:pStyle w:val="4"/>
        <w:spacing w:line="276" w:lineRule="auto"/>
        <w:ind w:left="630" w:leftChars="300"/>
        <w:textAlignment w:val="baseline"/>
        <w:rPr>
          <w:rFonts w:ascii="Times New Roman" w:hAnsi="Times New Roman"/>
          <w:sz w:val="18"/>
          <w:szCs w:val="36"/>
        </w:rPr>
      </w:pPr>
    </w:p>
    <w:p w14:paraId="13FAC09F">
      <w:pPr>
        <w:pStyle w:val="4"/>
        <w:spacing w:line="276" w:lineRule="auto"/>
        <w:ind w:left="630" w:leftChars="300"/>
        <w:textAlignment w:val="baseline"/>
        <w:rPr>
          <w:rFonts w:ascii="Times New Roman" w:hAnsi="Times New Roman"/>
          <w:sz w:val="18"/>
          <w:szCs w:val="36"/>
        </w:rPr>
      </w:pPr>
    </w:p>
    <w:p w14:paraId="5E636C18">
      <w:pPr>
        <w:pStyle w:val="4"/>
        <w:spacing w:line="276" w:lineRule="auto"/>
        <w:ind w:left="630" w:leftChars="300"/>
        <w:textAlignment w:val="baseline"/>
        <w:rPr>
          <w:rFonts w:ascii="Times New Roman" w:hAnsi="Times New Roman"/>
          <w:sz w:val="18"/>
          <w:szCs w:val="36"/>
        </w:rPr>
      </w:pPr>
    </w:p>
    <w:p w14:paraId="05893E51">
      <w:pPr>
        <w:pStyle w:val="4"/>
        <w:spacing w:line="276" w:lineRule="auto"/>
        <w:ind w:left="630" w:leftChars="300"/>
        <w:textAlignment w:val="baseline"/>
        <w:rPr>
          <w:rFonts w:ascii="Times New Roman" w:hAnsi="Times New Roman"/>
          <w:sz w:val="18"/>
          <w:szCs w:val="36"/>
        </w:rPr>
      </w:pPr>
    </w:p>
    <w:p w14:paraId="01976A3B">
      <w:pPr>
        <w:pStyle w:val="4"/>
        <w:spacing w:line="276" w:lineRule="auto"/>
        <w:ind w:left="630" w:leftChars="300"/>
        <w:textAlignment w:val="baseline"/>
        <w:rPr>
          <w:rFonts w:ascii="Times New Roman" w:hAnsi="Times New Roman"/>
          <w:sz w:val="18"/>
          <w:szCs w:val="36"/>
        </w:rPr>
      </w:pPr>
    </w:p>
    <w:p w14:paraId="0FC5859C">
      <w:pPr>
        <w:pStyle w:val="4"/>
        <w:spacing w:line="600" w:lineRule="exact"/>
        <w:ind w:left="630" w:leftChars="300" w:firstLine="2880" w:firstLineChars="900"/>
        <w:textAlignment w:val="baseline"/>
        <w:rPr>
          <w:rFonts w:ascii="Times New Roman" w:hAnsi="Times New Roman"/>
          <w:sz w:val="32"/>
          <w:szCs w:val="36"/>
        </w:rPr>
      </w:pPr>
      <w:r>
        <w:rPr>
          <w:rFonts w:ascii="Times New Roman" w:hAnsi="Times New Roman"/>
          <w:sz w:val="32"/>
          <w:szCs w:val="36"/>
        </w:rPr>
        <w:t>签订地点：</w:t>
      </w:r>
      <w:r>
        <w:rPr>
          <w:rFonts w:hint="eastAsia" w:ascii="仿宋" w:hAnsi="仿宋" w:eastAsia="仿宋" w:cs="仿宋"/>
          <w:color w:val="auto"/>
          <w:sz w:val="32"/>
          <w:szCs w:val="32"/>
        </w:rPr>
        <w:t>贺州市八步区人民医院</w:t>
      </w:r>
    </w:p>
    <w:p w14:paraId="54543A8C">
      <w:pPr>
        <w:pStyle w:val="4"/>
        <w:spacing w:line="600" w:lineRule="exact"/>
        <w:ind w:left="630" w:leftChars="300"/>
        <w:jc w:val="center"/>
        <w:textAlignment w:val="baseline"/>
        <w:rPr>
          <w:rFonts w:hAnsi="宋体"/>
          <w:bCs/>
          <w:sz w:val="32"/>
          <w:szCs w:val="32"/>
        </w:rPr>
        <w:sectPr>
          <w:footerReference r:id="rId3" w:type="default"/>
          <w:pgSz w:w="11906" w:h="16838"/>
          <w:pgMar w:top="1134" w:right="1134" w:bottom="1134" w:left="1134" w:header="851" w:footer="992" w:gutter="0"/>
          <w:cols w:space="425" w:num="1"/>
          <w:docGrid w:type="lines" w:linePitch="312" w:charSpace="0"/>
        </w:sectPr>
      </w:pPr>
      <w:r>
        <w:rPr>
          <w:rFonts w:ascii="Times New Roman" w:hAnsi="Times New Roman"/>
          <w:sz w:val="32"/>
          <w:szCs w:val="36"/>
        </w:rPr>
        <w:t>签订时间：</w:t>
      </w:r>
      <w:r>
        <w:rPr>
          <w:rFonts w:hint="eastAsia" w:ascii="Times New Roman" w:hAnsi="Times New Roman"/>
          <w:sz w:val="32"/>
          <w:szCs w:val="36"/>
          <w:u w:val="single" w:color="000000"/>
        </w:rPr>
        <w:t>2024年  月</w:t>
      </w:r>
    </w:p>
    <w:p w14:paraId="6927FED9">
      <w:pPr>
        <w:snapToGrid w:val="0"/>
        <w:spacing w:line="40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广西桂东人民医院贺州两分院打印机配件及耗材采购项目合同</w:t>
      </w:r>
    </w:p>
    <w:p w14:paraId="64E9FF64">
      <w:pPr>
        <w:snapToGrid w:val="0"/>
        <w:spacing w:line="400" w:lineRule="exact"/>
        <w:ind w:firstLine="480" w:firstLineChars="200"/>
        <w:rPr>
          <w:rFonts w:ascii="仿宋" w:hAnsi="仿宋" w:eastAsia="仿宋" w:cs="仿宋"/>
          <w:color w:val="000000"/>
          <w:sz w:val="24"/>
          <w:szCs w:val="24"/>
        </w:rPr>
      </w:pPr>
    </w:p>
    <w:tbl>
      <w:tblPr>
        <w:tblStyle w:val="10"/>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7"/>
        <w:gridCol w:w="4927"/>
      </w:tblGrid>
      <w:tr w14:paraId="108C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27" w:type="dxa"/>
          </w:tcPr>
          <w:p w14:paraId="7144E00E">
            <w:pPr>
              <w:keepNext w:val="0"/>
              <w:keepLines w:val="0"/>
              <w:suppressLineNumbers w:val="0"/>
              <w:spacing w:before="0" w:beforeAutospacing="0" w:after="0" w:afterAutospacing="0" w:line="400" w:lineRule="exact"/>
              <w:ind w:left="0" w:right="0"/>
              <w:textAlignment w:val="baseline"/>
              <w:rPr>
                <w:rFonts w:hint="default" w:ascii="仿宋" w:hAnsi="仿宋" w:eastAsia="仿宋" w:cs="仿宋"/>
              </w:rPr>
            </w:pPr>
            <w:r>
              <w:rPr>
                <w:rFonts w:hint="eastAsia" w:ascii="仿宋" w:hAnsi="仿宋" w:eastAsia="仿宋" w:cs="仿宋"/>
              </w:rPr>
              <w:t xml:space="preserve">采购计划号： </w:t>
            </w:r>
          </w:p>
        </w:tc>
        <w:tc>
          <w:tcPr>
            <w:tcW w:w="4927" w:type="dxa"/>
          </w:tcPr>
          <w:p w14:paraId="0E47F756">
            <w:pPr>
              <w:keepNext w:val="0"/>
              <w:keepLines w:val="0"/>
              <w:suppressLineNumbers w:val="0"/>
              <w:spacing w:before="0" w:beforeAutospacing="0" w:after="0" w:afterAutospacing="0" w:line="400" w:lineRule="exact"/>
              <w:ind w:left="0" w:right="0"/>
              <w:textAlignment w:val="baseline"/>
              <w:rPr>
                <w:rFonts w:hint="default" w:ascii="仿宋" w:hAnsi="仿宋" w:eastAsia="仿宋" w:cs="仿宋"/>
              </w:rPr>
            </w:pPr>
            <w:r>
              <w:rPr>
                <w:rFonts w:hint="eastAsia" w:ascii="仿宋" w:hAnsi="仿宋" w:eastAsia="仿宋" w:cs="仿宋"/>
              </w:rPr>
              <w:t xml:space="preserve">合同编号： </w:t>
            </w:r>
          </w:p>
        </w:tc>
      </w:tr>
      <w:tr w14:paraId="0B2F5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14:paraId="7C6B536D">
            <w:pPr>
              <w:keepNext w:val="0"/>
              <w:keepLines w:val="0"/>
              <w:suppressLineNumbers w:val="0"/>
              <w:spacing w:before="0" w:beforeAutospacing="0" w:after="0" w:afterAutospacing="0" w:line="400" w:lineRule="exact"/>
              <w:ind w:left="0" w:right="0"/>
              <w:textAlignment w:val="baseline"/>
              <w:rPr>
                <w:rFonts w:hint="default" w:ascii="仿宋" w:hAnsi="仿宋" w:eastAsia="仿宋" w:cs="仿宋"/>
              </w:rPr>
            </w:pPr>
            <w:r>
              <w:rPr>
                <w:rFonts w:hint="eastAsia" w:ascii="仿宋" w:hAnsi="仿宋" w:eastAsia="仿宋" w:cs="仿宋"/>
                <w:lang w:eastAsia="zh-CN"/>
              </w:rPr>
              <w:t>甲方</w:t>
            </w:r>
            <w:r>
              <w:rPr>
                <w:rFonts w:hint="eastAsia" w:ascii="仿宋" w:hAnsi="仿宋" w:eastAsia="仿宋" w:cs="仿宋"/>
              </w:rPr>
              <w:t>（甲方）：贺州市八步区人民医院</w:t>
            </w:r>
          </w:p>
        </w:tc>
        <w:tc>
          <w:tcPr>
            <w:tcW w:w="4927" w:type="dxa"/>
          </w:tcPr>
          <w:p w14:paraId="634C10D2">
            <w:pPr>
              <w:keepNext w:val="0"/>
              <w:keepLines w:val="0"/>
              <w:suppressLineNumbers w:val="0"/>
              <w:spacing w:before="0" w:beforeAutospacing="0" w:after="0" w:afterAutospacing="0" w:line="400" w:lineRule="exact"/>
              <w:ind w:left="0" w:right="0"/>
              <w:textAlignment w:val="baseline"/>
              <w:rPr>
                <w:rFonts w:hint="default" w:ascii="仿宋" w:hAnsi="仿宋" w:eastAsia="仿宋" w:cs="仿宋"/>
              </w:rPr>
            </w:pPr>
            <w:r>
              <w:rPr>
                <w:rFonts w:hint="eastAsia" w:ascii="仿宋" w:hAnsi="仿宋" w:eastAsia="仿宋" w:cs="仿宋"/>
              </w:rPr>
              <w:t>供应商（乙方）：</w:t>
            </w:r>
          </w:p>
        </w:tc>
      </w:tr>
      <w:tr w14:paraId="4E97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14:paraId="45AAED52">
            <w:pPr>
              <w:keepNext w:val="0"/>
              <w:keepLines w:val="0"/>
              <w:suppressLineNumbers w:val="0"/>
              <w:spacing w:before="0" w:beforeAutospacing="0" w:after="0" w:afterAutospacing="0" w:line="400" w:lineRule="exact"/>
              <w:ind w:left="0" w:right="0"/>
              <w:textAlignment w:val="baseline"/>
              <w:rPr>
                <w:rFonts w:hint="default" w:ascii="仿宋" w:hAnsi="仿宋" w:eastAsia="仿宋" w:cs="仿宋"/>
              </w:rPr>
            </w:pPr>
            <w:r>
              <w:rPr>
                <w:rFonts w:hint="eastAsia" w:ascii="仿宋" w:hAnsi="仿宋" w:eastAsia="仿宋" w:cs="仿宋"/>
              </w:rPr>
              <w:t>项目名称：广西桂东人民医院贺州两分院打印机配件及耗材采购项目</w:t>
            </w:r>
          </w:p>
        </w:tc>
        <w:tc>
          <w:tcPr>
            <w:tcW w:w="4927" w:type="dxa"/>
          </w:tcPr>
          <w:p w14:paraId="65C15020">
            <w:pPr>
              <w:keepNext w:val="0"/>
              <w:keepLines w:val="0"/>
              <w:suppressLineNumbers w:val="0"/>
              <w:spacing w:before="0" w:beforeAutospacing="0" w:after="0" w:afterAutospacing="0" w:line="400" w:lineRule="exact"/>
              <w:ind w:left="0" w:right="0"/>
              <w:textAlignment w:val="baseline"/>
              <w:rPr>
                <w:rFonts w:hint="default" w:ascii="仿宋" w:hAnsi="仿宋" w:eastAsia="仿宋" w:cs="仿宋"/>
              </w:rPr>
            </w:pPr>
            <w:r>
              <w:rPr>
                <w:rFonts w:hint="eastAsia" w:ascii="仿宋" w:hAnsi="仿宋" w:eastAsia="仿宋" w:cs="仿宋"/>
              </w:rPr>
              <w:t xml:space="preserve">项目编号： </w:t>
            </w:r>
          </w:p>
        </w:tc>
      </w:tr>
      <w:tr w14:paraId="5A98D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14:paraId="5D620F63">
            <w:pPr>
              <w:keepNext w:val="0"/>
              <w:keepLines w:val="0"/>
              <w:suppressLineNumbers w:val="0"/>
              <w:spacing w:before="0" w:beforeAutospacing="0" w:after="0" w:afterAutospacing="0" w:line="400" w:lineRule="exact"/>
              <w:ind w:left="0" w:right="0"/>
              <w:textAlignment w:val="baseline"/>
              <w:rPr>
                <w:rFonts w:hint="default" w:ascii="仿宋" w:hAnsi="仿宋" w:eastAsia="仿宋" w:cs="仿宋"/>
              </w:rPr>
            </w:pPr>
            <w:r>
              <w:rPr>
                <w:rFonts w:hint="eastAsia" w:ascii="仿宋" w:hAnsi="仿宋" w:eastAsia="仿宋" w:cs="仿宋"/>
              </w:rPr>
              <w:t>签订地点：</w:t>
            </w:r>
            <w:r>
              <w:rPr>
                <w:rFonts w:hint="eastAsia" w:ascii="仿宋" w:hAnsi="仿宋" w:eastAsia="仿宋" w:cs="仿宋"/>
                <w:color w:val="auto"/>
              </w:rPr>
              <w:t>贺州市八步区人民医院</w:t>
            </w:r>
          </w:p>
        </w:tc>
        <w:tc>
          <w:tcPr>
            <w:tcW w:w="4927" w:type="dxa"/>
          </w:tcPr>
          <w:p w14:paraId="5D52709F">
            <w:pPr>
              <w:keepNext w:val="0"/>
              <w:keepLines w:val="0"/>
              <w:suppressLineNumbers w:val="0"/>
              <w:spacing w:before="0" w:beforeAutospacing="0" w:after="0" w:afterAutospacing="0" w:line="400" w:lineRule="exact"/>
              <w:ind w:left="0" w:right="0"/>
              <w:textAlignment w:val="baseline"/>
              <w:rPr>
                <w:rFonts w:hint="default" w:ascii="仿宋" w:hAnsi="仿宋" w:eastAsia="仿宋" w:cs="仿宋"/>
              </w:rPr>
            </w:pPr>
            <w:r>
              <w:rPr>
                <w:rFonts w:hint="eastAsia" w:ascii="仿宋" w:hAnsi="仿宋" w:eastAsia="仿宋" w:cs="仿宋"/>
              </w:rPr>
              <w:t xml:space="preserve">签订时间：2024年 </w:t>
            </w:r>
            <w:r>
              <w:rPr>
                <w:rFonts w:hint="eastAsia" w:ascii="仿宋" w:hAnsi="仿宋" w:eastAsia="仿宋" w:cs="仿宋"/>
                <w:lang w:val="en-US" w:eastAsia="zh-CN"/>
              </w:rPr>
              <w:t xml:space="preserve"> </w:t>
            </w:r>
            <w:r>
              <w:rPr>
                <w:rFonts w:hint="eastAsia" w:ascii="仿宋" w:hAnsi="仿宋" w:eastAsia="仿宋" w:cs="仿宋"/>
              </w:rPr>
              <w:t xml:space="preserve"> 月   日</w:t>
            </w:r>
          </w:p>
        </w:tc>
      </w:tr>
    </w:tbl>
    <w:p w14:paraId="7A0B6279">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根据《中华人民共和国政府采购法》、《中华人民共和国民法典》等法律、法规规定，按照采购文件规定条款和中标供应商的投标文件承诺，甲乙双方签订本合同。</w:t>
      </w:r>
    </w:p>
    <w:p w14:paraId="0AA249E0">
      <w:pPr>
        <w:spacing w:line="400" w:lineRule="exact"/>
        <w:ind w:firstLine="482" w:firstLineChars="200"/>
        <w:textAlignment w:val="baseline"/>
        <w:rPr>
          <w:rFonts w:ascii="仿宋" w:hAnsi="仿宋" w:eastAsia="仿宋" w:cs="仿宋"/>
          <w:b/>
          <w:sz w:val="24"/>
          <w:szCs w:val="24"/>
        </w:rPr>
      </w:pPr>
      <w:r>
        <w:rPr>
          <w:rFonts w:hint="eastAsia" w:ascii="仿宋" w:hAnsi="仿宋" w:eastAsia="仿宋" w:cs="仿宋"/>
          <w:b/>
          <w:sz w:val="24"/>
          <w:szCs w:val="24"/>
          <w:lang w:eastAsia="zh-CN"/>
        </w:rPr>
        <w:t>一、</w:t>
      </w:r>
      <w:r>
        <w:rPr>
          <w:rFonts w:hint="eastAsia" w:ascii="仿宋" w:hAnsi="仿宋" w:eastAsia="仿宋" w:cs="仿宋"/>
          <w:b/>
          <w:sz w:val="24"/>
          <w:szCs w:val="24"/>
        </w:rPr>
        <w:t>第一条 合同标的</w:t>
      </w:r>
    </w:p>
    <w:p w14:paraId="34BE9C67">
      <w:pPr>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1.货物一览表</w:t>
      </w:r>
    </w:p>
    <w:tbl>
      <w:tblPr>
        <w:tblStyle w:val="9"/>
        <w:tblW w:w="9137" w:type="dxa"/>
        <w:tblInd w:w="11" w:type="dxa"/>
        <w:tblLayout w:type="fixed"/>
        <w:tblCellMar>
          <w:top w:w="0" w:type="dxa"/>
          <w:left w:w="108" w:type="dxa"/>
          <w:bottom w:w="0" w:type="dxa"/>
          <w:right w:w="108" w:type="dxa"/>
        </w:tblCellMar>
      </w:tblPr>
      <w:tblGrid>
        <w:gridCol w:w="966"/>
        <w:gridCol w:w="1416"/>
        <w:gridCol w:w="750"/>
        <w:gridCol w:w="1423"/>
        <w:gridCol w:w="1114"/>
        <w:gridCol w:w="3468"/>
      </w:tblGrid>
      <w:tr w14:paraId="7F1618AC">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544D7E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7FC305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商品名称</w:t>
            </w:r>
          </w:p>
        </w:tc>
        <w:tc>
          <w:tcPr>
            <w:tcW w:w="750" w:type="dxa"/>
            <w:tcBorders>
              <w:top w:val="single" w:color="000000" w:sz="4" w:space="0"/>
              <w:left w:val="single" w:color="000000" w:sz="4" w:space="0"/>
              <w:bottom w:val="single" w:color="000000" w:sz="4" w:space="0"/>
              <w:right w:val="single" w:color="000000" w:sz="4" w:space="0"/>
            </w:tcBorders>
            <w:vAlign w:val="center"/>
          </w:tcPr>
          <w:p w14:paraId="110849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单位</w:t>
            </w:r>
          </w:p>
        </w:tc>
        <w:tc>
          <w:tcPr>
            <w:tcW w:w="1423" w:type="dxa"/>
            <w:tcBorders>
              <w:top w:val="single" w:color="000000" w:sz="4" w:space="0"/>
              <w:left w:val="single" w:color="000000" w:sz="4" w:space="0"/>
              <w:bottom w:val="single" w:color="000000" w:sz="4" w:space="0"/>
              <w:right w:val="single" w:color="000000" w:sz="4" w:space="0"/>
            </w:tcBorders>
            <w:vAlign w:val="center"/>
          </w:tcPr>
          <w:p w14:paraId="3CA219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品牌</w:t>
            </w:r>
          </w:p>
        </w:tc>
        <w:tc>
          <w:tcPr>
            <w:tcW w:w="1114" w:type="dxa"/>
            <w:tcBorders>
              <w:top w:val="single" w:color="000000" w:sz="4" w:space="0"/>
              <w:left w:val="single" w:color="000000" w:sz="4" w:space="0"/>
              <w:bottom w:val="single" w:color="000000" w:sz="4" w:space="0"/>
              <w:right w:val="single" w:color="000000" w:sz="4" w:space="0"/>
            </w:tcBorders>
            <w:vAlign w:val="center"/>
          </w:tcPr>
          <w:p w14:paraId="744BBE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CN"/>
              </w:rPr>
              <w:t>单价</w:t>
            </w:r>
            <w:r>
              <w:rPr>
                <w:rFonts w:hint="eastAsia" w:ascii="仿宋" w:hAnsi="仿宋" w:eastAsia="仿宋" w:cs="仿宋"/>
                <w:color w:val="000000"/>
                <w:kern w:val="0"/>
                <w:sz w:val="24"/>
                <w:szCs w:val="24"/>
              </w:rPr>
              <w:t>（元）</w:t>
            </w:r>
          </w:p>
        </w:tc>
        <w:tc>
          <w:tcPr>
            <w:tcW w:w="3468" w:type="dxa"/>
            <w:tcBorders>
              <w:top w:val="single" w:color="000000" w:sz="4" w:space="0"/>
              <w:left w:val="single" w:color="000000" w:sz="4" w:space="0"/>
              <w:bottom w:val="single" w:color="000000" w:sz="4" w:space="0"/>
              <w:right w:val="single" w:color="000000" w:sz="4" w:space="0"/>
            </w:tcBorders>
            <w:vAlign w:val="center"/>
          </w:tcPr>
          <w:p w14:paraId="0403BD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备注</w:t>
            </w:r>
          </w:p>
        </w:tc>
      </w:tr>
      <w:tr w14:paraId="599C6E29">
        <w:tblPrEx>
          <w:tblCellMar>
            <w:top w:w="0" w:type="dxa"/>
            <w:left w:w="108" w:type="dxa"/>
            <w:bottom w:w="0" w:type="dxa"/>
            <w:right w:w="108" w:type="dxa"/>
          </w:tblCellMar>
        </w:tblPrEx>
        <w:trPr>
          <w:trHeight w:val="551"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1BB4F4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416" w:type="dxa"/>
            <w:tcBorders>
              <w:top w:val="single" w:color="000000" w:sz="4" w:space="0"/>
              <w:left w:val="single" w:color="000000" w:sz="4" w:space="0"/>
              <w:bottom w:val="single" w:color="000000" w:sz="4" w:space="0"/>
              <w:right w:val="single" w:color="000000" w:sz="4" w:space="0"/>
            </w:tcBorders>
            <w:vAlign w:val="center"/>
          </w:tcPr>
          <w:p w14:paraId="3E4755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碳粉</w:t>
            </w:r>
          </w:p>
        </w:tc>
        <w:tc>
          <w:tcPr>
            <w:tcW w:w="750" w:type="dxa"/>
            <w:tcBorders>
              <w:top w:val="single" w:color="000000" w:sz="4" w:space="0"/>
              <w:left w:val="single" w:color="000000" w:sz="4" w:space="0"/>
              <w:bottom w:val="single" w:color="000000" w:sz="4" w:space="0"/>
              <w:right w:val="single" w:color="000000" w:sz="4" w:space="0"/>
            </w:tcBorders>
            <w:vAlign w:val="center"/>
          </w:tcPr>
          <w:p w14:paraId="6107C3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瓶</w:t>
            </w:r>
          </w:p>
        </w:tc>
        <w:tc>
          <w:tcPr>
            <w:tcW w:w="1423" w:type="dxa"/>
            <w:tcBorders>
              <w:top w:val="single" w:color="000000" w:sz="4" w:space="0"/>
              <w:left w:val="single" w:color="000000" w:sz="4" w:space="0"/>
              <w:bottom w:val="single" w:color="000000" w:sz="4" w:space="0"/>
              <w:right w:val="single" w:color="000000" w:sz="4" w:space="0"/>
            </w:tcBorders>
            <w:vAlign w:val="center"/>
          </w:tcPr>
          <w:p w14:paraId="681559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14:paraId="61E200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49F38D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适用于佳能、兄弟、惠普打印机</w:t>
            </w:r>
          </w:p>
        </w:tc>
      </w:tr>
      <w:tr w14:paraId="2DCC54D4">
        <w:tblPrEx>
          <w:tblCellMar>
            <w:top w:w="0" w:type="dxa"/>
            <w:left w:w="108" w:type="dxa"/>
            <w:bottom w:w="0" w:type="dxa"/>
            <w:right w:w="108" w:type="dxa"/>
          </w:tblCellMar>
        </w:tblPrEx>
        <w:trPr>
          <w:trHeight w:val="90"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044ECB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416" w:type="dxa"/>
            <w:tcBorders>
              <w:top w:val="single" w:color="000000" w:sz="4" w:space="0"/>
              <w:left w:val="single" w:color="000000" w:sz="4" w:space="0"/>
              <w:bottom w:val="single" w:color="000000" w:sz="4" w:space="0"/>
              <w:right w:val="single" w:color="000000" w:sz="4" w:space="0"/>
            </w:tcBorders>
            <w:vAlign w:val="center"/>
          </w:tcPr>
          <w:p w14:paraId="110FF8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硒鼓</w:t>
            </w:r>
          </w:p>
        </w:tc>
        <w:tc>
          <w:tcPr>
            <w:tcW w:w="750" w:type="dxa"/>
            <w:tcBorders>
              <w:top w:val="single" w:color="000000" w:sz="4" w:space="0"/>
              <w:left w:val="single" w:color="000000" w:sz="4" w:space="0"/>
              <w:bottom w:val="single" w:color="000000" w:sz="4" w:space="0"/>
              <w:right w:val="single" w:color="000000" w:sz="4" w:space="0"/>
            </w:tcBorders>
            <w:vAlign w:val="center"/>
          </w:tcPr>
          <w:p w14:paraId="08CC83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56BF99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14:paraId="4721CC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2E80B0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适用于目前医院在用的打印机/复印机</w:t>
            </w:r>
          </w:p>
        </w:tc>
      </w:tr>
      <w:tr w14:paraId="7BE58640">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7E5F69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416" w:type="dxa"/>
            <w:tcBorders>
              <w:top w:val="single" w:color="000000" w:sz="4" w:space="0"/>
              <w:left w:val="single" w:color="000000" w:sz="4" w:space="0"/>
              <w:bottom w:val="single" w:color="000000" w:sz="4" w:space="0"/>
              <w:right w:val="single" w:color="000000" w:sz="4" w:space="0"/>
            </w:tcBorders>
            <w:vAlign w:val="center"/>
          </w:tcPr>
          <w:p w14:paraId="1F2948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粉盒</w:t>
            </w:r>
          </w:p>
        </w:tc>
        <w:tc>
          <w:tcPr>
            <w:tcW w:w="750" w:type="dxa"/>
            <w:tcBorders>
              <w:top w:val="single" w:color="000000" w:sz="4" w:space="0"/>
              <w:left w:val="single" w:color="000000" w:sz="4" w:space="0"/>
              <w:bottom w:val="single" w:color="000000" w:sz="4" w:space="0"/>
              <w:right w:val="single" w:color="000000" w:sz="4" w:space="0"/>
            </w:tcBorders>
            <w:vAlign w:val="center"/>
          </w:tcPr>
          <w:p w14:paraId="368E7A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218076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14:paraId="353F80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14C630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适用于佳能、兄弟、惠普打印机</w:t>
            </w:r>
          </w:p>
        </w:tc>
      </w:tr>
      <w:tr w14:paraId="0FE448E4">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69A542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416" w:type="dxa"/>
            <w:tcBorders>
              <w:top w:val="single" w:color="000000" w:sz="4" w:space="0"/>
              <w:left w:val="single" w:color="000000" w:sz="4" w:space="0"/>
              <w:bottom w:val="single" w:color="000000" w:sz="4" w:space="0"/>
              <w:right w:val="single" w:color="000000" w:sz="4" w:space="0"/>
            </w:tcBorders>
            <w:vAlign w:val="center"/>
          </w:tcPr>
          <w:p w14:paraId="2DB433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鼓芯</w:t>
            </w:r>
          </w:p>
        </w:tc>
        <w:tc>
          <w:tcPr>
            <w:tcW w:w="750" w:type="dxa"/>
            <w:tcBorders>
              <w:top w:val="single" w:color="000000" w:sz="4" w:space="0"/>
              <w:left w:val="single" w:color="000000" w:sz="4" w:space="0"/>
              <w:bottom w:val="single" w:color="000000" w:sz="4" w:space="0"/>
              <w:right w:val="single" w:color="000000" w:sz="4" w:space="0"/>
            </w:tcBorders>
            <w:vAlign w:val="center"/>
          </w:tcPr>
          <w:p w14:paraId="64C981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143DCE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12DD79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317BDD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适用于佳能2900、2900+、HP1108</w:t>
            </w:r>
          </w:p>
        </w:tc>
      </w:tr>
      <w:tr w14:paraId="4FB45DDB">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04B85D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1416" w:type="dxa"/>
            <w:tcBorders>
              <w:top w:val="single" w:color="000000" w:sz="4" w:space="0"/>
              <w:left w:val="single" w:color="000000" w:sz="4" w:space="0"/>
              <w:bottom w:val="single" w:color="000000" w:sz="4" w:space="0"/>
              <w:right w:val="single" w:color="000000" w:sz="4" w:space="0"/>
            </w:tcBorders>
            <w:vAlign w:val="center"/>
          </w:tcPr>
          <w:p w14:paraId="1000DC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色带</w:t>
            </w:r>
          </w:p>
        </w:tc>
        <w:tc>
          <w:tcPr>
            <w:tcW w:w="750" w:type="dxa"/>
            <w:tcBorders>
              <w:top w:val="single" w:color="000000" w:sz="4" w:space="0"/>
              <w:left w:val="single" w:color="000000" w:sz="4" w:space="0"/>
              <w:bottom w:val="single" w:color="000000" w:sz="4" w:space="0"/>
              <w:right w:val="single" w:color="000000" w:sz="4" w:space="0"/>
            </w:tcBorders>
            <w:vAlign w:val="center"/>
          </w:tcPr>
          <w:p w14:paraId="012589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条</w:t>
            </w:r>
          </w:p>
        </w:tc>
        <w:tc>
          <w:tcPr>
            <w:tcW w:w="1423" w:type="dxa"/>
            <w:tcBorders>
              <w:top w:val="single" w:color="000000" w:sz="4" w:space="0"/>
              <w:left w:val="single" w:color="000000" w:sz="4" w:space="0"/>
              <w:bottom w:val="single" w:color="000000" w:sz="4" w:space="0"/>
              <w:right w:val="single" w:color="000000" w:sz="4" w:space="0"/>
            </w:tcBorders>
            <w:vAlign w:val="center"/>
          </w:tcPr>
          <w:p w14:paraId="6FACFC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高宝、德宝</w:t>
            </w:r>
          </w:p>
        </w:tc>
        <w:tc>
          <w:tcPr>
            <w:tcW w:w="1114" w:type="dxa"/>
            <w:tcBorders>
              <w:top w:val="single" w:color="000000" w:sz="4" w:space="0"/>
              <w:left w:val="single" w:color="000000" w:sz="4" w:space="0"/>
              <w:bottom w:val="single" w:color="000000" w:sz="4" w:space="0"/>
              <w:right w:val="single" w:color="000000" w:sz="4" w:space="0"/>
            </w:tcBorders>
            <w:vAlign w:val="center"/>
          </w:tcPr>
          <w:p w14:paraId="625D38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26BDFE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适用于LQ300K、LQ-82KF</w:t>
            </w:r>
          </w:p>
        </w:tc>
      </w:tr>
      <w:tr w14:paraId="015E40E3">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5A0468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1416" w:type="dxa"/>
            <w:tcBorders>
              <w:top w:val="single" w:color="000000" w:sz="4" w:space="0"/>
              <w:left w:val="single" w:color="000000" w:sz="4" w:space="0"/>
              <w:bottom w:val="single" w:color="000000" w:sz="4" w:space="0"/>
              <w:right w:val="single" w:color="000000" w:sz="4" w:space="0"/>
            </w:tcBorders>
            <w:vAlign w:val="center"/>
          </w:tcPr>
          <w:p w14:paraId="2EA204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刮板</w:t>
            </w:r>
          </w:p>
        </w:tc>
        <w:tc>
          <w:tcPr>
            <w:tcW w:w="750" w:type="dxa"/>
            <w:tcBorders>
              <w:top w:val="single" w:color="000000" w:sz="4" w:space="0"/>
              <w:left w:val="single" w:color="000000" w:sz="4" w:space="0"/>
              <w:bottom w:val="single" w:color="000000" w:sz="4" w:space="0"/>
              <w:right w:val="single" w:color="000000" w:sz="4" w:space="0"/>
            </w:tcBorders>
            <w:vAlign w:val="center"/>
          </w:tcPr>
          <w:p w14:paraId="003AE9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1785E9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4B0F1B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6F70FC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适用于佳能2900、2900+、HP1108</w:t>
            </w:r>
          </w:p>
        </w:tc>
      </w:tr>
      <w:tr w14:paraId="31922119">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0FE5D5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1416" w:type="dxa"/>
            <w:tcBorders>
              <w:top w:val="single" w:color="000000" w:sz="4" w:space="0"/>
              <w:left w:val="single" w:color="000000" w:sz="4" w:space="0"/>
              <w:bottom w:val="single" w:color="000000" w:sz="4" w:space="0"/>
              <w:right w:val="single" w:color="000000" w:sz="4" w:space="0"/>
            </w:tcBorders>
            <w:vAlign w:val="center"/>
          </w:tcPr>
          <w:p w14:paraId="4E8E63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定影组件</w:t>
            </w:r>
          </w:p>
        </w:tc>
        <w:tc>
          <w:tcPr>
            <w:tcW w:w="750" w:type="dxa"/>
            <w:tcBorders>
              <w:top w:val="single" w:color="000000" w:sz="4" w:space="0"/>
              <w:left w:val="single" w:color="000000" w:sz="4" w:space="0"/>
              <w:bottom w:val="single" w:color="000000" w:sz="4" w:space="0"/>
              <w:right w:val="single" w:color="000000" w:sz="4" w:space="0"/>
            </w:tcBorders>
            <w:vAlign w:val="center"/>
          </w:tcPr>
          <w:p w14:paraId="1557D9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1423" w:type="dxa"/>
            <w:tcBorders>
              <w:top w:val="single" w:color="000000" w:sz="4" w:space="0"/>
              <w:left w:val="single" w:color="000000" w:sz="4" w:space="0"/>
              <w:bottom w:val="single" w:color="000000" w:sz="4" w:space="0"/>
              <w:right w:val="single" w:color="000000" w:sz="4" w:space="0"/>
            </w:tcBorders>
            <w:vAlign w:val="center"/>
          </w:tcPr>
          <w:p w14:paraId="401F6D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7AA10B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456E90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适用于佳能2900、2900+、HP1108</w:t>
            </w:r>
          </w:p>
        </w:tc>
      </w:tr>
      <w:tr w14:paraId="1C8E4C87">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0D13E3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1416" w:type="dxa"/>
            <w:tcBorders>
              <w:top w:val="single" w:color="000000" w:sz="4" w:space="0"/>
              <w:left w:val="single" w:color="000000" w:sz="4" w:space="0"/>
              <w:bottom w:val="single" w:color="000000" w:sz="4" w:space="0"/>
              <w:right w:val="single" w:color="000000" w:sz="4" w:space="0"/>
            </w:tcBorders>
            <w:vAlign w:val="center"/>
          </w:tcPr>
          <w:p w14:paraId="4C94AC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搓纸轮</w:t>
            </w:r>
          </w:p>
        </w:tc>
        <w:tc>
          <w:tcPr>
            <w:tcW w:w="750" w:type="dxa"/>
            <w:tcBorders>
              <w:top w:val="single" w:color="000000" w:sz="4" w:space="0"/>
              <w:left w:val="single" w:color="000000" w:sz="4" w:space="0"/>
              <w:bottom w:val="single" w:color="000000" w:sz="4" w:space="0"/>
              <w:right w:val="single" w:color="000000" w:sz="4" w:space="0"/>
            </w:tcBorders>
            <w:vAlign w:val="center"/>
          </w:tcPr>
          <w:p w14:paraId="3BAAD5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5C9539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5FC002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721CAA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适用于佳能2900、2900+、HP1108</w:t>
            </w:r>
          </w:p>
        </w:tc>
      </w:tr>
      <w:tr w14:paraId="4BF30383">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ECB63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1416" w:type="dxa"/>
            <w:tcBorders>
              <w:top w:val="single" w:color="000000" w:sz="4" w:space="0"/>
              <w:left w:val="single" w:color="000000" w:sz="4" w:space="0"/>
              <w:bottom w:val="single" w:color="000000" w:sz="4" w:space="0"/>
              <w:right w:val="single" w:color="000000" w:sz="4" w:space="0"/>
            </w:tcBorders>
            <w:vAlign w:val="center"/>
          </w:tcPr>
          <w:p w14:paraId="0E8DE3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色带架</w:t>
            </w:r>
          </w:p>
        </w:tc>
        <w:tc>
          <w:tcPr>
            <w:tcW w:w="750" w:type="dxa"/>
            <w:tcBorders>
              <w:top w:val="single" w:color="000000" w:sz="4" w:space="0"/>
              <w:left w:val="single" w:color="000000" w:sz="4" w:space="0"/>
              <w:bottom w:val="single" w:color="000000" w:sz="4" w:space="0"/>
              <w:right w:val="single" w:color="000000" w:sz="4" w:space="0"/>
            </w:tcBorders>
            <w:vAlign w:val="center"/>
          </w:tcPr>
          <w:p w14:paraId="79D950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7C59DC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高宝、德宝</w:t>
            </w:r>
          </w:p>
        </w:tc>
        <w:tc>
          <w:tcPr>
            <w:tcW w:w="1114" w:type="dxa"/>
            <w:tcBorders>
              <w:top w:val="single" w:color="000000" w:sz="4" w:space="0"/>
              <w:left w:val="single" w:color="000000" w:sz="4" w:space="0"/>
              <w:bottom w:val="single" w:color="000000" w:sz="4" w:space="0"/>
              <w:right w:val="single" w:color="000000" w:sz="4" w:space="0"/>
            </w:tcBorders>
            <w:vAlign w:val="center"/>
          </w:tcPr>
          <w:p w14:paraId="76B383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58DB24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适用于LQ300K、LQ-82KF</w:t>
            </w:r>
          </w:p>
        </w:tc>
      </w:tr>
      <w:tr w14:paraId="6E823C85">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5B7881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1416" w:type="dxa"/>
            <w:tcBorders>
              <w:top w:val="single" w:color="000000" w:sz="4" w:space="0"/>
              <w:left w:val="single" w:color="000000" w:sz="4" w:space="0"/>
              <w:bottom w:val="single" w:color="000000" w:sz="4" w:space="0"/>
              <w:right w:val="single" w:color="000000" w:sz="4" w:space="0"/>
            </w:tcBorders>
            <w:vAlign w:val="center"/>
          </w:tcPr>
          <w:p w14:paraId="15C4FB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彩色碳粉</w:t>
            </w:r>
          </w:p>
        </w:tc>
        <w:tc>
          <w:tcPr>
            <w:tcW w:w="750" w:type="dxa"/>
            <w:tcBorders>
              <w:top w:val="single" w:color="000000" w:sz="4" w:space="0"/>
              <w:left w:val="single" w:color="000000" w:sz="4" w:space="0"/>
              <w:bottom w:val="single" w:color="000000" w:sz="4" w:space="0"/>
              <w:right w:val="single" w:color="000000" w:sz="4" w:space="0"/>
            </w:tcBorders>
            <w:vAlign w:val="center"/>
          </w:tcPr>
          <w:p w14:paraId="1F411B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w:t>
            </w:r>
          </w:p>
        </w:tc>
        <w:tc>
          <w:tcPr>
            <w:tcW w:w="1423" w:type="dxa"/>
            <w:tcBorders>
              <w:top w:val="single" w:color="000000" w:sz="4" w:space="0"/>
              <w:left w:val="single" w:color="000000" w:sz="4" w:space="0"/>
              <w:bottom w:val="single" w:color="000000" w:sz="4" w:space="0"/>
              <w:right w:val="single" w:color="000000" w:sz="4" w:space="0"/>
            </w:tcBorders>
            <w:vAlign w:val="center"/>
          </w:tcPr>
          <w:p w14:paraId="63C637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0FB91F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2792DE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适用于佳能imageRUNNER ADVANCEDX C3926</w:t>
            </w:r>
          </w:p>
        </w:tc>
      </w:tr>
      <w:tr w14:paraId="1BFCDCE2">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679687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1416" w:type="dxa"/>
            <w:tcBorders>
              <w:top w:val="single" w:color="000000" w:sz="4" w:space="0"/>
              <w:left w:val="single" w:color="000000" w:sz="4" w:space="0"/>
              <w:bottom w:val="single" w:color="000000" w:sz="4" w:space="0"/>
              <w:right w:val="single" w:color="000000" w:sz="4" w:space="0"/>
            </w:tcBorders>
            <w:vAlign w:val="center"/>
          </w:tcPr>
          <w:p w14:paraId="57DC70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鼓架</w:t>
            </w:r>
          </w:p>
        </w:tc>
        <w:tc>
          <w:tcPr>
            <w:tcW w:w="750" w:type="dxa"/>
            <w:tcBorders>
              <w:top w:val="single" w:color="000000" w:sz="4" w:space="0"/>
              <w:left w:val="single" w:color="000000" w:sz="4" w:space="0"/>
              <w:bottom w:val="single" w:color="000000" w:sz="4" w:space="0"/>
              <w:right w:val="single" w:color="000000" w:sz="4" w:space="0"/>
            </w:tcBorders>
            <w:vAlign w:val="center"/>
          </w:tcPr>
          <w:p w14:paraId="37C946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73E8C2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14:paraId="54C678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22E955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适用于兄弟打印机</w:t>
            </w:r>
          </w:p>
        </w:tc>
      </w:tr>
      <w:tr w14:paraId="487BE520">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2D7C39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1416" w:type="dxa"/>
            <w:tcBorders>
              <w:top w:val="single" w:color="000000" w:sz="4" w:space="0"/>
              <w:left w:val="single" w:color="000000" w:sz="4" w:space="0"/>
              <w:bottom w:val="single" w:color="000000" w:sz="4" w:space="0"/>
              <w:right w:val="single" w:color="000000" w:sz="4" w:space="0"/>
            </w:tcBorders>
            <w:vAlign w:val="center"/>
          </w:tcPr>
          <w:p w14:paraId="4E9454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彩色硒鼓</w:t>
            </w:r>
          </w:p>
        </w:tc>
        <w:tc>
          <w:tcPr>
            <w:tcW w:w="750" w:type="dxa"/>
            <w:tcBorders>
              <w:top w:val="single" w:color="000000" w:sz="4" w:space="0"/>
              <w:left w:val="single" w:color="000000" w:sz="4" w:space="0"/>
              <w:bottom w:val="single" w:color="000000" w:sz="4" w:space="0"/>
              <w:right w:val="single" w:color="000000" w:sz="4" w:space="0"/>
            </w:tcBorders>
            <w:vAlign w:val="center"/>
          </w:tcPr>
          <w:p w14:paraId="0976D0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4ABA84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14:paraId="5B48CB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454113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适用于佳能image CLASS LBP623cdn、LBP623dn</w:t>
            </w:r>
          </w:p>
        </w:tc>
      </w:tr>
      <w:tr w14:paraId="696FFC4A">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05607E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1416" w:type="dxa"/>
            <w:tcBorders>
              <w:top w:val="single" w:color="000000" w:sz="4" w:space="0"/>
              <w:left w:val="single" w:color="000000" w:sz="4" w:space="0"/>
              <w:bottom w:val="single" w:color="000000" w:sz="4" w:space="0"/>
              <w:right w:val="single" w:color="000000" w:sz="4" w:space="0"/>
            </w:tcBorders>
            <w:vAlign w:val="center"/>
          </w:tcPr>
          <w:p w14:paraId="27C199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磁棍</w:t>
            </w:r>
          </w:p>
        </w:tc>
        <w:tc>
          <w:tcPr>
            <w:tcW w:w="750" w:type="dxa"/>
            <w:tcBorders>
              <w:top w:val="single" w:color="000000" w:sz="4" w:space="0"/>
              <w:left w:val="single" w:color="000000" w:sz="4" w:space="0"/>
              <w:bottom w:val="single" w:color="000000" w:sz="4" w:space="0"/>
              <w:right w:val="single" w:color="000000" w:sz="4" w:space="0"/>
            </w:tcBorders>
            <w:vAlign w:val="center"/>
          </w:tcPr>
          <w:p w14:paraId="1ABE24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194083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4618A9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52109C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适用于佳能2900、2900+、HP1108</w:t>
            </w:r>
          </w:p>
        </w:tc>
      </w:tr>
      <w:tr w14:paraId="40EBD6D5">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6CECE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1416" w:type="dxa"/>
            <w:tcBorders>
              <w:top w:val="single" w:color="000000" w:sz="4" w:space="0"/>
              <w:left w:val="single" w:color="000000" w:sz="4" w:space="0"/>
              <w:bottom w:val="single" w:color="000000" w:sz="4" w:space="0"/>
              <w:right w:val="single" w:color="000000" w:sz="4" w:space="0"/>
            </w:tcBorders>
            <w:vAlign w:val="center"/>
          </w:tcPr>
          <w:p w14:paraId="2379D9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上棍</w:t>
            </w:r>
          </w:p>
        </w:tc>
        <w:tc>
          <w:tcPr>
            <w:tcW w:w="750" w:type="dxa"/>
            <w:tcBorders>
              <w:top w:val="single" w:color="000000" w:sz="4" w:space="0"/>
              <w:left w:val="single" w:color="000000" w:sz="4" w:space="0"/>
              <w:bottom w:val="single" w:color="000000" w:sz="4" w:space="0"/>
              <w:right w:val="single" w:color="000000" w:sz="4" w:space="0"/>
            </w:tcBorders>
            <w:vAlign w:val="center"/>
          </w:tcPr>
          <w:p w14:paraId="237BCC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3C45CD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006EFF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4B9C59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适用于佳能2900、2900+、HP1108</w:t>
            </w:r>
          </w:p>
        </w:tc>
      </w:tr>
      <w:tr w14:paraId="347AA39D">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1B1AD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1416" w:type="dxa"/>
            <w:tcBorders>
              <w:top w:val="single" w:color="000000" w:sz="4" w:space="0"/>
              <w:left w:val="single" w:color="000000" w:sz="4" w:space="0"/>
              <w:bottom w:val="single" w:color="000000" w:sz="4" w:space="0"/>
              <w:right w:val="single" w:color="000000" w:sz="4" w:space="0"/>
            </w:tcBorders>
            <w:vAlign w:val="center"/>
          </w:tcPr>
          <w:p w14:paraId="70CAC0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扫描头</w:t>
            </w:r>
          </w:p>
        </w:tc>
        <w:tc>
          <w:tcPr>
            <w:tcW w:w="750" w:type="dxa"/>
            <w:tcBorders>
              <w:top w:val="single" w:color="000000" w:sz="4" w:space="0"/>
              <w:left w:val="single" w:color="000000" w:sz="4" w:space="0"/>
              <w:bottom w:val="single" w:color="000000" w:sz="4" w:space="0"/>
              <w:right w:val="single" w:color="000000" w:sz="4" w:space="0"/>
            </w:tcBorders>
            <w:vAlign w:val="center"/>
          </w:tcPr>
          <w:p w14:paraId="62A81A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23" w:type="dxa"/>
            <w:tcBorders>
              <w:top w:val="single" w:color="000000" w:sz="4" w:space="0"/>
              <w:left w:val="single" w:color="000000" w:sz="4" w:space="0"/>
              <w:bottom w:val="single" w:color="000000" w:sz="4" w:space="0"/>
              <w:right w:val="single" w:color="000000" w:sz="4" w:space="0"/>
            </w:tcBorders>
            <w:vAlign w:val="center"/>
          </w:tcPr>
          <w:p w14:paraId="413114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43945A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38C9B7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适用于目前医院在用的打印机/复印机</w:t>
            </w:r>
          </w:p>
        </w:tc>
      </w:tr>
      <w:tr w14:paraId="4F1401C4">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2C5564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1416" w:type="dxa"/>
            <w:tcBorders>
              <w:top w:val="single" w:color="000000" w:sz="4" w:space="0"/>
              <w:left w:val="single" w:color="000000" w:sz="4" w:space="0"/>
              <w:bottom w:val="single" w:color="000000" w:sz="4" w:space="0"/>
              <w:right w:val="single" w:color="000000" w:sz="4" w:space="0"/>
            </w:tcBorders>
            <w:vAlign w:val="center"/>
          </w:tcPr>
          <w:p w14:paraId="790EE7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激光器</w:t>
            </w:r>
          </w:p>
        </w:tc>
        <w:tc>
          <w:tcPr>
            <w:tcW w:w="750" w:type="dxa"/>
            <w:tcBorders>
              <w:top w:val="single" w:color="000000" w:sz="4" w:space="0"/>
              <w:left w:val="single" w:color="000000" w:sz="4" w:space="0"/>
              <w:bottom w:val="single" w:color="000000" w:sz="4" w:space="0"/>
              <w:right w:val="single" w:color="000000" w:sz="4" w:space="0"/>
            </w:tcBorders>
            <w:vAlign w:val="center"/>
          </w:tcPr>
          <w:p w14:paraId="3FA3F8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00781A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1C6FD5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2DB012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适用于佳能2900、2900+、HP1108</w:t>
            </w:r>
          </w:p>
        </w:tc>
      </w:tr>
      <w:tr w14:paraId="767DB9D9">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7E2D9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1416" w:type="dxa"/>
            <w:tcBorders>
              <w:top w:val="single" w:color="000000" w:sz="4" w:space="0"/>
              <w:left w:val="single" w:color="000000" w:sz="4" w:space="0"/>
              <w:bottom w:val="single" w:color="000000" w:sz="4" w:space="0"/>
              <w:right w:val="single" w:color="000000" w:sz="4" w:space="0"/>
            </w:tcBorders>
            <w:vAlign w:val="center"/>
          </w:tcPr>
          <w:p w14:paraId="72D15E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检测器</w:t>
            </w:r>
          </w:p>
        </w:tc>
        <w:tc>
          <w:tcPr>
            <w:tcW w:w="750" w:type="dxa"/>
            <w:tcBorders>
              <w:top w:val="single" w:color="000000" w:sz="4" w:space="0"/>
              <w:left w:val="single" w:color="000000" w:sz="4" w:space="0"/>
              <w:bottom w:val="single" w:color="000000" w:sz="4" w:space="0"/>
              <w:right w:val="single" w:color="000000" w:sz="4" w:space="0"/>
            </w:tcBorders>
            <w:vAlign w:val="center"/>
          </w:tcPr>
          <w:p w14:paraId="1BA809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0FB6A1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48FBE0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2CFFD6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适用于佳能2900、2900+、HP1108</w:t>
            </w:r>
          </w:p>
        </w:tc>
      </w:tr>
      <w:tr w14:paraId="1990E691">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5F1E6D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1416" w:type="dxa"/>
            <w:tcBorders>
              <w:top w:val="single" w:color="000000" w:sz="4" w:space="0"/>
              <w:left w:val="single" w:color="000000" w:sz="4" w:space="0"/>
              <w:bottom w:val="single" w:color="000000" w:sz="4" w:space="0"/>
              <w:right w:val="single" w:color="000000" w:sz="4" w:space="0"/>
            </w:tcBorders>
            <w:vAlign w:val="center"/>
          </w:tcPr>
          <w:p w14:paraId="6F2D1A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面盖</w:t>
            </w:r>
          </w:p>
        </w:tc>
        <w:tc>
          <w:tcPr>
            <w:tcW w:w="750" w:type="dxa"/>
            <w:tcBorders>
              <w:top w:val="single" w:color="000000" w:sz="4" w:space="0"/>
              <w:left w:val="single" w:color="000000" w:sz="4" w:space="0"/>
              <w:bottom w:val="single" w:color="000000" w:sz="4" w:space="0"/>
              <w:right w:val="single" w:color="000000" w:sz="4" w:space="0"/>
            </w:tcBorders>
            <w:vAlign w:val="center"/>
          </w:tcPr>
          <w:p w14:paraId="39D433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1423" w:type="dxa"/>
            <w:tcBorders>
              <w:top w:val="single" w:color="000000" w:sz="4" w:space="0"/>
              <w:left w:val="single" w:color="000000" w:sz="4" w:space="0"/>
              <w:bottom w:val="single" w:color="000000" w:sz="4" w:space="0"/>
              <w:right w:val="single" w:color="000000" w:sz="4" w:space="0"/>
            </w:tcBorders>
            <w:vAlign w:val="center"/>
          </w:tcPr>
          <w:p w14:paraId="0EEEBA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698D22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6F9E90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适用于佳能2900、2900+、HP1108</w:t>
            </w:r>
          </w:p>
        </w:tc>
      </w:tr>
      <w:tr w14:paraId="5081EA94">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0411BA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1416" w:type="dxa"/>
            <w:tcBorders>
              <w:top w:val="single" w:color="000000" w:sz="4" w:space="0"/>
              <w:left w:val="single" w:color="000000" w:sz="4" w:space="0"/>
              <w:bottom w:val="single" w:color="000000" w:sz="4" w:space="0"/>
              <w:right w:val="single" w:color="000000" w:sz="4" w:space="0"/>
            </w:tcBorders>
            <w:vAlign w:val="center"/>
          </w:tcPr>
          <w:p w14:paraId="44725B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主板</w:t>
            </w:r>
          </w:p>
        </w:tc>
        <w:tc>
          <w:tcPr>
            <w:tcW w:w="750" w:type="dxa"/>
            <w:tcBorders>
              <w:top w:val="single" w:color="000000" w:sz="4" w:space="0"/>
              <w:left w:val="single" w:color="000000" w:sz="4" w:space="0"/>
              <w:bottom w:val="single" w:color="000000" w:sz="4" w:space="0"/>
              <w:right w:val="single" w:color="000000" w:sz="4" w:space="0"/>
            </w:tcBorders>
            <w:vAlign w:val="center"/>
          </w:tcPr>
          <w:p w14:paraId="42310F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1423" w:type="dxa"/>
            <w:tcBorders>
              <w:top w:val="single" w:color="000000" w:sz="4" w:space="0"/>
              <w:left w:val="single" w:color="000000" w:sz="4" w:space="0"/>
              <w:bottom w:val="single" w:color="000000" w:sz="4" w:space="0"/>
              <w:right w:val="single" w:color="000000" w:sz="4" w:space="0"/>
            </w:tcBorders>
            <w:vAlign w:val="center"/>
          </w:tcPr>
          <w:p w14:paraId="435D7C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76973A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084C44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适用于佳能2900、2900+、HP1108</w:t>
            </w:r>
          </w:p>
        </w:tc>
      </w:tr>
      <w:tr w14:paraId="4D9819CD">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6552FF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1416" w:type="dxa"/>
            <w:tcBorders>
              <w:top w:val="single" w:color="000000" w:sz="4" w:space="0"/>
              <w:left w:val="single" w:color="000000" w:sz="4" w:space="0"/>
              <w:bottom w:val="single" w:color="000000" w:sz="4" w:space="0"/>
              <w:right w:val="single" w:color="000000" w:sz="4" w:space="0"/>
            </w:tcBorders>
            <w:vAlign w:val="center"/>
          </w:tcPr>
          <w:p w14:paraId="0C5EEE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手扭</w:t>
            </w:r>
          </w:p>
        </w:tc>
        <w:tc>
          <w:tcPr>
            <w:tcW w:w="750" w:type="dxa"/>
            <w:tcBorders>
              <w:top w:val="single" w:color="000000" w:sz="4" w:space="0"/>
              <w:left w:val="single" w:color="000000" w:sz="4" w:space="0"/>
              <w:bottom w:val="single" w:color="000000" w:sz="4" w:space="0"/>
              <w:right w:val="single" w:color="000000" w:sz="4" w:space="0"/>
            </w:tcBorders>
            <w:vAlign w:val="center"/>
          </w:tcPr>
          <w:p w14:paraId="5FAD6C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7DFBB2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爱普生</w:t>
            </w:r>
          </w:p>
        </w:tc>
        <w:tc>
          <w:tcPr>
            <w:tcW w:w="1114" w:type="dxa"/>
            <w:tcBorders>
              <w:top w:val="single" w:color="000000" w:sz="4" w:space="0"/>
              <w:left w:val="single" w:color="000000" w:sz="4" w:space="0"/>
              <w:bottom w:val="single" w:color="000000" w:sz="4" w:space="0"/>
              <w:right w:val="single" w:color="000000" w:sz="4" w:space="0"/>
            </w:tcBorders>
            <w:vAlign w:val="center"/>
          </w:tcPr>
          <w:p w14:paraId="3B4D25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533448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适用于LQ300KH、LQ-82KF</w:t>
            </w:r>
          </w:p>
        </w:tc>
      </w:tr>
      <w:tr w14:paraId="1CFDAA5F">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2495C5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1416" w:type="dxa"/>
            <w:tcBorders>
              <w:top w:val="single" w:color="000000" w:sz="4" w:space="0"/>
              <w:left w:val="single" w:color="000000" w:sz="4" w:space="0"/>
              <w:bottom w:val="single" w:color="000000" w:sz="4" w:space="0"/>
              <w:right w:val="single" w:color="000000" w:sz="4" w:space="0"/>
            </w:tcBorders>
            <w:vAlign w:val="center"/>
          </w:tcPr>
          <w:p w14:paraId="0A3A00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打印头</w:t>
            </w:r>
          </w:p>
        </w:tc>
        <w:tc>
          <w:tcPr>
            <w:tcW w:w="750" w:type="dxa"/>
            <w:tcBorders>
              <w:top w:val="single" w:color="000000" w:sz="4" w:space="0"/>
              <w:left w:val="single" w:color="000000" w:sz="4" w:space="0"/>
              <w:bottom w:val="single" w:color="000000" w:sz="4" w:space="0"/>
              <w:right w:val="single" w:color="000000" w:sz="4" w:space="0"/>
            </w:tcBorders>
            <w:vAlign w:val="center"/>
          </w:tcPr>
          <w:p w14:paraId="0D9420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3CDEA1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爱普生</w:t>
            </w:r>
          </w:p>
        </w:tc>
        <w:tc>
          <w:tcPr>
            <w:tcW w:w="1114" w:type="dxa"/>
            <w:tcBorders>
              <w:top w:val="single" w:color="000000" w:sz="4" w:space="0"/>
              <w:left w:val="single" w:color="000000" w:sz="4" w:space="0"/>
              <w:bottom w:val="single" w:color="000000" w:sz="4" w:space="0"/>
              <w:right w:val="single" w:color="000000" w:sz="4" w:space="0"/>
            </w:tcBorders>
            <w:vAlign w:val="center"/>
          </w:tcPr>
          <w:p w14:paraId="3861A3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760B08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适用于LQ300KH、LQ-82KF</w:t>
            </w:r>
          </w:p>
        </w:tc>
      </w:tr>
      <w:tr w14:paraId="6F2C3AA3">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7D811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1416" w:type="dxa"/>
            <w:tcBorders>
              <w:top w:val="single" w:color="000000" w:sz="4" w:space="0"/>
              <w:left w:val="single" w:color="000000" w:sz="4" w:space="0"/>
              <w:bottom w:val="single" w:color="000000" w:sz="4" w:space="0"/>
              <w:right w:val="single" w:color="000000" w:sz="4" w:space="0"/>
            </w:tcBorders>
            <w:vAlign w:val="center"/>
          </w:tcPr>
          <w:p w14:paraId="130009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打印头架</w:t>
            </w:r>
          </w:p>
        </w:tc>
        <w:tc>
          <w:tcPr>
            <w:tcW w:w="750" w:type="dxa"/>
            <w:tcBorders>
              <w:top w:val="single" w:color="000000" w:sz="4" w:space="0"/>
              <w:left w:val="single" w:color="000000" w:sz="4" w:space="0"/>
              <w:bottom w:val="single" w:color="000000" w:sz="4" w:space="0"/>
              <w:right w:val="single" w:color="000000" w:sz="4" w:space="0"/>
            </w:tcBorders>
            <w:vAlign w:val="center"/>
          </w:tcPr>
          <w:p w14:paraId="2047BB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7BB0A8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爱普生</w:t>
            </w:r>
          </w:p>
        </w:tc>
        <w:tc>
          <w:tcPr>
            <w:tcW w:w="1114" w:type="dxa"/>
            <w:tcBorders>
              <w:top w:val="single" w:color="000000" w:sz="4" w:space="0"/>
              <w:left w:val="single" w:color="000000" w:sz="4" w:space="0"/>
              <w:bottom w:val="single" w:color="000000" w:sz="4" w:space="0"/>
              <w:right w:val="single" w:color="000000" w:sz="4" w:space="0"/>
            </w:tcBorders>
            <w:vAlign w:val="center"/>
          </w:tcPr>
          <w:p w14:paraId="31E7C0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479A60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适用于LQ300KH、LQ-82KF</w:t>
            </w:r>
          </w:p>
        </w:tc>
      </w:tr>
      <w:tr w14:paraId="6D218974">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18ED4C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1416" w:type="dxa"/>
            <w:tcBorders>
              <w:top w:val="single" w:color="000000" w:sz="4" w:space="0"/>
              <w:left w:val="single" w:color="000000" w:sz="4" w:space="0"/>
              <w:bottom w:val="single" w:color="000000" w:sz="4" w:space="0"/>
              <w:right w:val="single" w:color="000000" w:sz="4" w:space="0"/>
            </w:tcBorders>
            <w:vAlign w:val="center"/>
          </w:tcPr>
          <w:p w14:paraId="764469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进纸齿轮组</w:t>
            </w:r>
          </w:p>
        </w:tc>
        <w:tc>
          <w:tcPr>
            <w:tcW w:w="750" w:type="dxa"/>
            <w:tcBorders>
              <w:top w:val="single" w:color="000000" w:sz="4" w:space="0"/>
              <w:left w:val="single" w:color="000000" w:sz="4" w:space="0"/>
              <w:bottom w:val="single" w:color="000000" w:sz="4" w:space="0"/>
              <w:right w:val="single" w:color="000000" w:sz="4" w:space="0"/>
            </w:tcBorders>
            <w:vAlign w:val="center"/>
          </w:tcPr>
          <w:p w14:paraId="1CFB0F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1423" w:type="dxa"/>
            <w:tcBorders>
              <w:top w:val="single" w:color="000000" w:sz="4" w:space="0"/>
              <w:left w:val="single" w:color="000000" w:sz="4" w:space="0"/>
              <w:bottom w:val="single" w:color="000000" w:sz="4" w:space="0"/>
              <w:right w:val="single" w:color="000000" w:sz="4" w:space="0"/>
            </w:tcBorders>
            <w:vAlign w:val="center"/>
          </w:tcPr>
          <w:p w14:paraId="44838D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爱普生</w:t>
            </w:r>
          </w:p>
        </w:tc>
        <w:tc>
          <w:tcPr>
            <w:tcW w:w="1114" w:type="dxa"/>
            <w:tcBorders>
              <w:top w:val="single" w:color="000000" w:sz="4" w:space="0"/>
              <w:left w:val="single" w:color="000000" w:sz="4" w:space="0"/>
              <w:bottom w:val="single" w:color="000000" w:sz="4" w:space="0"/>
              <w:right w:val="single" w:color="000000" w:sz="4" w:space="0"/>
            </w:tcBorders>
            <w:vAlign w:val="center"/>
          </w:tcPr>
          <w:p w14:paraId="57F5BD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6C59C2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适用于LQ300KH、LQ-82KF</w:t>
            </w:r>
          </w:p>
        </w:tc>
      </w:tr>
      <w:tr w14:paraId="3AE68A54">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0A976B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1416" w:type="dxa"/>
            <w:tcBorders>
              <w:top w:val="single" w:color="000000" w:sz="4" w:space="0"/>
              <w:left w:val="single" w:color="000000" w:sz="4" w:space="0"/>
              <w:bottom w:val="single" w:color="000000" w:sz="4" w:space="0"/>
              <w:right w:val="single" w:color="000000" w:sz="4" w:space="0"/>
            </w:tcBorders>
            <w:vAlign w:val="center"/>
          </w:tcPr>
          <w:p w14:paraId="2FD76F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离合器</w:t>
            </w:r>
          </w:p>
        </w:tc>
        <w:tc>
          <w:tcPr>
            <w:tcW w:w="750" w:type="dxa"/>
            <w:tcBorders>
              <w:top w:val="single" w:color="000000" w:sz="4" w:space="0"/>
              <w:left w:val="single" w:color="000000" w:sz="4" w:space="0"/>
              <w:bottom w:val="single" w:color="000000" w:sz="4" w:space="0"/>
              <w:right w:val="single" w:color="000000" w:sz="4" w:space="0"/>
            </w:tcBorders>
            <w:vAlign w:val="center"/>
          </w:tcPr>
          <w:p w14:paraId="0DC5E5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357966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佳能</w:t>
            </w:r>
          </w:p>
        </w:tc>
        <w:tc>
          <w:tcPr>
            <w:tcW w:w="1114" w:type="dxa"/>
            <w:tcBorders>
              <w:top w:val="single" w:color="000000" w:sz="4" w:space="0"/>
              <w:left w:val="single" w:color="000000" w:sz="4" w:space="0"/>
              <w:bottom w:val="single" w:color="000000" w:sz="4" w:space="0"/>
              <w:right w:val="single" w:color="000000" w:sz="4" w:space="0"/>
            </w:tcBorders>
            <w:vAlign w:val="center"/>
          </w:tcPr>
          <w:p w14:paraId="2A6F5E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76B746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适用于佳能2900、2900+、HP1108</w:t>
            </w:r>
          </w:p>
        </w:tc>
      </w:tr>
      <w:tr w14:paraId="545426C0">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1B30F5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1416" w:type="dxa"/>
            <w:tcBorders>
              <w:top w:val="single" w:color="000000" w:sz="4" w:space="0"/>
              <w:left w:val="single" w:color="000000" w:sz="4" w:space="0"/>
              <w:bottom w:val="single" w:color="000000" w:sz="4" w:space="0"/>
              <w:right w:val="single" w:color="000000" w:sz="4" w:space="0"/>
            </w:tcBorders>
            <w:vAlign w:val="center"/>
          </w:tcPr>
          <w:p w14:paraId="3CC684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色带齿轮组</w:t>
            </w:r>
          </w:p>
        </w:tc>
        <w:tc>
          <w:tcPr>
            <w:tcW w:w="750" w:type="dxa"/>
            <w:tcBorders>
              <w:top w:val="single" w:color="000000" w:sz="4" w:space="0"/>
              <w:left w:val="single" w:color="000000" w:sz="4" w:space="0"/>
              <w:bottom w:val="single" w:color="000000" w:sz="4" w:space="0"/>
              <w:right w:val="single" w:color="000000" w:sz="4" w:space="0"/>
            </w:tcBorders>
            <w:vAlign w:val="center"/>
          </w:tcPr>
          <w:p w14:paraId="4C397C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1423" w:type="dxa"/>
            <w:tcBorders>
              <w:top w:val="single" w:color="000000" w:sz="4" w:space="0"/>
              <w:left w:val="single" w:color="000000" w:sz="4" w:space="0"/>
              <w:bottom w:val="single" w:color="000000" w:sz="4" w:space="0"/>
              <w:right w:val="single" w:color="000000" w:sz="4" w:space="0"/>
            </w:tcBorders>
            <w:vAlign w:val="center"/>
          </w:tcPr>
          <w:p w14:paraId="207DAE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爱普生</w:t>
            </w:r>
          </w:p>
        </w:tc>
        <w:tc>
          <w:tcPr>
            <w:tcW w:w="1114" w:type="dxa"/>
            <w:tcBorders>
              <w:top w:val="single" w:color="000000" w:sz="4" w:space="0"/>
              <w:left w:val="single" w:color="000000" w:sz="4" w:space="0"/>
              <w:bottom w:val="single" w:color="000000" w:sz="4" w:space="0"/>
              <w:right w:val="single" w:color="000000" w:sz="4" w:space="0"/>
            </w:tcBorders>
            <w:vAlign w:val="center"/>
          </w:tcPr>
          <w:p w14:paraId="1A315C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1A1FF0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适用于LQ300KH、LQ-82KF</w:t>
            </w:r>
          </w:p>
        </w:tc>
      </w:tr>
      <w:tr w14:paraId="01AAB34E">
        <w:tblPrEx>
          <w:tblCellMar>
            <w:top w:w="0" w:type="dxa"/>
            <w:left w:w="108" w:type="dxa"/>
            <w:bottom w:w="0" w:type="dxa"/>
            <w:right w:w="108" w:type="dxa"/>
          </w:tblCellMar>
        </w:tblPrEx>
        <w:trPr>
          <w:trHeight w:val="393"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F2813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w:t>
            </w:r>
          </w:p>
        </w:tc>
        <w:tc>
          <w:tcPr>
            <w:tcW w:w="1416" w:type="dxa"/>
            <w:tcBorders>
              <w:top w:val="single" w:color="000000" w:sz="4" w:space="0"/>
              <w:left w:val="single" w:color="000000" w:sz="4" w:space="0"/>
              <w:bottom w:val="single" w:color="000000" w:sz="4" w:space="0"/>
              <w:right w:val="single" w:color="000000" w:sz="4" w:space="0"/>
            </w:tcBorders>
            <w:vAlign w:val="center"/>
          </w:tcPr>
          <w:p w14:paraId="0403F990">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r>
              <w:rPr>
                <w:rFonts w:hint="eastAsia" w:ascii="仿宋" w:hAnsi="仿宋" w:eastAsia="仿宋" w:cs="仿宋"/>
                <w:color w:val="000000"/>
                <w:kern w:val="0"/>
                <w:sz w:val="24"/>
                <w:szCs w:val="24"/>
                <w:lang w:val="en-US" w:eastAsia="zh-CN"/>
              </w:rPr>
              <w:t>墨盒</w:t>
            </w:r>
          </w:p>
        </w:tc>
        <w:tc>
          <w:tcPr>
            <w:tcW w:w="750" w:type="dxa"/>
            <w:tcBorders>
              <w:top w:val="single" w:color="000000" w:sz="4" w:space="0"/>
              <w:left w:val="single" w:color="000000" w:sz="4" w:space="0"/>
              <w:bottom w:val="single" w:color="000000" w:sz="4" w:space="0"/>
              <w:right w:val="single" w:color="000000" w:sz="4" w:space="0"/>
            </w:tcBorders>
            <w:vAlign w:val="center"/>
          </w:tcPr>
          <w:p w14:paraId="133479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6739D7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14:paraId="25D174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3F77A4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适用于</w:t>
            </w:r>
            <w:r>
              <w:rPr>
                <w:rFonts w:hint="eastAsia" w:ascii="仿宋" w:hAnsi="仿宋" w:eastAsia="仿宋" w:cs="仿宋"/>
                <w:color w:val="000000"/>
                <w:kern w:val="0"/>
                <w:sz w:val="24"/>
                <w:szCs w:val="24"/>
                <w:lang w:val="en-US" w:eastAsia="zh-CN"/>
              </w:rPr>
              <w:t>佳能</w:t>
            </w:r>
            <w:r>
              <w:rPr>
                <w:rFonts w:hint="eastAsia" w:ascii="仿宋" w:hAnsi="仿宋" w:eastAsia="仿宋" w:cs="仿宋"/>
                <w:color w:val="000000"/>
                <w:kern w:val="0"/>
                <w:sz w:val="24"/>
                <w:szCs w:val="24"/>
              </w:rPr>
              <w:t>MP288</w:t>
            </w:r>
            <w:r>
              <w:rPr>
                <w:rFonts w:hint="eastAsia" w:ascii="仿宋" w:hAnsi="仿宋" w:eastAsia="仿宋" w:cs="仿宋"/>
                <w:color w:val="000000"/>
                <w:kern w:val="0"/>
                <w:sz w:val="24"/>
                <w:szCs w:val="24"/>
                <w:lang w:val="en-US" w:eastAsia="zh-CN"/>
              </w:rPr>
              <w:t>打印机</w:t>
            </w:r>
          </w:p>
        </w:tc>
      </w:tr>
    </w:tbl>
    <w:p w14:paraId="06E8E24E">
      <w:pPr>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本项目合同总金额为</w:t>
      </w:r>
      <w:r>
        <w:rPr>
          <w:rFonts w:hint="eastAsia" w:ascii="仿宋" w:hAnsi="仿宋" w:eastAsia="仿宋" w:cs="仿宋"/>
          <w:sz w:val="24"/>
          <w:szCs w:val="24"/>
          <w:lang w:val="en-US" w:eastAsia="zh-CN"/>
        </w:rPr>
        <w:t>4</w:t>
      </w:r>
      <w:bookmarkStart w:id="0" w:name="_GoBack"/>
      <w:bookmarkEnd w:id="0"/>
      <w:r>
        <w:rPr>
          <w:rFonts w:hint="eastAsia" w:ascii="仿宋" w:hAnsi="仿宋" w:eastAsia="仿宋" w:cs="仿宋"/>
          <w:sz w:val="24"/>
          <w:szCs w:val="24"/>
        </w:rPr>
        <w:t>万元，</w:t>
      </w:r>
      <w:r>
        <w:rPr>
          <w:rFonts w:hint="eastAsia" w:ascii="仿宋" w:hAnsi="仿宋" w:eastAsia="仿宋" w:cs="仿宋"/>
          <w:sz w:val="24"/>
          <w:szCs w:val="24"/>
          <w:lang w:eastAsia="zh-CN"/>
        </w:rPr>
        <w:t>按服务项目折中优惠价结算实际用量金额，</w:t>
      </w:r>
      <w:r>
        <w:rPr>
          <w:rFonts w:hint="eastAsia" w:ascii="仿宋" w:hAnsi="仿宋" w:eastAsia="仿宋" w:cs="仿宋"/>
          <w:sz w:val="24"/>
          <w:szCs w:val="24"/>
        </w:rPr>
        <w:t>服务期2年。</w:t>
      </w:r>
    </w:p>
    <w:p w14:paraId="596548B3">
      <w:pPr>
        <w:pStyle w:val="12"/>
        <w:rPr>
          <w:rFonts w:hint="eastAsia" w:ascii="仿宋" w:hAnsi="仿宋" w:eastAsia="仿宋" w:cs="仿宋"/>
          <w:lang w:eastAsia="zh-CN"/>
        </w:rPr>
      </w:pPr>
      <w:r>
        <w:rPr>
          <w:rFonts w:hint="eastAsia" w:ascii="仿宋" w:hAnsi="仿宋" w:eastAsia="仿宋" w:cs="仿宋"/>
          <w:b/>
          <w:bCs/>
          <w:lang w:eastAsia="zh-CN"/>
        </w:rPr>
        <w:t>二、</w:t>
      </w:r>
      <w:r>
        <w:rPr>
          <w:rFonts w:hint="eastAsia" w:ascii="仿宋" w:hAnsi="仿宋" w:eastAsia="仿宋" w:cs="仿宋"/>
          <w:b/>
          <w:sz w:val="24"/>
          <w:szCs w:val="24"/>
        </w:rPr>
        <w:t>服务要求范围</w:t>
      </w:r>
    </w:p>
    <w:p w14:paraId="687ACCF8">
      <w:pPr>
        <w:spacing w:line="360" w:lineRule="auto"/>
        <w:rPr>
          <w:rFonts w:ascii="仿宋" w:hAnsi="仿宋" w:eastAsia="仿宋" w:cs="仿宋"/>
          <w:sz w:val="24"/>
          <w:szCs w:val="24"/>
        </w:rPr>
      </w:pPr>
      <w:r>
        <w:rPr>
          <w:rFonts w:hint="eastAsia" w:ascii="仿宋" w:hAnsi="仿宋" w:eastAsia="仿宋" w:cs="仿宋"/>
          <w:sz w:val="24"/>
          <w:szCs w:val="24"/>
        </w:rPr>
        <w:t>1.技术指标</w:t>
      </w:r>
    </w:p>
    <w:p w14:paraId="257EF465">
      <w:pPr>
        <w:spacing w:line="360" w:lineRule="auto"/>
        <w:ind w:firstLine="523" w:firstLineChars="218"/>
        <w:rPr>
          <w:rFonts w:ascii="仿宋" w:hAnsi="仿宋" w:eastAsia="仿宋" w:cs="仿宋"/>
          <w:sz w:val="24"/>
          <w:szCs w:val="24"/>
        </w:rPr>
      </w:pPr>
      <w:r>
        <w:rPr>
          <w:rFonts w:hint="eastAsia" w:ascii="仿宋" w:hAnsi="仿宋" w:eastAsia="仿宋" w:cs="仿宋"/>
          <w:sz w:val="24"/>
          <w:szCs w:val="24"/>
        </w:rPr>
        <w:t>1.1交付产品的技术指标应与招标文件规定的技术指标要求及投标文件中的承诺内容相一致。</w:t>
      </w:r>
    </w:p>
    <w:p w14:paraId="5DBB61A2">
      <w:pPr>
        <w:spacing w:line="360" w:lineRule="auto"/>
        <w:ind w:firstLine="523" w:firstLineChars="218"/>
        <w:rPr>
          <w:rFonts w:ascii="仿宋" w:hAnsi="仿宋" w:eastAsia="仿宋" w:cs="仿宋"/>
          <w:sz w:val="24"/>
          <w:szCs w:val="24"/>
        </w:rPr>
      </w:pPr>
      <w:r>
        <w:rPr>
          <w:rFonts w:hint="eastAsia" w:ascii="仿宋" w:hAnsi="仿宋" w:eastAsia="仿宋" w:cs="仿宋"/>
          <w:sz w:val="24"/>
          <w:szCs w:val="24"/>
        </w:rPr>
        <w:t>1.2 除技术指标另有规定外，计量单位应该使用公制。</w:t>
      </w:r>
      <w:r>
        <w:rPr>
          <w:rFonts w:hint="eastAsia" w:ascii="仿宋" w:hAnsi="仿宋" w:eastAsia="仿宋" w:cs="仿宋"/>
          <w:sz w:val="24"/>
          <w:szCs w:val="24"/>
        </w:rPr>
        <w:cr/>
      </w:r>
      <w:r>
        <w:rPr>
          <w:rFonts w:hint="eastAsia" w:ascii="仿宋" w:hAnsi="仿宋" w:eastAsia="仿宋" w:cs="仿宋"/>
          <w:sz w:val="24"/>
          <w:szCs w:val="24"/>
        </w:rPr>
        <w:t>2.交货</w:t>
      </w:r>
    </w:p>
    <w:p w14:paraId="7AB28B5A">
      <w:pPr>
        <w:spacing w:line="360" w:lineRule="auto"/>
        <w:ind w:firstLine="523" w:firstLineChars="218"/>
        <w:rPr>
          <w:rFonts w:ascii="仿宋" w:hAnsi="仿宋" w:eastAsia="仿宋" w:cs="仿宋"/>
          <w:sz w:val="24"/>
          <w:szCs w:val="24"/>
        </w:rPr>
      </w:pPr>
      <w:r>
        <w:rPr>
          <w:rFonts w:hint="eastAsia" w:ascii="仿宋" w:hAnsi="仿宋" w:eastAsia="仿宋" w:cs="仿宋"/>
          <w:color w:val="FF0000"/>
          <w:sz w:val="24"/>
          <w:szCs w:val="24"/>
        </w:rPr>
        <w:t>乙方</w:t>
      </w:r>
      <w:r>
        <w:rPr>
          <w:rFonts w:hint="eastAsia" w:ascii="仿宋" w:hAnsi="仿宋" w:eastAsia="仿宋" w:cs="仿宋"/>
          <w:sz w:val="24"/>
          <w:szCs w:val="24"/>
        </w:rPr>
        <w:t>按照</w:t>
      </w:r>
      <w:r>
        <w:rPr>
          <w:rFonts w:hint="eastAsia" w:ascii="仿宋" w:hAnsi="仿宋" w:eastAsia="仿宋" w:cs="仿宋"/>
          <w:color w:val="FF0000"/>
          <w:sz w:val="24"/>
          <w:szCs w:val="24"/>
        </w:rPr>
        <w:t>甲方</w:t>
      </w:r>
      <w:r>
        <w:rPr>
          <w:rFonts w:hint="eastAsia" w:ascii="仿宋" w:hAnsi="仿宋" w:eastAsia="仿宋" w:cs="仿宋"/>
          <w:sz w:val="24"/>
          <w:szCs w:val="24"/>
        </w:rPr>
        <w:t>的实际具体要求供货。</w:t>
      </w:r>
    </w:p>
    <w:p w14:paraId="25CD831B">
      <w:pPr>
        <w:spacing w:line="360" w:lineRule="auto"/>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eastAsia="zh-CN"/>
        </w:rPr>
        <w:t>服务内容与</w:t>
      </w:r>
      <w:r>
        <w:rPr>
          <w:rFonts w:hint="eastAsia" w:ascii="仿宋" w:hAnsi="仿宋" w:eastAsia="仿宋" w:cs="仿宋"/>
          <w:sz w:val="24"/>
          <w:szCs w:val="24"/>
        </w:rPr>
        <w:t>要求</w:t>
      </w:r>
    </w:p>
    <w:p w14:paraId="1238FB99">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.1服务承诺使用本次</w:t>
      </w:r>
      <w:r>
        <w:rPr>
          <w:rFonts w:hint="eastAsia" w:ascii="仿宋" w:hAnsi="仿宋" w:eastAsia="仿宋" w:cs="仿宋"/>
          <w:sz w:val="24"/>
          <w:szCs w:val="24"/>
          <w:lang w:eastAsia="zh-CN"/>
        </w:rPr>
        <w:t>中</w:t>
      </w:r>
      <w:r>
        <w:rPr>
          <w:rFonts w:hint="eastAsia" w:ascii="仿宋" w:hAnsi="仿宋" w:eastAsia="仿宋" w:cs="仿宋"/>
          <w:sz w:val="24"/>
          <w:szCs w:val="24"/>
        </w:rPr>
        <w:t>标耗材的打印机提供免费维修和维护只收取配件费用直到合同期满或打印机报废。</w:t>
      </w:r>
      <w:r>
        <w:rPr>
          <w:rFonts w:hint="eastAsia" w:ascii="仿宋" w:hAnsi="仿宋" w:eastAsia="仿宋" w:cs="仿宋"/>
          <w:sz w:val="24"/>
          <w:szCs w:val="24"/>
          <w:lang w:eastAsia="zh-CN"/>
        </w:rPr>
        <w:t>乙方</w:t>
      </w:r>
      <w:r>
        <w:rPr>
          <w:rFonts w:hint="eastAsia" w:ascii="仿宋" w:hAnsi="仿宋" w:eastAsia="仿宋" w:cs="仿宋"/>
          <w:sz w:val="24"/>
          <w:szCs w:val="24"/>
        </w:rPr>
        <w:t>负责院内打印机的维修、维护工作等打印机故障报修处理此项服务不另行收费</w:t>
      </w:r>
      <w:r>
        <w:rPr>
          <w:rFonts w:hint="eastAsia" w:ascii="仿宋" w:hAnsi="仿宋" w:eastAsia="仿宋" w:cs="仿宋"/>
          <w:sz w:val="24"/>
          <w:szCs w:val="24"/>
          <w:lang w:eastAsia="zh-CN"/>
        </w:rPr>
        <w:t>。</w:t>
      </w:r>
      <w:r>
        <w:rPr>
          <w:rFonts w:hint="eastAsia" w:ascii="仿宋" w:hAnsi="仿宋" w:eastAsia="仿宋" w:cs="仿宋"/>
          <w:sz w:val="24"/>
          <w:szCs w:val="24"/>
        </w:rPr>
        <w:t>服务时间为7×24小时，</w:t>
      </w:r>
      <w:r>
        <w:rPr>
          <w:rFonts w:hint="eastAsia" w:ascii="仿宋" w:hAnsi="仿宋" w:eastAsia="仿宋" w:cs="仿宋"/>
          <w:sz w:val="24"/>
          <w:szCs w:val="24"/>
          <w:lang w:eastAsia="zh-CN"/>
        </w:rPr>
        <w:t>乙方</w:t>
      </w:r>
      <w:r>
        <w:rPr>
          <w:rFonts w:hint="eastAsia" w:ascii="仿宋" w:hAnsi="仿宋" w:eastAsia="仿宋" w:cs="仿宋"/>
          <w:sz w:val="24"/>
          <w:szCs w:val="24"/>
        </w:rPr>
        <w:t>须拟派专门人员7×24小时实时与采购方沟通，供货响应20分钟内，院内打印机或耗材出现故障时需20分钟内到达现场，并在1个小时内处理完成。如特殊情况可以与</w:t>
      </w:r>
      <w:r>
        <w:rPr>
          <w:rFonts w:hint="eastAsia" w:ascii="仿宋" w:hAnsi="仿宋" w:eastAsia="仿宋" w:cs="仿宋"/>
          <w:sz w:val="24"/>
          <w:szCs w:val="24"/>
          <w:lang w:eastAsia="zh-CN"/>
        </w:rPr>
        <w:t>甲方</w:t>
      </w:r>
      <w:r>
        <w:rPr>
          <w:rFonts w:hint="eastAsia" w:ascii="仿宋" w:hAnsi="仿宋" w:eastAsia="仿宋" w:cs="仿宋"/>
          <w:sz w:val="24"/>
          <w:szCs w:val="24"/>
        </w:rPr>
        <w:t>另行协商，取得</w:t>
      </w:r>
      <w:r>
        <w:rPr>
          <w:rFonts w:hint="eastAsia" w:ascii="仿宋" w:hAnsi="仿宋" w:eastAsia="仿宋" w:cs="仿宋"/>
          <w:sz w:val="24"/>
          <w:szCs w:val="24"/>
          <w:lang w:eastAsia="zh-CN"/>
        </w:rPr>
        <w:t>甲方</w:t>
      </w:r>
      <w:r>
        <w:rPr>
          <w:rFonts w:hint="eastAsia" w:ascii="仿宋" w:hAnsi="仿宋" w:eastAsia="仿宋" w:cs="仿宋"/>
          <w:sz w:val="24"/>
          <w:szCs w:val="24"/>
        </w:rPr>
        <w:t>同意后再供货。若</w:t>
      </w:r>
      <w:r>
        <w:rPr>
          <w:rFonts w:hint="eastAsia" w:ascii="仿宋" w:hAnsi="仿宋" w:eastAsia="仿宋" w:cs="仿宋"/>
          <w:sz w:val="24"/>
          <w:szCs w:val="24"/>
          <w:lang w:eastAsia="zh-CN"/>
        </w:rPr>
        <w:t>乙方</w:t>
      </w:r>
      <w:r>
        <w:rPr>
          <w:rFonts w:hint="eastAsia" w:ascii="仿宋" w:hAnsi="仿宋" w:eastAsia="仿宋" w:cs="仿宋"/>
          <w:sz w:val="24"/>
          <w:szCs w:val="24"/>
        </w:rPr>
        <w:t>存在多次沟通不及时或未在规定时间内送货上门，</w:t>
      </w:r>
      <w:r>
        <w:rPr>
          <w:rFonts w:hint="eastAsia" w:ascii="仿宋" w:hAnsi="仿宋" w:eastAsia="仿宋" w:cs="仿宋"/>
          <w:sz w:val="24"/>
          <w:szCs w:val="24"/>
          <w:lang w:eastAsia="zh-CN"/>
        </w:rPr>
        <w:t>甲方</w:t>
      </w:r>
      <w:r>
        <w:rPr>
          <w:rFonts w:hint="eastAsia" w:ascii="仿宋" w:hAnsi="仿宋" w:eastAsia="仿宋" w:cs="仿宋"/>
          <w:sz w:val="24"/>
          <w:szCs w:val="24"/>
        </w:rPr>
        <w:t>有权终止合同。</w:t>
      </w:r>
    </w:p>
    <w:p w14:paraId="52CD9CA2">
      <w:pPr>
        <w:pStyle w:val="13"/>
        <w:spacing w:line="460" w:lineRule="exact"/>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3.2当甲方科室人员就打印机相关问题遇上不明之处，提出疑问时，乙方工作人员应耐心沟通、解释。</w:t>
      </w:r>
    </w:p>
    <w:p w14:paraId="79B1A3F0">
      <w:pPr>
        <w:pStyle w:val="13"/>
        <w:spacing w:line="460" w:lineRule="exact"/>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3.3乙方在甲方科室更换耗材和维修配件所产生的送货单必须是四联单，并经过该科室主任或护士长签字同意认可方有效。</w:t>
      </w:r>
    </w:p>
    <w:p w14:paraId="396740EA">
      <w:pPr>
        <w:pStyle w:val="13"/>
        <w:spacing w:line="460" w:lineRule="exact"/>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3.4加粉时要做好打印机内部漏粉和废粉的清洁，加碳粉后，要保障打印机/复印机效果和打印/复印数量。</w:t>
      </w:r>
    </w:p>
    <w:p w14:paraId="0C494152">
      <w:pPr>
        <w:pStyle w:val="13"/>
        <w:spacing w:line="460" w:lineRule="exact"/>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3.5打印机维修耗材如因品牌及机型不同而造成价格不同的，需逐一列出进行报价。</w:t>
      </w:r>
    </w:p>
    <w:p w14:paraId="78555FA1">
      <w:pPr>
        <w:pStyle w:val="13"/>
        <w:spacing w:line="460" w:lineRule="exact"/>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3.6如服务期乙方需要的产品未在此次采购清单列表内，经双方协商价格后进行备案可纳入清单并供货，但乙方需作出承诺，备案价格不得虚报，一经发现，即可取消服务资格。</w:t>
      </w:r>
    </w:p>
    <w:p w14:paraId="6E5202DA">
      <w:pPr>
        <w:pStyle w:val="13"/>
        <w:spacing w:line="4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4.相关要求</w:t>
      </w:r>
    </w:p>
    <w:p w14:paraId="09392775">
      <w:pPr>
        <w:keepNext w:val="0"/>
        <w:keepLines w:val="0"/>
        <w:widowControl w:val="0"/>
        <w:suppressLineNumbers w:val="0"/>
        <w:spacing w:before="0" w:beforeAutospacing="0" w:after="0" w:afterAutospacing="0" w:line="440" w:lineRule="exact"/>
        <w:ind w:left="0" w:right="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4.1</w:t>
      </w:r>
      <w:r>
        <w:rPr>
          <w:rFonts w:hint="eastAsia" w:ascii="仿宋" w:hAnsi="仿宋" w:eastAsia="仿宋" w:cs="仿宋"/>
          <w:kern w:val="2"/>
          <w:sz w:val="24"/>
          <w:szCs w:val="24"/>
          <w:lang w:val="en-US" w:eastAsia="zh-CN" w:bidi="ar"/>
        </w:rPr>
        <w:t>中标单价包含原装耗材的价格及代用品牌的价格。提供的原装品牌均要求原厂原装正品产品（不包括促销装或组合装），代用品牌需与投标文件中说明的所提供产品的品牌型号一致。</w:t>
      </w:r>
    </w:p>
    <w:p w14:paraId="589DFB40">
      <w:pPr>
        <w:adjustRightInd w:val="0"/>
        <w:snapToGrid w:val="0"/>
        <w:spacing w:line="46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4.2</w:t>
      </w:r>
      <w:r>
        <w:rPr>
          <w:rFonts w:hint="eastAsia" w:ascii="仿宋" w:hAnsi="仿宋" w:eastAsia="仿宋" w:cs="仿宋"/>
          <w:sz w:val="24"/>
          <w:szCs w:val="24"/>
        </w:rPr>
        <w:t>本次</w:t>
      </w:r>
      <w:r>
        <w:rPr>
          <w:rFonts w:hint="eastAsia" w:ascii="仿宋" w:hAnsi="仿宋" w:eastAsia="仿宋" w:cs="仿宋"/>
          <w:sz w:val="24"/>
          <w:szCs w:val="24"/>
          <w:lang w:eastAsia="zh-CN"/>
        </w:rPr>
        <w:t>中标单</w:t>
      </w:r>
      <w:r>
        <w:rPr>
          <w:rFonts w:hint="eastAsia" w:ascii="仿宋" w:hAnsi="仿宋" w:eastAsia="仿宋" w:cs="仿宋"/>
          <w:sz w:val="24"/>
          <w:szCs w:val="24"/>
        </w:rPr>
        <w:t>价包含产品及备品配件、运费、安装费、人工费、材料费、管理费、风险费用、调试费、产品三包费用、规费及税金，并含产品相关保险、安装等人员意外伤害保险、施工安全文明措施费，以及相关检测、验收、技术培训、售后服务等完成本项目的所有费用。</w:t>
      </w:r>
    </w:p>
    <w:p w14:paraId="3B849712">
      <w:pPr>
        <w:adjustRightInd w:val="0"/>
        <w:snapToGrid w:val="0"/>
        <w:spacing w:line="46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4.3</w:t>
      </w:r>
      <w:r>
        <w:rPr>
          <w:rFonts w:hint="eastAsia" w:ascii="仿宋" w:hAnsi="仿宋" w:eastAsia="仿宋" w:cs="仿宋"/>
          <w:sz w:val="24"/>
          <w:szCs w:val="24"/>
        </w:rPr>
        <w:t>甲方主管部门负责人受理各科室（部门）质量投诉的，一个月内如出现三次因</w:t>
      </w:r>
      <w:r>
        <w:rPr>
          <w:rFonts w:hint="eastAsia" w:ascii="仿宋" w:hAnsi="仿宋" w:eastAsia="仿宋" w:cs="仿宋"/>
          <w:color w:val="FF0000"/>
          <w:sz w:val="24"/>
          <w:szCs w:val="24"/>
        </w:rPr>
        <w:t>乙方</w:t>
      </w:r>
      <w:r>
        <w:rPr>
          <w:rFonts w:hint="eastAsia" w:ascii="仿宋" w:hAnsi="仿宋" w:eastAsia="仿宋" w:cs="仿宋"/>
          <w:sz w:val="24"/>
          <w:szCs w:val="24"/>
        </w:rPr>
        <w:t>以假充真、以劣充优、以少充多，进货渠道非法、不规范、不正当，或者受贿、欺诈以及其他严重违约、违规、违法行为的投诉，情况属实的，</w:t>
      </w:r>
      <w:r>
        <w:rPr>
          <w:rFonts w:hint="eastAsia" w:ascii="仿宋" w:hAnsi="仿宋" w:eastAsia="仿宋" w:cs="仿宋"/>
          <w:color w:val="FF0000"/>
          <w:sz w:val="24"/>
          <w:szCs w:val="24"/>
        </w:rPr>
        <w:t>甲方</w:t>
      </w:r>
      <w:r>
        <w:rPr>
          <w:rFonts w:hint="eastAsia" w:ascii="仿宋" w:hAnsi="仿宋" w:eastAsia="仿宋" w:cs="仿宋"/>
          <w:sz w:val="24"/>
          <w:szCs w:val="24"/>
        </w:rPr>
        <w:t>有权扣除当月所有以供耗材的费用，两个月</w:t>
      </w:r>
      <w:r>
        <w:rPr>
          <w:rFonts w:hint="eastAsia" w:ascii="仿宋" w:hAnsi="仿宋" w:eastAsia="仿宋" w:cs="仿宋"/>
          <w:color w:val="FF0000"/>
          <w:sz w:val="24"/>
          <w:szCs w:val="24"/>
        </w:rPr>
        <w:t>累计六次</w:t>
      </w:r>
      <w:r>
        <w:rPr>
          <w:rFonts w:hint="eastAsia" w:ascii="仿宋" w:hAnsi="仿宋" w:eastAsia="仿宋" w:cs="仿宋"/>
          <w:sz w:val="24"/>
          <w:szCs w:val="24"/>
        </w:rPr>
        <w:t>因耗材质量问题的投诉，甲方有权终止合同。</w:t>
      </w:r>
    </w:p>
    <w:p w14:paraId="40FC0723">
      <w:pPr>
        <w:spacing w:line="460" w:lineRule="exact"/>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.质量保证期</w:t>
      </w:r>
    </w:p>
    <w:p w14:paraId="74924514">
      <w:pPr>
        <w:spacing w:line="360" w:lineRule="auto"/>
        <w:ind w:firstLine="523" w:firstLineChars="218"/>
        <w:rPr>
          <w:rFonts w:ascii="仿宋" w:hAnsi="仿宋" w:eastAsia="仿宋" w:cs="仿宋"/>
          <w:sz w:val="24"/>
          <w:szCs w:val="24"/>
        </w:rPr>
      </w:pPr>
      <w:r>
        <w:rPr>
          <w:rFonts w:hint="eastAsia" w:ascii="仿宋" w:hAnsi="仿宋" w:eastAsia="仿宋" w:cs="仿宋"/>
          <w:sz w:val="24"/>
          <w:szCs w:val="24"/>
        </w:rPr>
        <w:t>以各产品通用质量保证期为准（碳粉保证环保、无臭、无异味，更换的废粉由供方妥善处理）。</w:t>
      </w:r>
    </w:p>
    <w:p w14:paraId="46CF0157">
      <w:pPr>
        <w:spacing w:line="360" w:lineRule="auto"/>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.质量保证</w:t>
      </w:r>
    </w:p>
    <w:p w14:paraId="41F421D0">
      <w:pPr>
        <w:spacing w:line="360" w:lineRule="auto"/>
        <w:ind w:firstLine="523" w:firstLineChars="218"/>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w:t>
      </w:r>
      <w:r>
        <w:rPr>
          <w:rFonts w:hint="eastAsia" w:ascii="仿宋" w:hAnsi="仿宋" w:eastAsia="仿宋" w:cs="仿宋"/>
          <w:color w:val="FF0000"/>
          <w:sz w:val="24"/>
          <w:szCs w:val="24"/>
        </w:rPr>
        <w:t>乙方</w:t>
      </w:r>
      <w:r>
        <w:rPr>
          <w:rFonts w:hint="eastAsia" w:ascii="仿宋" w:hAnsi="仿宋" w:eastAsia="仿宋" w:cs="仿宋"/>
          <w:sz w:val="24"/>
          <w:szCs w:val="24"/>
        </w:rPr>
        <w:t>应保证所提供的货物承诺原厂商制造的、符合国家有关质量、环保、安全标准的、合法销售渠道取得的。</w:t>
      </w:r>
      <w:r>
        <w:rPr>
          <w:rFonts w:hint="eastAsia" w:ascii="仿宋" w:hAnsi="仿宋" w:eastAsia="仿宋" w:cs="仿宋"/>
          <w:color w:val="FF0000"/>
          <w:sz w:val="24"/>
          <w:szCs w:val="24"/>
        </w:rPr>
        <w:t>乙方</w:t>
      </w:r>
      <w:r>
        <w:rPr>
          <w:rFonts w:hint="eastAsia" w:ascii="仿宋" w:hAnsi="仿宋" w:eastAsia="仿宋" w:cs="仿宋"/>
          <w:sz w:val="24"/>
          <w:szCs w:val="24"/>
        </w:rPr>
        <w:t>应保证其所提供的货物在正确安装、正常使用和保养条件下，在其使用寿命期内具有满意的性能。</w:t>
      </w:r>
      <w:r>
        <w:rPr>
          <w:rFonts w:hint="eastAsia" w:ascii="仿宋" w:hAnsi="仿宋" w:eastAsia="仿宋" w:cs="仿宋"/>
          <w:color w:val="FF0000"/>
          <w:sz w:val="24"/>
          <w:szCs w:val="24"/>
        </w:rPr>
        <w:t>乙方</w:t>
      </w:r>
      <w:r>
        <w:rPr>
          <w:rFonts w:hint="eastAsia" w:ascii="仿宋" w:hAnsi="仿宋" w:eastAsia="仿宋" w:cs="仿宋"/>
          <w:sz w:val="24"/>
          <w:szCs w:val="24"/>
        </w:rPr>
        <w:t>应对其交付的货物由于设计、工艺或材料的缺陷而产生的故障负责。保修期内对售出的产品的硬件故障提供免费硬件保修。</w:t>
      </w:r>
    </w:p>
    <w:p w14:paraId="1AA58D01">
      <w:pPr>
        <w:spacing w:line="360" w:lineRule="auto"/>
        <w:ind w:firstLine="523" w:firstLineChars="218"/>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.2如果</w:t>
      </w:r>
      <w:r>
        <w:rPr>
          <w:rFonts w:hint="eastAsia" w:ascii="仿宋" w:hAnsi="仿宋" w:eastAsia="仿宋" w:cs="仿宋"/>
          <w:color w:val="FF0000"/>
          <w:sz w:val="24"/>
          <w:szCs w:val="24"/>
        </w:rPr>
        <w:t>乙方</w:t>
      </w:r>
      <w:r>
        <w:rPr>
          <w:rFonts w:hint="eastAsia" w:ascii="仿宋" w:hAnsi="仿宋" w:eastAsia="仿宋" w:cs="仿宋"/>
          <w:sz w:val="24"/>
          <w:szCs w:val="24"/>
        </w:rPr>
        <w:t>在接到需方通知后，在约定的响应时间（双方约定2小时内）没有解决故障，</w:t>
      </w:r>
      <w:r>
        <w:rPr>
          <w:rFonts w:hint="eastAsia" w:ascii="仿宋" w:hAnsi="仿宋" w:eastAsia="仿宋" w:cs="仿宋"/>
          <w:color w:val="FF0000"/>
          <w:sz w:val="24"/>
          <w:szCs w:val="24"/>
        </w:rPr>
        <w:t>乙方</w:t>
      </w:r>
      <w:r>
        <w:rPr>
          <w:rFonts w:hint="eastAsia" w:ascii="仿宋" w:hAnsi="仿宋" w:eastAsia="仿宋" w:cs="仿宋"/>
          <w:sz w:val="24"/>
          <w:szCs w:val="24"/>
        </w:rPr>
        <w:t>将提供同档次的代用设备或提供免费替换服务，保证科室的正常工作不受影响。</w:t>
      </w:r>
    </w:p>
    <w:p w14:paraId="7B1F6549">
      <w:pPr>
        <w:spacing w:line="360" w:lineRule="auto"/>
        <w:ind w:firstLine="523" w:firstLineChars="218"/>
        <w:rPr>
          <w:rFonts w:ascii="仿宋" w:hAnsi="仿宋" w:eastAsia="仿宋" w:cs="仿宋"/>
        </w:rPr>
      </w:pPr>
      <w:r>
        <w:rPr>
          <w:rFonts w:hint="eastAsia" w:ascii="仿宋" w:hAnsi="仿宋" w:eastAsia="仿宋" w:cs="仿宋"/>
          <w:sz w:val="24"/>
          <w:szCs w:val="24"/>
          <w:lang w:val="en-US" w:eastAsia="zh-CN"/>
        </w:rPr>
        <w:t>6</w:t>
      </w:r>
      <w:r>
        <w:rPr>
          <w:rFonts w:hint="eastAsia" w:ascii="仿宋" w:hAnsi="仿宋" w:eastAsia="仿宋" w:cs="仿宋"/>
          <w:sz w:val="24"/>
          <w:szCs w:val="24"/>
        </w:rPr>
        <w:t>.3</w:t>
      </w:r>
      <w:r>
        <w:rPr>
          <w:rFonts w:hint="eastAsia" w:ascii="仿宋" w:hAnsi="仿宋" w:eastAsia="仿宋" w:cs="仿宋"/>
          <w:color w:val="FF0000"/>
          <w:sz w:val="24"/>
          <w:szCs w:val="24"/>
        </w:rPr>
        <w:t>乙方</w:t>
      </w:r>
      <w:r>
        <w:rPr>
          <w:rFonts w:hint="eastAsia" w:ascii="仿宋" w:hAnsi="仿宋" w:eastAsia="仿宋" w:cs="仿宋"/>
          <w:sz w:val="24"/>
          <w:szCs w:val="24"/>
        </w:rPr>
        <w:t>派驻的人员应驻守在医院（含节假日），服务时间为上午8:00至12:00，下午3:00至6:00。</w:t>
      </w:r>
    </w:p>
    <w:p w14:paraId="22D52875">
      <w:pPr>
        <w:spacing w:line="360" w:lineRule="auto"/>
        <w:rPr>
          <w:rFonts w:ascii="仿宋" w:hAnsi="仿宋" w:eastAsia="仿宋" w:cs="仿宋"/>
          <w:b/>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、服务时间</w:t>
      </w:r>
      <w:r>
        <w:rPr>
          <w:rFonts w:hint="eastAsia" w:ascii="仿宋" w:hAnsi="仿宋" w:eastAsia="仿宋" w:cs="仿宋"/>
          <w:b/>
          <w:sz w:val="24"/>
          <w:szCs w:val="24"/>
        </w:rPr>
        <w:t xml:space="preserve"> </w:t>
      </w:r>
    </w:p>
    <w:p w14:paraId="66B8EDF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委托服务期间自</w:t>
      </w:r>
      <w:r>
        <w:rPr>
          <w:rFonts w:hint="eastAsia" w:ascii="仿宋" w:hAnsi="仿宋" w:eastAsia="仿宋" w:cs="仿宋"/>
          <w:sz w:val="24"/>
          <w:szCs w:val="24"/>
          <w:u w:val="single"/>
        </w:rPr>
        <w:t xml:space="preserve"> 202</w:t>
      </w:r>
      <w:r>
        <w:rPr>
          <w:rFonts w:hint="eastAsia" w:ascii="仿宋" w:hAnsi="仿宋" w:eastAsia="仿宋" w:cs="仿宋"/>
          <w:sz w:val="24"/>
          <w:szCs w:val="24"/>
          <w:u w:val="single"/>
          <w:lang w:val="en-US" w:eastAsia="zh-CN"/>
        </w:rPr>
        <w:t>4</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日至2026年 </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日止 </w:t>
      </w:r>
      <w:r>
        <w:rPr>
          <w:rFonts w:hint="eastAsia" w:ascii="仿宋" w:hAnsi="仿宋" w:eastAsia="仿宋" w:cs="仿宋"/>
          <w:sz w:val="24"/>
          <w:szCs w:val="24"/>
        </w:rPr>
        <w:t>。</w:t>
      </w:r>
    </w:p>
    <w:p w14:paraId="299906FB">
      <w:pPr>
        <w:spacing w:line="360" w:lineRule="auto"/>
        <w:rPr>
          <w:rFonts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 付款方式</w:t>
      </w:r>
    </w:p>
    <w:p w14:paraId="53444D06">
      <w:pPr>
        <w:tabs>
          <w:tab w:val="left" w:pos="900"/>
        </w:tabs>
        <w:spacing w:line="360" w:lineRule="auto"/>
        <w:ind w:right="-210" w:rightChars="-100" w:firstLine="360" w:firstLineChars="15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w:t>
      </w:r>
      <w:r>
        <w:rPr>
          <w:rFonts w:hint="eastAsia" w:ascii="仿宋" w:hAnsi="仿宋" w:eastAsia="仿宋"/>
          <w:color w:val="FF0000"/>
          <w:sz w:val="24"/>
          <w:szCs w:val="24"/>
        </w:rPr>
        <w:t>乙方</w:t>
      </w:r>
      <w:r>
        <w:rPr>
          <w:rFonts w:hint="eastAsia" w:ascii="仿宋" w:hAnsi="仿宋" w:eastAsia="仿宋"/>
          <w:sz w:val="24"/>
          <w:szCs w:val="24"/>
        </w:rPr>
        <w:t>每</w:t>
      </w:r>
      <w:r>
        <w:rPr>
          <w:rFonts w:hint="eastAsia" w:ascii="仿宋" w:hAnsi="仿宋" w:eastAsia="仿宋"/>
          <w:sz w:val="24"/>
          <w:szCs w:val="24"/>
          <w:lang w:eastAsia="zh-CN"/>
        </w:rPr>
        <w:t>季</w:t>
      </w:r>
      <w:r>
        <w:rPr>
          <w:rFonts w:hint="eastAsia" w:ascii="仿宋" w:hAnsi="仿宋" w:eastAsia="仿宋"/>
          <w:sz w:val="24"/>
          <w:szCs w:val="24"/>
        </w:rPr>
        <w:t>度</w:t>
      </w:r>
      <w:r>
        <w:rPr>
          <w:rFonts w:hint="eastAsia" w:ascii="仿宋" w:hAnsi="仿宋" w:eastAsia="仿宋"/>
          <w:sz w:val="24"/>
          <w:szCs w:val="24"/>
          <w:lang w:eastAsia="zh-CN"/>
        </w:rPr>
        <w:t>第一个月的</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5</w:t>
      </w:r>
      <w:r>
        <w:rPr>
          <w:rFonts w:hint="eastAsia" w:ascii="仿宋" w:hAnsi="仿宋" w:eastAsia="仿宋"/>
          <w:sz w:val="24"/>
          <w:szCs w:val="24"/>
          <w:u w:val="single"/>
        </w:rPr>
        <w:t xml:space="preserve"> </w:t>
      </w:r>
      <w:r>
        <w:rPr>
          <w:rFonts w:hint="eastAsia" w:ascii="仿宋" w:hAnsi="仿宋" w:eastAsia="仿宋"/>
          <w:sz w:val="24"/>
          <w:szCs w:val="24"/>
        </w:rPr>
        <w:t>日前提交</w:t>
      </w:r>
      <w:r>
        <w:rPr>
          <w:rFonts w:hint="eastAsia" w:ascii="仿宋" w:hAnsi="仿宋" w:eastAsia="仿宋"/>
          <w:sz w:val="24"/>
          <w:szCs w:val="24"/>
          <w:lang w:eastAsia="zh-CN"/>
        </w:rPr>
        <w:t>上季</w:t>
      </w:r>
      <w:r>
        <w:rPr>
          <w:rFonts w:hint="eastAsia" w:ascii="仿宋" w:hAnsi="仿宋" w:eastAsia="仿宋"/>
          <w:sz w:val="24"/>
          <w:szCs w:val="24"/>
        </w:rPr>
        <w:t>度的销售发票、供货清单、货物签收单（三联），经甲方</w:t>
      </w:r>
      <w:r>
        <w:rPr>
          <w:rFonts w:hint="eastAsia" w:ascii="仿宋" w:hAnsi="仿宋" w:eastAsia="仿宋" w:cs="仿宋"/>
          <w:sz w:val="24"/>
          <w:szCs w:val="24"/>
        </w:rPr>
        <w:t>主管部门</w:t>
      </w:r>
      <w:r>
        <w:rPr>
          <w:rFonts w:hint="eastAsia" w:ascii="仿宋" w:hAnsi="仿宋" w:eastAsia="仿宋" w:cs="仿宋"/>
          <w:sz w:val="24"/>
          <w:szCs w:val="24"/>
          <w:lang w:eastAsia="zh-CN"/>
        </w:rPr>
        <w:t>采购</w:t>
      </w:r>
      <w:r>
        <w:rPr>
          <w:rFonts w:hint="eastAsia" w:ascii="仿宋" w:hAnsi="仿宋" w:eastAsia="仿宋" w:cs="仿宋"/>
          <w:sz w:val="24"/>
          <w:szCs w:val="24"/>
        </w:rPr>
        <w:t>员</w:t>
      </w:r>
      <w:r>
        <w:rPr>
          <w:rFonts w:hint="eastAsia" w:ascii="仿宋" w:hAnsi="仿宋" w:eastAsia="仿宋"/>
          <w:sz w:val="24"/>
          <w:szCs w:val="24"/>
        </w:rPr>
        <w:t>审核无误后按程序办理付款手续。</w:t>
      </w:r>
    </w:p>
    <w:p w14:paraId="0F1BEC1F">
      <w:pPr>
        <w:tabs>
          <w:tab w:val="left" w:pos="9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按实际使用量（每次更换物资必须由科室签名确认为准），每</w:t>
      </w:r>
      <w:r>
        <w:rPr>
          <w:rFonts w:hint="eastAsia" w:ascii="仿宋" w:hAnsi="仿宋" w:eastAsia="仿宋" w:cs="仿宋"/>
          <w:sz w:val="24"/>
          <w:szCs w:val="24"/>
          <w:lang w:eastAsia="zh-CN"/>
        </w:rPr>
        <w:t>季度</w:t>
      </w:r>
      <w:r>
        <w:rPr>
          <w:rFonts w:hint="eastAsia" w:ascii="仿宋" w:hAnsi="仿宋" w:eastAsia="仿宋" w:cs="仿宋"/>
          <w:sz w:val="24"/>
          <w:szCs w:val="24"/>
        </w:rPr>
        <w:t>结算一次，累计金额不超过</w:t>
      </w:r>
      <w:r>
        <w:rPr>
          <w:rFonts w:hint="eastAsia" w:ascii="仿宋" w:hAnsi="仿宋" w:eastAsia="仿宋" w:cs="仿宋"/>
          <w:sz w:val="24"/>
          <w:szCs w:val="24"/>
          <w:lang w:val="en-US" w:eastAsia="zh-CN"/>
        </w:rPr>
        <w:t>8</w:t>
      </w:r>
      <w:r>
        <w:rPr>
          <w:rFonts w:hint="eastAsia" w:ascii="仿宋" w:hAnsi="仿宋" w:eastAsia="仿宋" w:cs="仿宋"/>
          <w:sz w:val="24"/>
          <w:szCs w:val="24"/>
        </w:rPr>
        <w:t>万元。</w:t>
      </w:r>
    </w:p>
    <w:p w14:paraId="1852AD9C">
      <w:pPr>
        <w:tabs>
          <w:tab w:val="left" w:pos="900"/>
        </w:tabs>
        <w:spacing w:line="360" w:lineRule="auto"/>
        <w:rPr>
          <w:rFonts w:ascii="仿宋" w:hAnsi="仿宋" w:eastAsia="仿宋" w:cs="仿宋"/>
          <w:b/>
          <w:sz w:val="24"/>
          <w:szCs w:val="24"/>
        </w:rPr>
      </w:pPr>
      <w:r>
        <w:rPr>
          <w:rFonts w:hint="eastAsia" w:ascii="仿宋" w:hAnsi="仿宋" w:eastAsia="仿宋" w:cs="仿宋"/>
          <w:b/>
          <w:sz w:val="24"/>
          <w:szCs w:val="24"/>
          <w:lang w:eastAsia="zh-CN"/>
        </w:rPr>
        <w:t>五</w:t>
      </w:r>
      <w:r>
        <w:rPr>
          <w:rFonts w:hint="eastAsia" w:ascii="仿宋" w:hAnsi="仿宋" w:eastAsia="仿宋" w:cs="仿宋"/>
          <w:b/>
          <w:sz w:val="24"/>
          <w:szCs w:val="24"/>
        </w:rPr>
        <w:t>、保密</w:t>
      </w:r>
    </w:p>
    <w:p w14:paraId="0D04EAC2">
      <w:pPr>
        <w:tabs>
          <w:tab w:val="left" w:pos="9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由甲方向乙方提供的采购项目内容、图纸、样品、模型、模件和所有资料，乙方获得后，应对其保密。除非甲方同意，乙方不得向第三方透露或将其用于本次国内邀请招标以外的任何用途。乙方在甲方要求的时间内须按甲方的要求归还甲方认为需保密的文件和资料，并销毁所有需保密的备份文件和资料。</w:t>
      </w:r>
    </w:p>
    <w:p w14:paraId="7C3774FA">
      <w:pPr>
        <w:tabs>
          <w:tab w:val="left" w:pos="9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乙方保证所提供的设备应保证不附带任何可导致信息外泄的电子原器件。</w:t>
      </w:r>
    </w:p>
    <w:p w14:paraId="0280411A">
      <w:pPr>
        <w:tabs>
          <w:tab w:val="left" w:pos="900"/>
        </w:tabs>
        <w:spacing w:line="360" w:lineRule="auto"/>
        <w:rPr>
          <w:rFonts w:ascii="仿宋" w:hAnsi="仿宋" w:eastAsia="仿宋" w:cs="仿宋"/>
          <w:b/>
          <w:sz w:val="24"/>
          <w:szCs w:val="24"/>
        </w:rPr>
      </w:pPr>
      <w:r>
        <w:rPr>
          <w:rFonts w:hint="eastAsia" w:ascii="仿宋" w:hAnsi="仿宋" w:eastAsia="仿宋" w:cs="仿宋"/>
          <w:b/>
          <w:sz w:val="24"/>
          <w:szCs w:val="24"/>
          <w:lang w:eastAsia="zh-CN"/>
        </w:rPr>
        <w:t>六</w:t>
      </w:r>
      <w:r>
        <w:rPr>
          <w:rFonts w:hint="eastAsia" w:ascii="仿宋" w:hAnsi="仿宋" w:eastAsia="仿宋" w:cs="仿宋"/>
          <w:b/>
          <w:sz w:val="24"/>
          <w:szCs w:val="24"/>
        </w:rPr>
        <w:t>、违约责任与赔偿损失</w:t>
      </w:r>
    </w:p>
    <w:p w14:paraId="16EF3464">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乙方提供的服务不符合采购文件、投标文件或本合同规定的，甲方有权拒收。</w:t>
      </w:r>
    </w:p>
    <w:p w14:paraId="628F1B9B">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如果乙方未能按合同规定的时间或双方另行确定的延期交货期按时足额交货的（不可抗力除外），每逾期1天，乙方应合同金额的每日0.5％向</w:t>
      </w:r>
      <w:r>
        <w:rPr>
          <w:rFonts w:hint="eastAsia" w:ascii="仿宋" w:hAnsi="仿宋" w:eastAsia="仿宋" w:cs="仿宋"/>
          <w:sz w:val="24"/>
          <w:szCs w:val="24"/>
          <w:lang w:eastAsia="zh-CN"/>
        </w:rPr>
        <w:t>甲方</w:t>
      </w:r>
      <w:r>
        <w:rPr>
          <w:rFonts w:hint="eastAsia" w:ascii="仿宋" w:hAnsi="仿宋" w:eastAsia="仿宋" w:cs="仿宋"/>
          <w:sz w:val="24"/>
          <w:szCs w:val="24"/>
        </w:rPr>
        <w:t>支付逾期交货的违约金。逾期交货违约金的支付</w:t>
      </w:r>
      <w:r>
        <w:rPr>
          <w:rFonts w:hint="eastAsia" w:ascii="仿宋" w:hAnsi="仿宋" w:eastAsia="仿宋" w:cs="仿宋"/>
          <w:sz w:val="24"/>
          <w:szCs w:val="24"/>
          <w:lang w:eastAsia="zh-CN"/>
        </w:rPr>
        <w:t>甲方</w:t>
      </w:r>
      <w:r>
        <w:rPr>
          <w:rFonts w:hint="eastAsia" w:ascii="仿宋" w:hAnsi="仿宋" w:eastAsia="仿宋" w:cs="仿宋"/>
          <w:sz w:val="24"/>
          <w:szCs w:val="24"/>
        </w:rPr>
        <w:t>有权从未付的合同货款中予以扣除，总额不超过20%。若乙方逾期交货达15天（含15天）以上的，甲方有权单方解除本合同。若因给甲方造成损失的，还应赔偿甲方所受的损失；</w:t>
      </w:r>
    </w:p>
    <w:p w14:paraId="7FEB8A48">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质保期内乙方未根据售后服务条款提供服务，甲方管理部门将视情况对乙方出具书面通知，每出具一次通知，扣除合同总金额的0.5%，若因服务问题给甲方造成损失的，乙方还应赔偿甲方所受的损失。</w:t>
      </w:r>
    </w:p>
    <w:p w14:paraId="6939A833">
      <w:pPr>
        <w:spacing w:line="460" w:lineRule="exact"/>
        <w:ind w:firstLine="480" w:firstLineChars="200"/>
        <w:rPr>
          <w:rFonts w:ascii="仿宋" w:hAnsi="仿宋" w:eastAsia="仿宋" w:cs="仿宋"/>
          <w:color w:val="FF0000"/>
          <w:sz w:val="24"/>
          <w:szCs w:val="24"/>
        </w:rPr>
      </w:pPr>
      <w:r>
        <w:rPr>
          <w:rFonts w:hint="eastAsia" w:ascii="仿宋" w:hAnsi="仿宋" w:eastAsia="仿宋" w:cs="仿宋"/>
          <w:color w:val="FF0000"/>
          <w:sz w:val="24"/>
          <w:szCs w:val="24"/>
          <w:lang w:val="en-US" w:eastAsia="zh-CN"/>
        </w:rPr>
        <w:t>4.</w:t>
      </w:r>
      <w:r>
        <w:rPr>
          <w:rFonts w:hint="eastAsia" w:ascii="仿宋" w:hAnsi="仿宋" w:eastAsia="仿宋" w:cs="仿宋"/>
          <w:color w:val="FF0000"/>
          <w:sz w:val="24"/>
          <w:szCs w:val="24"/>
        </w:rPr>
        <w:t>乙方因被甲方使用科室（部门）投诉达到规定次数的，甲方将行使终止合同权利，乙方应向甲方赔偿损失，损失费按中标金额的1</w:t>
      </w:r>
      <w:r>
        <w:rPr>
          <w:rFonts w:ascii="仿宋" w:hAnsi="仿宋" w:eastAsia="仿宋" w:cs="仿宋"/>
          <w:color w:val="FF0000"/>
          <w:sz w:val="24"/>
          <w:szCs w:val="24"/>
        </w:rPr>
        <w:t>5%</w:t>
      </w:r>
      <w:r>
        <w:rPr>
          <w:rFonts w:hint="eastAsia" w:ascii="仿宋" w:hAnsi="仿宋" w:eastAsia="仿宋" w:cs="仿宋"/>
          <w:color w:val="FF0000"/>
          <w:sz w:val="24"/>
          <w:szCs w:val="24"/>
        </w:rPr>
        <w:t>赔偿。</w:t>
      </w:r>
    </w:p>
    <w:p w14:paraId="259B40E9">
      <w:pPr>
        <w:spacing w:line="360" w:lineRule="auto"/>
        <w:rPr>
          <w:rFonts w:ascii="仿宋" w:hAnsi="仿宋" w:eastAsia="仿宋" w:cs="仿宋"/>
          <w:b/>
          <w:sz w:val="24"/>
          <w:szCs w:val="24"/>
        </w:rPr>
      </w:pPr>
      <w:r>
        <w:rPr>
          <w:rFonts w:hint="eastAsia" w:ascii="仿宋" w:hAnsi="仿宋" w:eastAsia="仿宋" w:cs="仿宋"/>
          <w:b/>
          <w:sz w:val="24"/>
          <w:szCs w:val="24"/>
          <w:lang w:eastAsia="zh-CN"/>
        </w:rPr>
        <w:t>七</w:t>
      </w:r>
      <w:r>
        <w:rPr>
          <w:rFonts w:hint="eastAsia" w:ascii="仿宋" w:hAnsi="仿宋" w:eastAsia="仿宋" w:cs="仿宋"/>
          <w:b/>
          <w:sz w:val="24"/>
          <w:szCs w:val="24"/>
        </w:rPr>
        <w:t>、争端的解决</w:t>
      </w:r>
    </w:p>
    <w:p w14:paraId="6904217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凡与本合同有关的一切争议，买卖双方应首先通过友好协商方式解决，如经协商后仍不能达成协议时，任何一方可以向合同履行地人民法院提出诉讼。</w:t>
      </w:r>
    </w:p>
    <w:p w14:paraId="08B8D90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在法院审理期间，除提交法院审理的事项外，合同其他部分仍应继续履行。</w:t>
      </w:r>
    </w:p>
    <w:p w14:paraId="6F410019">
      <w:pPr>
        <w:spacing w:line="360" w:lineRule="auto"/>
        <w:rPr>
          <w:rFonts w:ascii="仿宋" w:hAnsi="仿宋" w:eastAsia="仿宋" w:cs="仿宋"/>
          <w:b/>
          <w:sz w:val="24"/>
          <w:szCs w:val="24"/>
        </w:rPr>
      </w:pPr>
      <w:r>
        <w:rPr>
          <w:rFonts w:hint="eastAsia" w:ascii="仿宋" w:hAnsi="仿宋" w:eastAsia="仿宋" w:cs="仿宋"/>
          <w:b/>
          <w:sz w:val="24"/>
          <w:szCs w:val="24"/>
          <w:lang w:eastAsia="zh-CN"/>
        </w:rPr>
        <w:t>八</w:t>
      </w:r>
      <w:r>
        <w:rPr>
          <w:rFonts w:hint="eastAsia" w:ascii="仿宋" w:hAnsi="仿宋" w:eastAsia="仿宋" w:cs="仿宋"/>
          <w:b/>
          <w:sz w:val="24"/>
          <w:szCs w:val="24"/>
        </w:rPr>
        <w:t>、不可抗力</w:t>
      </w:r>
    </w:p>
    <w:p w14:paraId="3F7DB2E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任何一方由于不可抗力原因不能履行合同时，应在不可抗力事件结束后３日内向对方通报，以减轻可能给对方造成的损失，在取得有关机构的不可抗力证明或双方谅解确认后，允许延期履行或修订合同，并根据情况可部分或全部免于承担违约责任。</w:t>
      </w:r>
    </w:p>
    <w:p w14:paraId="688A4BA3">
      <w:pPr>
        <w:spacing w:line="360" w:lineRule="auto"/>
        <w:rPr>
          <w:rFonts w:ascii="仿宋" w:hAnsi="仿宋" w:eastAsia="仿宋" w:cs="仿宋"/>
          <w:b/>
          <w:sz w:val="24"/>
          <w:szCs w:val="24"/>
        </w:rPr>
      </w:pPr>
      <w:r>
        <w:rPr>
          <w:rFonts w:hint="eastAsia" w:ascii="仿宋" w:hAnsi="仿宋" w:eastAsia="仿宋" w:cs="仿宋"/>
          <w:b/>
          <w:sz w:val="24"/>
          <w:szCs w:val="24"/>
          <w:lang w:eastAsia="zh-CN"/>
        </w:rPr>
        <w:t>九</w:t>
      </w:r>
      <w:r>
        <w:rPr>
          <w:rFonts w:hint="eastAsia" w:ascii="仿宋" w:hAnsi="仿宋" w:eastAsia="仿宋" w:cs="仿宋"/>
          <w:b/>
          <w:sz w:val="24"/>
          <w:szCs w:val="24"/>
        </w:rPr>
        <w:t>、其它</w:t>
      </w:r>
    </w:p>
    <w:p w14:paraId="26A0D160">
      <w:pPr>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１</w:t>
      </w:r>
      <w:r>
        <w:rPr>
          <w:rFonts w:hint="eastAsia" w:ascii="仿宋" w:hAnsi="仿宋" w:eastAsia="仿宋" w:cs="仿宋"/>
          <w:sz w:val="24"/>
          <w:szCs w:val="24"/>
          <w:lang w:val="en-US" w:eastAsia="zh-CN"/>
        </w:rPr>
        <w:t>.</w:t>
      </w:r>
      <w:r>
        <w:rPr>
          <w:rFonts w:hint="eastAsia" w:ascii="仿宋" w:hAnsi="仿宋" w:eastAsia="仿宋" w:cs="仿宋"/>
          <w:sz w:val="24"/>
          <w:szCs w:val="24"/>
        </w:rPr>
        <w:t>本合同所有附件、采购文件、投标文件、中标通知书均为合同的有效组成部分，与本合同具有同等法律效力。</w:t>
      </w:r>
    </w:p>
    <w:p w14:paraId="64BBC59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２</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如一方地址、电话、传真号码有变更，应在变更当日内书面通知对方，否则，应承担相应责任。 </w:t>
      </w:r>
    </w:p>
    <w:p w14:paraId="43AD53F7">
      <w:pPr>
        <w:spacing w:line="360" w:lineRule="auto"/>
        <w:rPr>
          <w:rFonts w:ascii="仿宋" w:hAnsi="仿宋" w:eastAsia="仿宋" w:cs="仿宋"/>
          <w:b/>
          <w:sz w:val="24"/>
          <w:szCs w:val="24"/>
        </w:rPr>
      </w:pPr>
    </w:p>
    <w:p w14:paraId="1F334134">
      <w:pPr>
        <w:spacing w:line="360" w:lineRule="auto"/>
        <w:rPr>
          <w:rFonts w:ascii="仿宋" w:hAnsi="仿宋" w:eastAsia="仿宋" w:cs="仿宋"/>
          <w:b/>
          <w:sz w:val="24"/>
          <w:szCs w:val="24"/>
        </w:rPr>
      </w:pPr>
      <w:r>
        <w:rPr>
          <w:rFonts w:hint="eastAsia" w:ascii="仿宋" w:hAnsi="仿宋" w:eastAsia="仿宋" w:cs="仿宋"/>
          <w:b/>
          <w:sz w:val="24"/>
          <w:szCs w:val="24"/>
          <w:lang w:eastAsia="zh-CN"/>
        </w:rPr>
        <w:t>十</w:t>
      </w:r>
      <w:r>
        <w:rPr>
          <w:rFonts w:hint="eastAsia" w:ascii="仿宋" w:hAnsi="仿宋" w:eastAsia="仿宋" w:cs="仿宋"/>
          <w:b/>
          <w:sz w:val="24"/>
          <w:szCs w:val="24"/>
        </w:rPr>
        <w:t>、合同生效：</w:t>
      </w:r>
    </w:p>
    <w:p w14:paraId="3B0DB0A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本合同在甲乙双方法人代表或其授权代表签字盖章后生效。</w:t>
      </w:r>
    </w:p>
    <w:p w14:paraId="1AC5128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肆</w:t>
      </w:r>
      <w:r>
        <w:rPr>
          <w:rFonts w:hint="eastAsia" w:ascii="仿宋" w:hAnsi="仿宋" w:eastAsia="仿宋" w:cs="仿宋"/>
          <w:sz w:val="24"/>
          <w:szCs w:val="24"/>
          <w:u w:val="single"/>
        </w:rPr>
        <w:t xml:space="preserve"> </w:t>
      </w:r>
      <w:r>
        <w:rPr>
          <w:rFonts w:hint="eastAsia" w:ascii="仿宋" w:hAnsi="仿宋" w:eastAsia="仿宋" w:cs="仿宋"/>
          <w:sz w:val="24"/>
          <w:szCs w:val="24"/>
        </w:rPr>
        <w:t>份，甲方持</w:t>
      </w:r>
      <w:r>
        <w:rPr>
          <w:rFonts w:hint="eastAsia" w:ascii="仿宋" w:hAnsi="仿宋" w:eastAsia="仿宋" w:cs="仿宋"/>
          <w:sz w:val="24"/>
          <w:szCs w:val="24"/>
          <w:u w:val="single"/>
          <w:lang w:eastAsia="zh-CN"/>
        </w:rPr>
        <w:t>叁</w:t>
      </w:r>
      <w:r>
        <w:rPr>
          <w:rFonts w:hint="eastAsia" w:ascii="仿宋" w:hAnsi="仿宋" w:eastAsia="仿宋" w:cs="仿宋"/>
          <w:sz w:val="24"/>
          <w:szCs w:val="24"/>
        </w:rPr>
        <w:t>份，乙方持</w:t>
      </w:r>
      <w:r>
        <w:rPr>
          <w:rFonts w:hint="eastAsia" w:ascii="仿宋" w:hAnsi="仿宋" w:eastAsia="仿宋" w:cs="仿宋"/>
          <w:sz w:val="24"/>
          <w:szCs w:val="24"/>
          <w:u w:val="single"/>
        </w:rPr>
        <w:t>壹</w:t>
      </w:r>
      <w:r>
        <w:rPr>
          <w:rFonts w:hint="eastAsia" w:ascii="仿宋" w:hAnsi="仿宋" w:eastAsia="仿宋" w:cs="仿宋"/>
          <w:sz w:val="24"/>
          <w:szCs w:val="24"/>
        </w:rPr>
        <w:t>份。</w:t>
      </w:r>
    </w:p>
    <w:p w14:paraId="6096F2AE">
      <w:pPr>
        <w:snapToGrid w:val="0"/>
        <w:spacing w:line="400" w:lineRule="exact"/>
        <w:ind w:firstLine="480" w:firstLineChars="200"/>
        <w:rPr>
          <w:rFonts w:ascii="仿宋" w:hAnsi="仿宋" w:eastAsia="仿宋" w:cs="仿宋"/>
          <w:color w:val="000000"/>
          <w:sz w:val="24"/>
          <w:szCs w:val="24"/>
        </w:rPr>
      </w:pPr>
    </w:p>
    <w:tbl>
      <w:tblPr>
        <w:tblStyle w:val="9"/>
        <w:tblW w:w="9033" w:type="dxa"/>
        <w:jc w:val="center"/>
        <w:tblLayout w:type="fixed"/>
        <w:tblCellMar>
          <w:top w:w="0" w:type="dxa"/>
          <w:left w:w="108" w:type="dxa"/>
          <w:bottom w:w="0" w:type="dxa"/>
          <w:right w:w="108" w:type="dxa"/>
        </w:tblCellMar>
      </w:tblPr>
      <w:tblGrid>
        <w:gridCol w:w="4516"/>
        <w:gridCol w:w="4517"/>
      </w:tblGrid>
      <w:tr w14:paraId="10D3AA4A">
        <w:tblPrEx>
          <w:tblCellMar>
            <w:top w:w="0" w:type="dxa"/>
            <w:left w:w="108" w:type="dxa"/>
            <w:bottom w:w="0" w:type="dxa"/>
            <w:right w:w="108" w:type="dxa"/>
          </w:tblCellMar>
        </w:tblPrEx>
        <w:trPr>
          <w:cantSplit/>
          <w:trHeight w:val="148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3864A071">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 xml:space="preserve">甲方（章）           </w:t>
            </w:r>
          </w:p>
          <w:p w14:paraId="64389D50">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p>
          <w:p w14:paraId="4412581A">
            <w:pPr>
              <w:keepNext w:val="0"/>
              <w:keepLines w:val="0"/>
              <w:suppressLineNumbers w:val="0"/>
              <w:snapToGrid w:val="0"/>
              <w:spacing w:before="0" w:beforeAutospacing="0" w:after="0" w:afterAutospacing="0" w:line="400" w:lineRule="exact"/>
              <w:ind w:left="0" w:right="0" w:firstLine="1080" w:firstLineChars="450"/>
              <w:jc w:val="right"/>
              <w:rPr>
                <w:rFonts w:hint="default" w:ascii="仿宋" w:hAnsi="仿宋" w:eastAsia="仿宋" w:cs="仿宋"/>
                <w:color w:val="000000"/>
                <w:sz w:val="24"/>
                <w:szCs w:val="24"/>
              </w:rPr>
            </w:pPr>
            <w:r>
              <w:rPr>
                <w:rFonts w:hint="eastAsia" w:ascii="仿宋" w:hAnsi="仿宋" w:eastAsia="仿宋" w:cs="仿宋"/>
                <w:color w:val="000000"/>
                <w:sz w:val="24"/>
                <w:szCs w:val="24"/>
              </w:rPr>
              <w:t>年   月   日</w:t>
            </w:r>
          </w:p>
        </w:tc>
        <w:tc>
          <w:tcPr>
            <w:tcW w:w="4517" w:type="dxa"/>
            <w:tcBorders>
              <w:top w:val="single" w:color="auto" w:sz="4" w:space="0"/>
              <w:left w:val="nil"/>
              <w:bottom w:val="single" w:color="auto" w:sz="4" w:space="0"/>
              <w:right w:val="single" w:color="auto" w:sz="4" w:space="0"/>
            </w:tcBorders>
            <w:vAlign w:val="center"/>
          </w:tcPr>
          <w:p w14:paraId="35BEB5B7">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 xml:space="preserve">乙方（章）              </w:t>
            </w:r>
          </w:p>
          <w:p w14:paraId="0A6532AB">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p>
          <w:p w14:paraId="517DB9F8">
            <w:pPr>
              <w:keepNext w:val="0"/>
              <w:keepLines w:val="0"/>
              <w:suppressLineNumbers w:val="0"/>
              <w:snapToGrid w:val="0"/>
              <w:spacing w:before="0" w:beforeAutospacing="0" w:after="0" w:afterAutospacing="0" w:line="400" w:lineRule="exact"/>
              <w:ind w:left="0" w:right="0"/>
              <w:jc w:val="right"/>
              <w:rPr>
                <w:rFonts w:hint="default" w:ascii="仿宋" w:hAnsi="仿宋" w:eastAsia="仿宋" w:cs="仿宋"/>
                <w:color w:val="000000"/>
                <w:sz w:val="24"/>
                <w:szCs w:val="24"/>
              </w:rPr>
            </w:pPr>
            <w:r>
              <w:rPr>
                <w:rFonts w:hint="eastAsia" w:ascii="仿宋" w:hAnsi="仿宋" w:eastAsia="仿宋" w:cs="仿宋"/>
                <w:color w:val="000000"/>
                <w:sz w:val="24"/>
                <w:szCs w:val="24"/>
              </w:rPr>
              <w:t>年   月   日</w:t>
            </w:r>
          </w:p>
        </w:tc>
      </w:tr>
      <w:tr w14:paraId="2B80402C">
        <w:tblPrEx>
          <w:tblCellMar>
            <w:top w:w="0" w:type="dxa"/>
            <w:left w:w="108" w:type="dxa"/>
            <w:bottom w:w="0" w:type="dxa"/>
            <w:right w:w="108" w:type="dxa"/>
          </w:tblCellMar>
        </w:tblPrEx>
        <w:trPr>
          <w:cantSplit/>
          <w:trHeight w:val="34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1398105E">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单位地址：</w:t>
            </w:r>
          </w:p>
        </w:tc>
        <w:tc>
          <w:tcPr>
            <w:tcW w:w="4517" w:type="dxa"/>
            <w:tcBorders>
              <w:top w:val="single" w:color="auto" w:sz="4" w:space="0"/>
              <w:left w:val="nil"/>
              <w:bottom w:val="single" w:color="auto" w:sz="4" w:space="0"/>
              <w:right w:val="single" w:color="auto" w:sz="4" w:space="0"/>
            </w:tcBorders>
            <w:vAlign w:val="center"/>
          </w:tcPr>
          <w:p w14:paraId="27A61CF7">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单位地址：</w:t>
            </w:r>
          </w:p>
        </w:tc>
      </w:tr>
      <w:tr w14:paraId="0E7A9AD2">
        <w:tblPrEx>
          <w:tblCellMar>
            <w:top w:w="0" w:type="dxa"/>
            <w:left w:w="108" w:type="dxa"/>
            <w:bottom w:w="0" w:type="dxa"/>
            <w:right w:w="108" w:type="dxa"/>
          </w:tblCellMar>
        </w:tblPrEx>
        <w:trPr>
          <w:cantSplit/>
          <w:trHeight w:val="815"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30D08B7E">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法定代表人：</w:t>
            </w:r>
          </w:p>
        </w:tc>
        <w:tc>
          <w:tcPr>
            <w:tcW w:w="4517" w:type="dxa"/>
            <w:tcBorders>
              <w:top w:val="single" w:color="auto" w:sz="4" w:space="0"/>
              <w:left w:val="nil"/>
              <w:bottom w:val="single" w:color="auto" w:sz="4" w:space="0"/>
              <w:right w:val="single" w:color="auto" w:sz="4" w:space="0"/>
            </w:tcBorders>
            <w:vAlign w:val="center"/>
          </w:tcPr>
          <w:p w14:paraId="06814B36">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法定代表人：</w:t>
            </w:r>
          </w:p>
        </w:tc>
      </w:tr>
      <w:tr w14:paraId="47C798D1">
        <w:tblPrEx>
          <w:tblCellMar>
            <w:top w:w="0" w:type="dxa"/>
            <w:left w:w="108" w:type="dxa"/>
            <w:bottom w:w="0" w:type="dxa"/>
            <w:right w:w="108" w:type="dxa"/>
          </w:tblCellMar>
        </w:tblPrEx>
        <w:trPr>
          <w:cantSplit/>
          <w:trHeight w:val="78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73F5F2A1">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委托代理人：</w:t>
            </w:r>
          </w:p>
        </w:tc>
        <w:tc>
          <w:tcPr>
            <w:tcW w:w="4517" w:type="dxa"/>
            <w:tcBorders>
              <w:top w:val="single" w:color="auto" w:sz="4" w:space="0"/>
              <w:left w:val="nil"/>
              <w:bottom w:val="single" w:color="auto" w:sz="4" w:space="0"/>
              <w:right w:val="single" w:color="auto" w:sz="4" w:space="0"/>
            </w:tcBorders>
            <w:vAlign w:val="center"/>
          </w:tcPr>
          <w:p w14:paraId="78D5B0C2">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委托代理人</w:t>
            </w:r>
          </w:p>
        </w:tc>
      </w:tr>
      <w:tr w14:paraId="2AF0B639">
        <w:tblPrEx>
          <w:tblCellMar>
            <w:top w:w="0" w:type="dxa"/>
            <w:left w:w="108" w:type="dxa"/>
            <w:bottom w:w="0" w:type="dxa"/>
            <w:right w:w="108" w:type="dxa"/>
          </w:tblCellMar>
        </w:tblPrEx>
        <w:trPr>
          <w:cantSplit/>
          <w:trHeight w:val="34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7F3AD3F1">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电话：</w:t>
            </w:r>
          </w:p>
        </w:tc>
        <w:tc>
          <w:tcPr>
            <w:tcW w:w="4517" w:type="dxa"/>
            <w:tcBorders>
              <w:top w:val="single" w:color="auto" w:sz="4" w:space="0"/>
              <w:left w:val="nil"/>
              <w:bottom w:val="single" w:color="auto" w:sz="4" w:space="0"/>
              <w:right w:val="single" w:color="auto" w:sz="4" w:space="0"/>
            </w:tcBorders>
            <w:vAlign w:val="center"/>
          </w:tcPr>
          <w:p w14:paraId="09C7767E">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电话：</w:t>
            </w:r>
          </w:p>
        </w:tc>
      </w:tr>
      <w:tr w14:paraId="45E90D28">
        <w:tblPrEx>
          <w:tblCellMar>
            <w:top w:w="0" w:type="dxa"/>
            <w:left w:w="108" w:type="dxa"/>
            <w:bottom w:w="0" w:type="dxa"/>
            <w:right w:w="108" w:type="dxa"/>
          </w:tblCellMar>
        </w:tblPrEx>
        <w:trPr>
          <w:cantSplit/>
          <w:trHeight w:val="34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7AD66E3D">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电子邮箱：</w:t>
            </w:r>
          </w:p>
        </w:tc>
        <w:tc>
          <w:tcPr>
            <w:tcW w:w="4517" w:type="dxa"/>
            <w:tcBorders>
              <w:top w:val="single" w:color="auto" w:sz="4" w:space="0"/>
              <w:left w:val="nil"/>
              <w:bottom w:val="single" w:color="auto" w:sz="4" w:space="0"/>
              <w:right w:val="single" w:color="auto" w:sz="4" w:space="0"/>
            </w:tcBorders>
            <w:vAlign w:val="center"/>
          </w:tcPr>
          <w:p w14:paraId="72036D6F">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电子邮箱：</w:t>
            </w:r>
          </w:p>
        </w:tc>
      </w:tr>
      <w:tr w14:paraId="5ABE7B3E">
        <w:tblPrEx>
          <w:tblCellMar>
            <w:top w:w="0" w:type="dxa"/>
            <w:left w:w="108" w:type="dxa"/>
            <w:bottom w:w="0" w:type="dxa"/>
            <w:right w:w="108" w:type="dxa"/>
          </w:tblCellMar>
        </w:tblPrEx>
        <w:trPr>
          <w:cantSplit/>
          <w:trHeight w:val="34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7F5D47EF">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开户银行：</w:t>
            </w:r>
          </w:p>
        </w:tc>
        <w:tc>
          <w:tcPr>
            <w:tcW w:w="4517" w:type="dxa"/>
            <w:tcBorders>
              <w:top w:val="single" w:color="auto" w:sz="4" w:space="0"/>
              <w:left w:val="nil"/>
              <w:bottom w:val="single" w:color="auto" w:sz="4" w:space="0"/>
              <w:right w:val="single" w:color="auto" w:sz="4" w:space="0"/>
            </w:tcBorders>
            <w:vAlign w:val="center"/>
          </w:tcPr>
          <w:p w14:paraId="04515F03">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开户银行：</w:t>
            </w:r>
          </w:p>
        </w:tc>
      </w:tr>
      <w:tr w14:paraId="2B7798D7">
        <w:tblPrEx>
          <w:tblCellMar>
            <w:top w:w="0" w:type="dxa"/>
            <w:left w:w="108" w:type="dxa"/>
            <w:bottom w:w="0" w:type="dxa"/>
            <w:right w:w="108" w:type="dxa"/>
          </w:tblCellMar>
        </w:tblPrEx>
        <w:trPr>
          <w:cantSplit/>
          <w:trHeight w:val="34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0DA7D6F8">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账号：</w:t>
            </w:r>
          </w:p>
        </w:tc>
        <w:tc>
          <w:tcPr>
            <w:tcW w:w="4517" w:type="dxa"/>
            <w:tcBorders>
              <w:top w:val="single" w:color="auto" w:sz="4" w:space="0"/>
              <w:left w:val="nil"/>
              <w:bottom w:val="single" w:color="auto" w:sz="4" w:space="0"/>
              <w:right w:val="single" w:color="auto" w:sz="4" w:space="0"/>
            </w:tcBorders>
            <w:vAlign w:val="center"/>
          </w:tcPr>
          <w:p w14:paraId="40836613">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账号：</w:t>
            </w:r>
          </w:p>
        </w:tc>
      </w:tr>
    </w:tbl>
    <w:p w14:paraId="47CC038D">
      <w:pPr>
        <w:spacing w:line="400" w:lineRule="exact"/>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14:paraId="552768DF">
      <w:pPr>
        <w:spacing w:line="400" w:lineRule="exact"/>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14:paraId="5938B87A">
      <w:pPr>
        <w:rPr>
          <w:rFonts w:ascii="仿宋" w:hAnsi="仿宋" w:eastAsia="仿宋" w:cs="仿宋"/>
        </w:rPr>
      </w:pPr>
    </w:p>
    <w:sectPr>
      <w:pgSz w:w="11906" w:h="16838"/>
      <w:pgMar w:top="1417" w:right="113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7F41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FF8D0">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1FF8D0">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jY0OGE4NzcwZTFjZDNlMzIzY2FjMTJmYzQxMzYifQ=="/>
  </w:docVars>
  <w:rsids>
    <w:rsidRoot w:val="00DF5417"/>
    <w:rsid w:val="00045C9D"/>
    <w:rsid w:val="000660E9"/>
    <w:rsid w:val="00150502"/>
    <w:rsid w:val="003E156E"/>
    <w:rsid w:val="00404122"/>
    <w:rsid w:val="00485F6B"/>
    <w:rsid w:val="00612008"/>
    <w:rsid w:val="006C3A9B"/>
    <w:rsid w:val="00772054"/>
    <w:rsid w:val="008948B9"/>
    <w:rsid w:val="009B44E8"/>
    <w:rsid w:val="009E58D6"/>
    <w:rsid w:val="00B85920"/>
    <w:rsid w:val="00DF5417"/>
    <w:rsid w:val="00E62768"/>
    <w:rsid w:val="00F545A4"/>
    <w:rsid w:val="047D370D"/>
    <w:rsid w:val="09EF3C34"/>
    <w:rsid w:val="0CF83270"/>
    <w:rsid w:val="173450B6"/>
    <w:rsid w:val="1FAB3EB4"/>
    <w:rsid w:val="2E6417D3"/>
    <w:rsid w:val="3C400B67"/>
    <w:rsid w:val="3D6546AB"/>
    <w:rsid w:val="40B14E05"/>
    <w:rsid w:val="41940BE8"/>
    <w:rsid w:val="44ED578F"/>
    <w:rsid w:val="4DF5060C"/>
    <w:rsid w:val="5C2E04A2"/>
    <w:rsid w:val="5EF47580"/>
    <w:rsid w:val="628A21AA"/>
    <w:rsid w:val="6F6A5154"/>
    <w:rsid w:val="72AE5470"/>
    <w:rsid w:val="72C50E1C"/>
    <w:rsid w:val="74E35880"/>
    <w:rsid w:val="7B5050C4"/>
    <w:rsid w:val="7B7C21B1"/>
    <w:rsid w:val="7CFE62B9"/>
    <w:rsid w:val="7D1B38F5"/>
    <w:rsid w:val="7E236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4"/>
    <w:basedOn w:val="1"/>
    <w:next w:val="1"/>
    <w:link w:val="14"/>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toc 1"/>
    <w:basedOn w:val="1"/>
    <w:next w:val="1"/>
    <w:semiHidden/>
    <w:unhideWhenUsed/>
    <w:qFormat/>
    <w:uiPriority w:val="39"/>
  </w:style>
  <w:style w:type="paragraph" w:styleId="4">
    <w:name w:val="Plain Text"/>
    <w:basedOn w:val="1"/>
    <w:semiHidden/>
    <w:unhideWhenUsed/>
    <w:qFormat/>
    <w:uiPriority w:val="99"/>
    <w:rPr>
      <w:rFonts w:ascii="宋体" w:hAnsi="Courier New"/>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semiHidden/>
    <w:unhideWhenUsed/>
    <w:qFormat/>
    <w:uiPriority w:val="99"/>
    <w:pPr>
      <w:ind w:firstLine="420"/>
    </w:pPr>
    <w:rPr>
      <w:color w:val="000000"/>
    </w:rPr>
  </w:style>
  <w:style w:type="paragraph" w:styleId="8">
    <w:name w:val="Normal (Web)"/>
    <w:basedOn w:val="1"/>
    <w:semiHidden/>
    <w:unhideWhenUsed/>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标题 4 Char"/>
    <w:basedOn w:val="11"/>
    <w:link w:val="3"/>
    <w:qFormat/>
    <w:uiPriority w:val="0"/>
    <w:rPr>
      <w:rFonts w:ascii="Cambria" w:hAnsi="Cambria" w:eastAsia="宋体" w:cs="Times New Roman"/>
      <w:b/>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3250</Words>
  <Characters>3621</Characters>
  <Lines>21</Lines>
  <Paragraphs>5</Paragraphs>
  <TotalTime>1</TotalTime>
  <ScaleCrop>false</ScaleCrop>
  <LinksUpToDate>false</LinksUpToDate>
  <CharactersWithSpaces>3731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2024-01-17T00:32:00Z</dcterms:created>
  <dc:creator>Administrator</dc:creator>
  <cp:lastModifiedBy>小女韡Asdet</cp:lastModifiedBy>
  <dcterms:modified xsi:type="dcterms:W3CDTF">2024-10-23T01:39:15Z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11C1EBB928A9435395D6F2869F8F48A1_12</vt:lpwstr>
  </property>
</Properties>
</file>