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E455E">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3831F058">
      <w:pPr>
        <w:pStyle w:val="2"/>
        <w:spacing w:line="400" w:lineRule="exact"/>
        <w:ind w:left="-500" w:leftChars="-238" w:firstLine="420" w:firstLineChars="199"/>
        <w:rPr>
          <w:color w:val="auto"/>
          <w:sz w:val="21"/>
          <w:szCs w:val="21"/>
        </w:rPr>
      </w:pPr>
      <w:r>
        <w:rPr>
          <w:rFonts w:hint="eastAsia"/>
          <w:b/>
          <w:bCs/>
          <w:color w:val="auto"/>
          <w:sz w:val="21"/>
          <w:szCs w:val="21"/>
        </w:rPr>
        <w:t>★ 部分为核心参数</w:t>
      </w:r>
      <w:r>
        <w:rPr>
          <w:rFonts w:hint="eastAsia"/>
          <w:color w:val="auto"/>
          <w:sz w:val="21"/>
          <w:szCs w:val="21"/>
        </w:rPr>
        <w:t>：不满足视为无效投标；</w:t>
      </w:r>
    </w:p>
    <w:p w14:paraId="78688BCB">
      <w:pPr>
        <w:pStyle w:val="2"/>
        <w:spacing w:line="400" w:lineRule="exact"/>
        <w:ind w:left="-500" w:leftChars="-238" w:firstLine="420" w:firstLineChars="199"/>
        <w:rPr>
          <w:color w:val="auto"/>
          <w:sz w:val="21"/>
          <w:szCs w:val="21"/>
        </w:rPr>
      </w:pPr>
      <w:r>
        <w:rPr>
          <w:rFonts w:hint="eastAsia"/>
          <w:b/>
          <w:bCs/>
          <w:color w:val="auto"/>
          <w:sz w:val="21"/>
          <w:szCs w:val="21"/>
        </w:rPr>
        <w:t>＃部分为重要指标</w:t>
      </w:r>
      <w:r>
        <w:rPr>
          <w:rFonts w:hint="eastAsia"/>
          <w:color w:val="auto"/>
          <w:sz w:val="21"/>
          <w:szCs w:val="21"/>
        </w:rPr>
        <w:t>：满足或优于（正偏离）该条件则评审时成倍加分，不满足（负偏离）则成倍扣分；</w:t>
      </w:r>
    </w:p>
    <w:p w14:paraId="3E404174">
      <w:pPr>
        <w:pStyle w:val="2"/>
        <w:spacing w:line="400" w:lineRule="exact"/>
        <w:ind w:left="-500" w:leftChars="-238" w:firstLine="420" w:firstLineChars="199"/>
        <w:rPr>
          <w:color w:val="auto"/>
          <w:sz w:val="21"/>
          <w:szCs w:val="21"/>
        </w:rPr>
      </w:pPr>
      <w:r>
        <w:rPr>
          <w:rFonts w:hint="eastAsia"/>
          <w:b/>
          <w:bCs/>
          <w:color w:val="auto"/>
          <w:sz w:val="21"/>
          <w:szCs w:val="21"/>
        </w:rPr>
        <w:t>其他为一般指标要求</w:t>
      </w:r>
      <w:r>
        <w:rPr>
          <w:rFonts w:hint="eastAsia"/>
          <w:color w:val="auto"/>
          <w:sz w:val="21"/>
          <w:szCs w:val="21"/>
        </w:rPr>
        <w:t>：优于该条件的为正偏离，评审时加分，不满足的为负偏离，评审时予以扣分。</w:t>
      </w:r>
    </w:p>
    <w:p w14:paraId="4DBC546C">
      <w:pPr>
        <w:pStyle w:val="2"/>
        <w:spacing w:line="400" w:lineRule="exact"/>
        <w:ind w:left="-708" w:leftChars="-337" w:firstLine="551" w:firstLineChars="196"/>
        <w:rPr>
          <w:rFonts w:cs="宋体"/>
          <w:b/>
          <w:bCs/>
          <w:color w:val="auto"/>
          <w:sz w:val="28"/>
          <w:szCs w:val="28"/>
        </w:rPr>
      </w:pPr>
      <w:r>
        <w:rPr>
          <w:rFonts w:hint="eastAsia" w:cs="宋体"/>
          <w:b/>
          <w:bCs/>
          <w:color w:val="auto"/>
          <w:sz w:val="28"/>
          <w:szCs w:val="28"/>
        </w:rPr>
        <w:t>一、采购清单、技术规格参数、质量标准和要求</w:t>
      </w:r>
    </w:p>
    <w:p w14:paraId="6EF3BC7C">
      <w:pPr>
        <w:pStyle w:val="2"/>
        <w:spacing w:line="400" w:lineRule="exact"/>
        <w:ind w:left="-708" w:leftChars="-337" w:firstLine="354" w:firstLineChars="147"/>
        <w:rPr>
          <w:b/>
          <w:bCs/>
          <w:color w:val="auto"/>
        </w:rPr>
      </w:pPr>
      <w:r>
        <w:rPr>
          <w:rFonts w:hint="eastAsia" w:cs="宋体"/>
          <w:b/>
          <w:bCs/>
          <w:color w:val="auto"/>
        </w:rPr>
        <w:t>（一）采购清单</w:t>
      </w:r>
      <w:r>
        <w:rPr>
          <w:b/>
          <w:bCs/>
          <w:color w:val="auto"/>
        </w:rPr>
        <w:t> </w:t>
      </w:r>
    </w:p>
    <w:p w14:paraId="2E6B233C">
      <w:pPr>
        <w:pStyle w:val="2"/>
        <w:spacing w:line="400" w:lineRule="exact"/>
        <w:ind w:left="-708" w:leftChars="-337" w:firstLine="472" w:firstLineChars="196"/>
        <w:rPr>
          <w:b/>
          <w:bCs/>
          <w:color w:val="auto"/>
          <w:szCs w:val="18"/>
        </w:rPr>
      </w:pPr>
      <w:r>
        <w:rPr>
          <w:rFonts w:hint="eastAsia"/>
          <w:b/>
          <w:bCs/>
          <w:color w:val="auto"/>
          <w:szCs w:val="18"/>
        </w:rPr>
        <w:t>2024年医疗责任保险服务</w:t>
      </w:r>
    </w:p>
    <w:p w14:paraId="6D16BF99">
      <w:pPr>
        <w:widowControl/>
        <w:numPr>
          <w:ilvl w:val="0"/>
          <w:numId w:val="1"/>
        </w:numPr>
        <w:spacing w:line="400" w:lineRule="exact"/>
        <w:ind w:left="-708" w:leftChars="-337"/>
        <w:jc w:val="left"/>
      </w:pPr>
      <w:r>
        <w:rPr>
          <w:rFonts w:hint="eastAsia" w:cs="宋体"/>
          <w:b/>
          <w:bCs/>
          <w:kern w:val="0"/>
          <w:sz w:val="24"/>
          <w:szCs w:val="24"/>
        </w:rPr>
        <w:t>技术规格参数</w:t>
      </w:r>
    </w:p>
    <w:p w14:paraId="3559A8A2">
      <w:pPr>
        <w:pStyle w:val="4"/>
        <w:spacing w:after="0" w:line="400" w:lineRule="exact"/>
        <w:rPr>
          <w:rFonts w:ascii="宋体" w:hAnsi="宋体" w:cs="宋体"/>
          <w:b/>
          <w:bCs/>
          <w:szCs w:val="21"/>
        </w:rPr>
      </w:pPr>
      <w:r>
        <w:rPr>
          <w:rFonts w:hint="eastAsia" w:ascii="宋体" w:hAnsi="宋体" w:cs="黑体"/>
          <w:b/>
          <w:bCs/>
          <w:szCs w:val="21"/>
        </w:rPr>
        <w:t>一</w:t>
      </w:r>
      <w:r>
        <w:rPr>
          <w:rFonts w:hint="eastAsia" w:ascii="宋体" w:hAnsi="宋体" w:cs="宋体"/>
          <w:b/>
          <w:bCs/>
          <w:szCs w:val="21"/>
        </w:rPr>
        <w:t>、保险险种及基本数据</w:t>
      </w:r>
    </w:p>
    <w:p w14:paraId="0B8A0968">
      <w:pPr>
        <w:pStyle w:val="4"/>
        <w:spacing w:after="0" w:line="400" w:lineRule="exact"/>
        <w:rPr>
          <w:rFonts w:hint="eastAsia" w:ascii="宋体" w:hAnsi="宋体" w:cs="宋体"/>
          <w:szCs w:val="21"/>
        </w:rPr>
      </w:pPr>
      <w:r>
        <w:rPr>
          <w:rFonts w:hint="eastAsia" w:ascii="宋体" w:hAnsi="宋体" w:cs="宋体"/>
          <w:szCs w:val="21"/>
        </w:rPr>
        <w:t>主险：《医疗责任保险》；附加险：医务人员法定传染病责任险。</w:t>
      </w:r>
    </w:p>
    <w:p w14:paraId="7740AD0C">
      <w:pPr>
        <w:pStyle w:val="4"/>
        <w:spacing w:after="0" w:line="400" w:lineRule="exact"/>
        <w:rPr>
          <w:rFonts w:ascii="宋体" w:hAnsi="宋体" w:cs="宋体"/>
          <w:szCs w:val="21"/>
        </w:rPr>
      </w:pPr>
      <w:r>
        <w:rPr>
          <w:rFonts w:hint="eastAsia" w:ascii="宋体" w:hAnsi="宋体" w:cs="宋体"/>
        </w:rPr>
        <w:t>基本数据（2023年）：</w:t>
      </w:r>
      <w:r>
        <w:rPr>
          <w:rFonts w:hint="eastAsia" w:ascii="宋体" w:hAnsi="宋体"/>
          <w:color w:val="333333"/>
        </w:rPr>
        <w:t>医师总数: 387,护士总数: 605,手术台次: 11747,年营业手术: 60692.7万， 床位数:930 ,门诊人次: 41583 ,住院人次: 39475。</w:t>
      </w:r>
    </w:p>
    <w:p w14:paraId="4365691B">
      <w:pPr>
        <w:pStyle w:val="4"/>
        <w:spacing w:after="0" w:line="400" w:lineRule="exact"/>
        <w:rPr>
          <w:rFonts w:ascii="宋体" w:hAnsi="宋体" w:cs="宋体"/>
          <w:szCs w:val="21"/>
        </w:rPr>
      </w:pPr>
      <w:r>
        <w:rPr>
          <w:rFonts w:hint="eastAsia" w:ascii="宋体" w:hAnsi="宋体" w:cs="宋体"/>
          <w:szCs w:val="21"/>
        </w:rPr>
        <w:t>二、保障内容</w:t>
      </w:r>
    </w:p>
    <w:p w14:paraId="133A5843">
      <w:pPr>
        <w:pStyle w:val="4"/>
        <w:spacing w:after="0" w:line="400" w:lineRule="exact"/>
        <w:rPr>
          <w:rFonts w:ascii="宋体" w:hAnsi="宋体" w:cs="宋体"/>
          <w:szCs w:val="21"/>
        </w:rPr>
      </w:pPr>
      <w:r>
        <w:rPr>
          <w:rFonts w:hint="eastAsia" w:ascii="宋体" w:hAnsi="宋体" w:cs="宋体"/>
          <w:szCs w:val="21"/>
        </w:rPr>
        <w:t>1、主险：《医疗责任保险》保险金额：</w:t>
      </w:r>
      <w:r>
        <w:rPr>
          <w:rFonts w:ascii="宋体" w:hAnsi="宋体" w:cs="宋体"/>
          <w:szCs w:val="21"/>
        </w:rPr>
        <w:t>¥</w:t>
      </w:r>
      <w:r>
        <w:rPr>
          <w:rFonts w:hint="eastAsia" w:ascii="宋体" w:hAnsi="宋体" w:cs="宋体"/>
          <w:szCs w:val="21"/>
        </w:rPr>
        <w:t>2500000.00元，法律费用累计责任限额：</w:t>
      </w:r>
      <w:r>
        <w:rPr>
          <w:rFonts w:ascii="宋体" w:hAnsi="宋体" w:cs="宋体"/>
          <w:szCs w:val="21"/>
        </w:rPr>
        <w:t>¥</w:t>
      </w:r>
      <w:r>
        <w:rPr>
          <w:rFonts w:hint="eastAsia" w:ascii="宋体" w:hAnsi="宋体" w:cs="宋体"/>
          <w:szCs w:val="21"/>
        </w:rPr>
        <w:t>300000.00元，法律费用每次事故责任限额：</w:t>
      </w:r>
      <w:r>
        <w:rPr>
          <w:rFonts w:ascii="宋体" w:hAnsi="宋体" w:cs="宋体"/>
          <w:szCs w:val="21"/>
        </w:rPr>
        <w:t>¥</w:t>
      </w:r>
      <w:r>
        <w:rPr>
          <w:rFonts w:hint="eastAsia" w:ascii="宋体" w:hAnsi="宋体" w:cs="宋体"/>
          <w:szCs w:val="21"/>
        </w:rPr>
        <w:t>300000.00元，每人责任限额：</w:t>
      </w:r>
      <w:r>
        <w:rPr>
          <w:rFonts w:ascii="宋体" w:hAnsi="宋体" w:cs="宋体"/>
          <w:szCs w:val="21"/>
        </w:rPr>
        <w:t>¥</w:t>
      </w:r>
      <w:r>
        <w:rPr>
          <w:rFonts w:hint="eastAsia" w:ascii="宋体" w:hAnsi="宋体" w:cs="宋体"/>
          <w:szCs w:val="21"/>
        </w:rPr>
        <w:t>300000.00元，精神损害每人责任限额：</w:t>
      </w:r>
      <w:r>
        <w:rPr>
          <w:rFonts w:ascii="宋体" w:hAnsi="宋体" w:cs="宋体"/>
          <w:szCs w:val="21"/>
        </w:rPr>
        <w:t>¥</w:t>
      </w:r>
      <w:r>
        <w:rPr>
          <w:rFonts w:hint="eastAsia" w:ascii="宋体" w:hAnsi="宋体" w:cs="宋体"/>
          <w:szCs w:val="21"/>
        </w:rPr>
        <w:t>120000.00元，医疗责任累计责任限额：2500000.00元；</w:t>
      </w:r>
    </w:p>
    <w:p w14:paraId="38872952">
      <w:pPr>
        <w:pStyle w:val="4"/>
        <w:spacing w:after="0" w:line="400" w:lineRule="exact"/>
        <w:rPr>
          <w:rFonts w:ascii="宋体" w:hAnsi="宋体" w:cs="宋体"/>
          <w:szCs w:val="21"/>
        </w:rPr>
      </w:pPr>
      <w:r>
        <w:rPr>
          <w:rFonts w:hint="eastAsia" w:ascii="宋体" w:hAnsi="宋体" w:cs="宋体"/>
          <w:szCs w:val="21"/>
        </w:rPr>
        <w:t>2、附加医务人员感染法定传染病责任，保险金额：</w:t>
      </w:r>
      <w:r>
        <w:rPr>
          <w:rFonts w:ascii="宋体" w:hAnsi="宋体" w:cs="宋体"/>
          <w:szCs w:val="21"/>
        </w:rPr>
        <w:t>¥</w:t>
      </w:r>
      <w:r>
        <w:rPr>
          <w:rFonts w:hint="eastAsia" w:ascii="宋体" w:hAnsi="宋体" w:cs="宋体"/>
          <w:szCs w:val="21"/>
        </w:rPr>
        <w:t>2500000.00元，医务人员每人责任限额：</w:t>
      </w:r>
      <w:r>
        <w:rPr>
          <w:rFonts w:ascii="宋体" w:hAnsi="宋体" w:cs="宋体"/>
          <w:szCs w:val="21"/>
        </w:rPr>
        <w:t>¥</w:t>
      </w:r>
      <w:r>
        <w:rPr>
          <w:rFonts w:hint="eastAsia" w:ascii="宋体" w:hAnsi="宋体" w:cs="宋体"/>
          <w:szCs w:val="21"/>
        </w:rPr>
        <w:t>300000.00元。</w:t>
      </w:r>
    </w:p>
    <w:p w14:paraId="48EF38FC">
      <w:pPr>
        <w:pStyle w:val="4"/>
        <w:spacing w:after="0" w:line="400" w:lineRule="exact"/>
        <w:rPr>
          <w:rFonts w:ascii="宋体" w:hAnsi="宋体" w:cs="宋体"/>
          <w:szCs w:val="21"/>
        </w:rPr>
      </w:pPr>
      <w:r>
        <w:rPr>
          <w:rFonts w:hint="eastAsia" w:ascii="宋体" w:hAnsi="宋体" w:cs="宋体"/>
          <w:szCs w:val="21"/>
        </w:rPr>
        <w:t>三、</w:t>
      </w:r>
      <w:r>
        <w:rPr>
          <w:rFonts w:hint="eastAsia" w:ascii="宋体" w:hAnsi="宋体"/>
          <w:color w:val="333333"/>
          <w:szCs w:val="21"/>
        </w:rPr>
        <w:t>免赔:</w:t>
      </w:r>
      <w:r>
        <w:rPr>
          <w:rFonts w:hint="eastAsia" w:ascii="宋体" w:hAnsi="宋体"/>
          <w:color w:val="333333"/>
          <w:szCs w:val="21"/>
        </w:rPr>
        <w:br w:type="textWrapping"/>
      </w:r>
      <w:r>
        <w:rPr>
          <w:rFonts w:hint="eastAsia" w:ascii="宋体" w:hAnsi="宋体"/>
          <w:color w:val="333333"/>
          <w:szCs w:val="21"/>
        </w:rPr>
        <w:t>每次事故设绝对免赔额人民币2000元或核定损失金额的20%,二者以高者为准。</w:t>
      </w:r>
      <w:r>
        <w:rPr>
          <w:rFonts w:hint="eastAsia" w:ascii="宋体" w:hAnsi="宋体"/>
          <w:color w:val="333333"/>
          <w:szCs w:val="21"/>
          <w:shd w:val="clear" w:color="auto" w:fill="CCE6FF"/>
        </w:rPr>
        <w:br w:type="textWrapping"/>
      </w:r>
      <w:r>
        <w:rPr>
          <w:rFonts w:hint="eastAsia" w:ascii="宋体" w:hAnsi="宋体" w:cs="宋体"/>
          <w:szCs w:val="21"/>
        </w:rPr>
        <w:t>四、</w:t>
      </w:r>
      <w:r>
        <w:rPr>
          <w:rFonts w:hint="eastAsia" w:ascii="宋体" w:hAnsi="宋体"/>
          <w:color w:val="333333"/>
          <w:szCs w:val="21"/>
        </w:rPr>
        <w:t>主险特约:</w:t>
      </w:r>
      <w:r>
        <w:rPr>
          <w:rFonts w:hint="eastAsia" w:ascii="宋体" w:hAnsi="宋体"/>
          <w:color w:val="333333"/>
          <w:szCs w:val="21"/>
        </w:rPr>
        <w:br w:type="textWrapping"/>
      </w:r>
      <w:r>
        <w:rPr>
          <w:rFonts w:hint="eastAsia" w:ascii="宋体" w:hAnsi="宋体"/>
          <w:color w:val="333333"/>
          <w:szCs w:val="21"/>
        </w:rPr>
        <w:t>(一) 投保人、被保险人需在知道或应当知道保险事故发生后的48小时内向保险人报案。超过48小时向保险人报案的,保险人有权依法不承担赔偿责任或扣减相应赔偿金。</w:t>
      </w:r>
      <w:r>
        <w:rPr>
          <w:rFonts w:hint="eastAsia" w:ascii="宋体" w:hAnsi="宋体"/>
          <w:color w:val="333333"/>
          <w:szCs w:val="21"/>
        </w:rPr>
        <w:br w:type="textWrapping"/>
      </w:r>
      <w:r>
        <w:rPr>
          <w:rFonts w:hint="eastAsia" w:ascii="宋体" w:hAnsi="宋体"/>
          <w:color w:val="333333"/>
          <w:szCs w:val="21"/>
        </w:rPr>
        <w:t>1、 医疗责任每人赔偿限额:30万元:</w:t>
      </w:r>
      <w:r>
        <w:rPr>
          <w:rFonts w:hint="eastAsia" w:ascii="宋体" w:hAnsi="宋体"/>
          <w:color w:val="333333"/>
          <w:szCs w:val="21"/>
        </w:rPr>
        <w:br w:type="textWrapping"/>
      </w:r>
      <w:r>
        <w:rPr>
          <w:rFonts w:hint="eastAsia" w:ascii="宋体" w:hAnsi="宋体"/>
          <w:color w:val="333333"/>
          <w:szCs w:val="21"/>
        </w:rPr>
        <w:t>2、医疗责任累计赔偿限额:250万元:</w:t>
      </w:r>
      <w:r>
        <w:rPr>
          <w:rFonts w:hint="eastAsia" w:ascii="宋体" w:hAnsi="宋体"/>
          <w:color w:val="333333"/>
          <w:szCs w:val="21"/>
        </w:rPr>
        <w:br w:type="textWrapping"/>
      </w:r>
      <w:r>
        <w:rPr>
          <w:rFonts w:hint="eastAsia" w:ascii="宋体" w:hAnsi="宋体"/>
          <w:color w:val="333333"/>
          <w:szCs w:val="21"/>
        </w:rPr>
        <w:t>3、法律费用累计赔偿限额:30万元:</w:t>
      </w:r>
      <w:r>
        <w:rPr>
          <w:rFonts w:hint="eastAsia" w:ascii="宋体" w:hAnsi="宋体"/>
          <w:color w:val="333333"/>
          <w:szCs w:val="21"/>
        </w:rPr>
        <w:br w:type="textWrapping"/>
      </w:r>
      <w:r>
        <w:rPr>
          <w:rFonts w:hint="eastAsia" w:ascii="宋体" w:hAnsi="宋体"/>
          <w:color w:val="333333"/>
          <w:szCs w:val="21"/>
        </w:rPr>
        <w:t>4、法律费用每次索赔赔偿限额:</w:t>
      </w:r>
      <w:r>
        <w:rPr>
          <w:rFonts w:hint="eastAsia" w:ascii="宋体" w:hAnsi="宋体"/>
          <w:szCs w:val="21"/>
        </w:rPr>
        <w:t>30</w:t>
      </w:r>
      <w:r>
        <w:rPr>
          <w:rFonts w:hint="eastAsia" w:ascii="宋体" w:hAnsi="宋体"/>
          <w:color w:val="333333"/>
          <w:szCs w:val="21"/>
        </w:rPr>
        <w:t>万元:</w:t>
      </w:r>
      <w:r>
        <w:rPr>
          <w:rFonts w:hint="eastAsia" w:ascii="宋体" w:hAnsi="宋体"/>
          <w:color w:val="333333"/>
          <w:szCs w:val="21"/>
        </w:rPr>
        <w:br w:type="textWrapping"/>
      </w:r>
      <w:r>
        <w:rPr>
          <w:rFonts w:hint="eastAsia" w:ascii="宋体" w:hAnsi="宋体"/>
          <w:color w:val="333333"/>
          <w:szCs w:val="21"/>
        </w:rPr>
        <w:t>5、精神损害每人责任限额:12万元:</w:t>
      </w:r>
      <w:r>
        <w:rPr>
          <w:rFonts w:hint="eastAsia" w:ascii="宋体" w:hAnsi="宋体"/>
          <w:color w:val="333333"/>
          <w:szCs w:val="21"/>
        </w:rPr>
        <w:br w:type="textWrapping"/>
      </w:r>
      <w:r>
        <w:rPr>
          <w:rFonts w:hint="eastAsia" w:ascii="宋体" w:hAnsi="宋体"/>
          <w:color w:val="333333"/>
          <w:szCs w:val="21"/>
        </w:rPr>
        <w:t>6、医疗意外责任限额:每人责任限额为医疗责任每人责任限额的35%,并包含在医疗责任每人责任限额内。年度累计责任限额为医疗责任年度累计责任限额的35%,并包含在医疗责任年度责任限额内。</w:t>
      </w:r>
      <w:r>
        <w:rPr>
          <w:rFonts w:hint="eastAsia" w:ascii="宋体" w:hAnsi="宋体"/>
          <w:color w:val="333333"/>
          <w:szCs w:val="21"/>
        </w:rPr>
        <w:br w:type="textWrapping"/>
      </w:r>
      <w:r>
        <w:rPr>
          <w:rFonts w:hint="eastAsia" w:ascii="宋体" w:hAnsi="宋体"/>
          <w:color w:val="333333"/>
          <w:szCs w:val="21"/>
        </w:rPr>
        <w:t>(二)、该医疗机构医务人员人数为****)人(详见人员清单)。</w:t>
      </w:r>
      <w:r>
        <w:rPr>
          <w:rFonts w:hint="eastAsia" w:ascii="宋体" w:hAnsi="宋体"/>
          <w:color w:val="333333"/>
          <w:szCs w:val="21"/>
        </w:rPr>
        <w:br w:type="textWrapping"/>
      </w:r>
      <w:r>
        <w:rPr>
          <w:rFonts w:hint="eastAsia" w:ascii="宋体" w:hAnsi="宋体"/>
          <w:color w:val="333333"/>
          <w:szCs w:val="21"/>
        </w:rPr>
        <w:t>(三)、执业许可证号:(49924806-345040311A1001)。</w:t>
      </w:r>
      <w:r>
        <w:rPr>
          <w:rFonts w:hint="eastAsia" w:ascii="宋体" w:hAnsi="宋体"/>
          <w:color w:val="333333"/>
          <w:szCs w:val="21"/>
        </w:rPr>
        <w:br w:type="textWrapping"/>
      </w:r>
      <w:r>
        <w:rPr>
          <w:rFonts w:hint="eastAsia" w:ascii="宋体" w:hAnsi="宋体"/>
          <w:color w:val="333333"/>
          <w:szCs w:val="21"/>
        </w:rPr>
        <w:t>(四)、本保险适用的赔偿处理标准为《民法典》承担赔偿责任。</w:t>
      </w:r>
    </w:p>
    <w:p w14:paraId="4240A350">
      <w:pPr>
        <w:pStyle w:val="4"/>
        <w:spacing w:after="0" w:line="400" w:lineRule="exact"/>
        <w:rPr>
          <w:rFonts w:ascii="宋体" w:hAnsi="宋体" w:cs="宋体"/>
          <w:szCs w:val="21"/>
        </w:rPr>
      </w:pPr>
      <w:r>
        <w:rPr>
          <w:rFonts w:hint="eastAsia" w:ascii="宋体" w:hAnsi="宋体" w:cs="宋体"/>
          <w:szCs w:val="21"/>
        </w:rPr>
        <w:t>五、</w:t>
      </w:r>
      <w:r>
        <w:rPr>
          <w:rFonts w:hint="eastAsia" w:ascii="宋体" w:hAnsi="宋体"/>
          <w:b/>
          <w:color w:val="333333"/>
          <w:szCs w:val="21"/>
        </w:rPr>
        <w:t>附加医务人员感染法定传染病责任保险特约:</w:t>
      </w:r>
      <w:r>
        <w:rPr>
          <w:rFonts w:hint="eastAsia" w:ascii="宋体" w:hAnsi="宋体"/>
          <w:color w:val="333333"/>
          <w:szCs w:val="21"/>
        </w:rPr>
        <w:br w:type="textWrapping"/>
      </w:r>
      <w:r>
        <w:rPr>
          <w:rFonts w:hint="eastAsia" w:ascii="宋体" w:hAnsi="宋体" w:cs="宋体"/>
          <w:szCs w:val="21"/>
        </w:rPr>
        <w:t>附加医务人员法定传染病责任保险：</w:t>
      </w:r>
      <w:r>
        <w:rPr>
          <w:rFonts w:hint="eastAsia" w:ascii="宋体" w:hAnsi="宋体" w:cs="宋体"/>
        </w:rPr>
        <w:t>保险金额：</w:t>
      </w:r>
      <w:r>
        <w:rPr>
          <w:rFonts w:ascii="宋体" w:hAnsi="宋体" w:cs="宋体"/>
        </w:rPr>
        <w:t>¥</w:t>
      </w:r>
      <w:r>
        <w:rPr>
          <w:rFonts w:hint="eastAsia" w:ascii="宋体" w:hAnsi="宋体" w:cs="宋体"/>
        </w:rPr>
        <w:t>2500000.00元，医务人员每人责任限额：</w:t>
      </w:r>
      <w:r>
        <w:rPr>
          <w:rFonts w:ascii="宋体" w:hAnsi="宋体" w:cs="宋体"/>
        </w:rPr>
        <w:t>¥</w:t>
      </w:r>
      <w:r>
        <w:rPr>
          <w:rFonts w:hint="eastAsia" w:ascii="宋体" w:hAnsi="宋体" w:cs="宋体"/>
        </w:rPr>
        <w:t>300000.00元。</w:t>
      </w:r>
    </w:p>
    <w:p w14:paraId="01B47FF8">
      <w:pPr>
        <w:spacing w:line="400" w:lineRule="exact"/>
        <w:rPr>
          <w:rFonts w:ascii="宋体" w:hAnsi="宋体"/>
          <w:color w:val="333333"/>
        </w:rPr>
      </w:pPr>
      <w:r>
        <w:rPr>
          <w:rFonts w:hint="eastAsia" w:ascii="宋体" w:hAnsi="宋体"/>
          <w:color w:val="333333"/>
        </w:rPr>
        <w:t>1、在本保险合同载明的保险期间及承保区域范围内，被保险人的医务人员在从事与其执业资格相符的诊疗活动中感染法定传染病导致死亡的，依照中华人民共和国法律(不包括港、澳、台地区法律)应由被保险人承担的经济赔偿责任,保险人按照本附加险合同约定也负责赔偿。</w:t>
      </w:r>
      <w:r>
        <w:rPr>
          <w:rFonts w:hint="eastAsia" w:ascii="宋体" w:hAnsi="宋体"/>
          <w:color w:val="333333"/>
        </w:rPr>
        <w:br w:type="textWrapping"/>
      </w:r>
      <w:r>
        <w:rPr>
          <w:rFonts w:hint="eastAsia" w:ascii="宋体" w:hAnsi="宋体"/>
          <w:color w:val="333333"/>
        </w:rPr>
        <w:t>法定传染病，是指《中华人民共和国传染病防治法》列明的甲、乙、丙三类传染病，也包括该法未列明但在发生后被国家有关部门]依法认定为法定传染病的疾病。</w:t>
      </w:r>
      <w:r>
        <w:rPr>
          <w:rFonts w:hint="eastAsia" w:ascii="宋体" w:hAnsi="宋体"/>
          <w:color w:val="333333"/>
        </w:rPr>
        <w:br w:type="textWrapping"/>
      </w:r>
      <w:r>
        <w:rPr>
          <w:rFonts w:hint="eastAsia" w:ascii="宋体" w:hAnsi="宋体"/>
          <w:color w:val="333333"/>
        </w:rPr>
        <w:t>2、本附加责任的每人赔偿责任限额与医疗责任保险每人责任限额相同。</w:t>
      </w:r>
    </w:p>
    <w:p w14:paraId="45ECC7E9">
      <w:pPr>
        <w:spacing w:line="400" w:lineRule="exact"/>
        <w:rPr>
          <w:rFonts w:ascii="宋体" w:hAnsi="宋体"/>
          <w:color w:val="333333"/>
        </w:rPr>
      </w:pPr>
      <w:r>
        <w:rPr>
          <w:rFonts w:hint="eastAsia" w:ascii="宋体" w:hAnsi="宋体"/>
          <w:color w:val="333333"/>
        </w:rPr>
        <w:t>3、保险人仅对因法定传染病导致保险合同载明的医务人员死亡赔偿责任。对医务人员因传染病导致的其他损失、费用、责任保险人不负责赔偿。</w:t>
      </w:r>
    </w:p>
    <w:p w14:paraId="2226654A">
      <w:pPr>
        <w:spacing w:line="400" w:lineRule="exact"/>
      </w:pPr>
      <w:r>
        <w:rPr>
          <w:rFonts w:hint="eastAsia" w:ascii="宋体" w:hAnsi="宋体"/>
          <w:color w:val="333333"/>
        </w:rPr>
        <w:t>4、本附加责任所承保的医务人员为保险合同载明的医务人员清单中所列人员，不在医务人员清单中的人员不属于本附加保险的保障范围。</w:t>
      </w:r>
    </w:p>
    <w:p w14:paraId="22854B1C">
      <w:pPr>
        <w:pStyle w:val="2"/>
        <w:spacing w:line="400" w:lineRule="exact"/>
        <w:rPr>
          <w:rFonts w:cs="宋体"/>
          <w:b/>
          <w:bCs/>
          <w:color w:val="auto"/>
        </w:rPr>
      </w:pPr>
      <w:r>
        <w:rPr>
          <w:rFonts w:hint="eastAsia" w:cs="宋体"/>
          <w:b/>
          <w:bCs/>
          <w:color w:val="auto"/>
        </w:rPr>
        <w:t>(三)商务要求</w:t>
      </w:r>
    </w:p>
    <w:p w14:paraId="1000A560">
      <w:pPr>
        <w:pStyle w:val="2"/>
        <w:spacing w:line="400" w:lineRule="exact"/>
        <w:ind w:left="-708" w:leftChars="-337" w:firstLine="472" w:firstLineChars="196"/>
        <w:rPr>
          <w:rFonts w:cs="宋体"/>
          <w:b/>
          <w:bCs/>
          <w:color w:val="auto"/>
        </w:rPr>
      </w:pPr>
      <w:r>
        <w:rPr>
          <w:rFonts w:hint="eastAsia" w:cs="宋体"/>
          <w:b/>
          <w:bCs/>
          <w:color w:val="auto"/>
        </w:rPr>
        <w:t>1、投标人资格要求</w:t>
      </w:r>
    </w:p>
    <w:p w14:paraId="6101FE3E">
      <w:pPr>
        <w:widowControl/>
        <w:spacing w:line="400" w:lineRule="exact"/>
        <w:ind w:firstLine="480" w:firstLineChars="200"/>
        <w:jc w:val="left"/>
        <w:rPr>
          <w:rFonts w:ascii="宋体" w:hAnsi="宋体" w:cs="宋体"/>
          <w:kern w:val="0"/>
          <w:sz w:val="24"/>
          <w:szCs w:val="24"/>
        </w:rPr>
      </w:pPr>
      <w:r>
        <w:rPr>
          <w:rFonts w:hint="eastAsia" w:ascii="宋体" w:hAnsi="宋体" w:cs="宋体"/>
          <w:sz w:val="24"/>
          <w:szCs w:val="24"/>
        </w:rPr>
        <w:t>1）</w:t>
      </w:r>
      <w:r>
        <w:rPr>
          <w:rFonts w:hint="eastAsia" w:ascii="宋体" w:hAnsi="宋体" w:cs="宋体"/>
          <w:kern w:val="0"/>
          <w:sz w:val="24"/>
          <w:szCs w:val="24"/>
        </w:rPr>
        <w:t>必须是符合《中华人民共和国政府采购法》第二十二条之规定的独立法人；</w:t>
      </w:r>
    </w:p>
    <w:p w14:paraId="74277E9F">
      <w:pPr>
        <w:widowControl/>
        <w:spacing w:line="400" w:lineRule="exact"/>
        <w:ind w:firstLine="480" w:firstLineChars="200"/>
        <w:jc w:val="left"/>
        <w:rPr>
          <w:rFonts w:ascii="宋体" w:hAnsi="宋体" w:cs="宋体"/>
          <w:kern w:val="0"/>
          <w:sz w:val="24"/>
          <w:szCs w:val="24"/>
        </w:rPr>
      </w:pPr>
      <w:r>
        <w:rPr>
          <w:rFonts w:hint="eastAsia" w:ascii="宋体" w:hAnsi="宋体" w:cs="宋体"/>
          <w:sz w:val="24"/>
          <w:szCs w:val="24"/>
        </w:rPr>
        <w:t>2）</w:t>
      </w:r>
      <w:r>
        <w:rPr>
          <w:rFonts w:hint="eastAsia" w:ascii="宋体" w:hAnsi="宋体" w:cs="宋体"/>
          <w:kern w:val="0"/>
          <w:sz w:val="24"/>
          <w:szCs w:val="24"/>
        </w:rPr>
        <w:t>经营范围必须与本采购项目实质性相符；</w:t>
      </w:r>
    </w:p>
    <w:p w14:paraId="27C58E68">
      <w:pPr>
        <w:widowControl/>
        <w:spacing w:line="400" w:lineRule="exact"/>
        <w:ind w:firstLine="480" w:firstLineChars="200"/>
        <w:jc w:val="left"/>
        <w:rPr>
          <w:rFonts w:ascii="宋体" w:hAnsi="宋体" w:cs="宋体"/>
          <w:kern w:val="0"/>
          <w:sz w:val="24"/>
          <w:szCs w:val="24"/>
        </w:rPr>
      </w:pPr>
      <w:r>
        <w:rPr>
          <w:rFonts w:hint="eastAsia" w:ascii="宋体" w:hAnsi="宋体" w:cs="宋体"/>
          <w:sz w:val="24"/>
          <w:szCs w:val="24"/>
        </w:rPr>
        <w:t>3）</w:t>
      </w:r>
      <w:r>
        <w:rPr>
          <w:rFonts w:hint="eastAsia" w:ascii="宋体" w:hAnsi="宋体" w:cs="宋体"/>
          <w:kern w:val="0"/>
          <w:sz w:val="24"/>
          <w:szCs w:val="24"/>
        </w:rPr>
        <w:t>有固定的经营场所，有适应项目需要的专业技术人员，具备相关项目的供货能力和售后服务能力，具有良好的商业信誉和财务状况；</w:t>
      </w:r>
    </w:p>
    <w:p w14:paraId="1E6E8477">
      <w:pPr>
        <w:widowControl/>
        <w:spacing w:line="400" w:lineRule="exact"/>
        <w:ind w:firstLine="480" w:firstLineChars="200"/>
        <w:jc w:val="left"/>
        <w:rPr>
          <w:rFonts w:ascii="宋体" w:hAnsi="宋体" w:cs="宋体"/>
          <w:kern w:val="0"/>
          <w:sz w:val="24"/>
          <w:szCs w:val="24"/>
        </w:rPr>
      </w:pPr>
      <w:r>
        <w:rPr>
          <w:rFonts w:hint="eastAsia" w:ascii="宋体" w:hAnsi="宋体" w:cs="宋体"/>
          <w:sz w:val="24"/>
          <w:szCs w:val="24"/>
        </w:rPr>
        <w:t>4）</w:t>
      </w:r>
      <w:r>
        <w:rPr>
          <w:rFonts w:hint="eastAsia" w:ascii="宋体" w:hAnsi="宋体" w:cs="宋体"/>
          <w:kern w:val="0"/>
          <w:sz w:val="24"/>
          <w:szCs w:val="24"/>
        </w:rPr>
        <w:t>提供营业执照、税务登记证、组织机构代码证复印件（盖章的），提供法人或被授权代表人身份证复印件；</w:t>
      </w:r>
    </w:p>
    <w:p w14:paraId="435FE349">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）经营业绩证明材料；</w:t>
      </w:r>
    </w:p>
    <w:p w14:paraId="61967EEF">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）参加本次政府采购活动前三年内，没有重大违法、违纪记录的声明；　</w:t>
      </w:r>
    </w:p>
    <w:p w14:paraId="372A9AC8">
      <w:pPr>
        <w:widowControl/>
        <w:spacing w:line="400" w:lineRule="exact"/>
        <w:ind w:firstLine="480" w:firstLineChars="200"/>
        <w:jc w:val="left"/>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）本次招标不接受联合体投标。</w:t>
      </w:r>
    </w:p>
    <w:p w14:paraId="463E5BC0">
      <w:pPr>
        <w:pStyle w:val="2"/>
        <w:spacing w:line="400" w:lineRule="exact"/>
        <w:rPr>
          <w:b/>
          <w:bCs/>
          <w:color w:val="auto"/>
        </w:rPr>
      </w:pPr>
      <w:r>
        <w:rPr>
          <w:rFonts w:hint="eastAsia"/>
          <w:b/>
          <w:bCs/>
          <w:color w:val="auto"/>
        </w:rPr>
        <w:t>（四）付款条件（进度和方式）：（1）低于20万或（2）高于20万   二选一</w:t>
      </w:r>
    </w:p>
    <w:p w14:paraId="03EE0EBA">
      <w:pPr>
        <w:widowControl/>
        <w:spacing w:line="400" w:lineRule="exact"/>
        <w:ind w:left="-708" w:leftChars="-338" w:hanging="2"/>
        <w:jc w:val="left"/>
        <w:rPr>
          <w:rFonts w:ascii="Arial" w:hAnsi="Arial" w:cs="Arial"/>
        </w:rPr>
      </w:pPr>
      <w:r>
        <w:rPr>
          <w:rFonts w:ascii="Arial" w:hAnsi="Arial" w:cs="Arial"/>
        </w:rPr>
        <w:t>签订合同生效后，甲方分两次向乙方支付</w:t>
      </w:r>
      <w:r>
        <w:rPr>
          <w:rFonts w:hint="eastAsia" w:ascii="Arial" w:hAnsi="Arial" w:cs="Arial"/>
        </w:rPr>
        <w:t>保险</w:t>
      </w:r>
      <w:r>
        <w:rPr>
          <w:rFonts w:ascii="Arial" w:hAnsi="Arial" w:cs="Arial"/>
        </w:rPr>
        <w:t>费。第一次支付时间为签订合同后第一个月内,支付</w:t>
      </w:r>
      <w:r>
        <w:rPr>
          <w:rFonts w:hint="eastAsia" w:ascii="Arial" w:hAnsi="Arial" w:cs="Arial"/>
        </w:rPr>
        <w:t>50%保险费</w:t>
      </w:r>
      <w:r>
        <w:rPr>
          <w:rFonts w:ascii="Arial" w:hAnsi="Arial" w:cs="Arial"/>
        </w:rPr>
        <w:t> ;第二次支付时间为合同期第七个月，支付</w:t>
      </w:r>
      <w:r>
        <w:rPr>
          <w:rFonts w:hint="eastAsia" w:ascii="Arial" w:hAnsi="Arial" w:cs="Arial"/>
        </w:rPr>
        <w:t>剩下50%保险费</w:t>
      </w:r>
      <w:r>
        <w:rPr>
          <w:rFonts w:ascii="Arial" w:hAnsi="Arial" w:cs="Arial"/>
        </w:rPr>
        <w:t>。 </w:t>
      </w:r>
    </w:p>
    <w:p w14:paraId="65252AEE">
      <w:pPr>
        <w:widowControl/>
        <w:spacing w:line="400" w:lineRule="exact"/>
        <w:ind w:left="-708" w:leftChars="-338" w:hanging="2"/>
        <w:jc w:val="left"/>
        <w:rPr>
          <w:rFonts w:cs="宋体"/>
          <w:b/>
          <w:bCs/>
          <w:kern w:val="0"/>
          <w:sz w:val="28"/>
          <w:szCs w:val="28"/>
        </w:rPr>
      </w:pPr>
      <w:r>
        <w:rPr>
          <w:b/>
          <w:bCs/>
          <w:kern w:val="0"/>
          <w:sz w:val="24"/>
          <w:szCs w:val="24"/>
        </w:rPr>
        <w:t> </w:t>
      </w:r>
      <w:r>
        <w:rPr>
          <w:rFonts w:hint="eastAsia"/>
          <w:b/>
          <w:bCs/>
          <w:kern w:val="0"/>
          <w:sz w:val="24"/>
          <w:szCs w:val="24"/>
        </w:rPr>
        <w:t xml:space="preserve">    </w:t>
      </w:r>
      <w:r>
        <w:rPr>
          <w:rFonts w:hint="eastAsia"/>
          <w:b/>
          <w:bCs/>
          <w:kern w:val="0"/>
          <w:sz w:val="28"/>
          <w:szCs w:val="28"/>
        </w:rPr>
        <w:t>二</w:t>
      </w:r>
      <w:r>
        <w:rPr>
          <w:rFonts w:hint="eastAsia" w:cs="宋体"/>
          <w:b/>
          <w:bCs/>
          <w:kern w:val="0"/>
          <w:sz w:val="28"/>
          <w:szCs w:val="28"/>
        </w:rPr>
        <w:t>、合同签订</w:t>
      </w:r>
    </w:p>
    <w:p w14:paraId="40A07F1F">
      <w:pPr>
        <w:widowControl/>
        <w:spacing w:line="400" w:lineRule="exact"/>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sdtPr>
        <w:sdtEndPr>
          <w:rPr>
            <w:rFonts w:hint="eastAsia" w:cs="宋体"/>
            <w:kern w:val="0"/>
            <w:sz w:val="24"/>
            <w:szCs w:val="24"/>
            <w:u w:val="single"/>
          </w:rPr>
        </w:sdtEndPr>
        <w:sdtContent>
          <w:r>
            <w:rPr>
              <w:rFonts w:hint="eastAsia" w:cs="宋体"/>
              <w:kern w:val="0"/>
              <w:sz w:val="24"/>
              <w:szCs w:val="24"/>
              <w:u w:val="single"/>
            </w:rPr>
            <w:t>15个</w:t>
          </w:r>
        </w:sdtContent>
      </w:sdt>
      <w:r>
        <w:rPr>
          <w:rFonts w:hint="eastAsia" w:cs="宋体"/>
          <w:kern w:val="0"/>
          <w:sz w:val="24"/>
          <w:szCs w:val="24"/>
        </w:rPr>
        <w:t>工作日内签订采购合同。</w:t>
      </w:r>
    </w:p>
    <w:p w14:paraId="7F7F320B">
      <w:pPr>
        <w:widowControl/>
        <w:spacing w:line="400" w:lineRule="exact"/>
        <w:ind w:left="-708" w:leftChars="-338" w:hanging="2"/>
        <w:jc w:val="left"/>
        <w:rPr>
          <w:rFonts w:hint="eastAsia" w:cs="宋体"/>
          <w:b/>
          <w:bCs/>
          <w:kern w:val="0"/>
          <w:sz w:val="28"/>
          <w:szCs w:val="28"/>
        </w:rPr>
      </w:pPr>
      <w:r>
        <w:rPr>
          <w:kern w:val="0"/>
          <w:sz w:val="24"/>
          <w:szCs w:val="24"/>
        </w:rPr>
        <w:t> </w:t>
      </w:r>
      <w:r>
        <w:rPr>
          <w:rFonts w:hint="eastAsia"/>
          <w:kern w:val="0"/>
          <w:sz w:val="24"/>
          <w:szCs w:val="24"/>
        </w:rPr>
        <w:t xml:space="preserve">    </w:t>
      </w:r>
      <w:r>
        <w:rPr>
          <w:rFonts w:hint="eastAsia"/>
          <w:b/>
          <w:bCs/>
          <w:kern w:val="0"/>
          <w:sz w:val="28"/>
          <w:szCs w:val="28"/>
        </w:rPr>
        <w:t>三</w:t>
      </w:r>
      <w:r>
        <w:rPr>
          <w:rFonts w:hint="eastAsia" w:cs="宋体"/>
          <w:b/>
          <w:bCs/>
          <w:kern w:val="0"/>
          <w:sz w:val="28"/>
          <w:szCs w:val="28"/>
        </w:rPr>
        <w:t>、其他</w:t>
      </w:r>
    </w:p>
    <w:p w14:paraId="2DC36A16">
      <w:pPr>
        <w:widowControl/>
        <w:spacing w:line="400" w:lineRule="exact"/>
        <w:ind w:left="-708" w:leftChars="-337" w:firstLine="551" w:firstLineChars="196"/>
        <w:jc w:val="left"/>
        <w:rPr>
          <w:rFonts w:hint="eastAsia" w:cs="宋体"/>
          <w:b/>
          <w:bCs/>
          <w:kern w:val="0"/>
          <w:sz w:val="28"/>
          <w:szCs w:val="28"/>
        </w:rPr>
      </w:pPr>
      <w:r>
        <w:rPr>
          <w:rFonts w:hint="eastAsia" w:cs="宋体"/>
          <w:b/>
          <w:bCs/>
          <w:kern w:val="0"/>
          <w:sz w:val="28"/>
          <w:szCs w:val="28"/>
        </w:rPr>
        <w:t>四、特别说明</w:t>
      </w:r>
    </w:p>
    <w:p w14:paraId="597A6259">
      <w:pPr>
        <w:widowControl/>
        <w:spacing w:line="400" w:lineRule="exact"/>
        <w:ind w:left="-708" w:leftChars="-337" w:firstLine="470" w:firstLineChars="196"/>
        <w:jc w:val="left"/>
        <w:rPr>
          <w:rFonts w:cs="宋体"/>
          <w:b/>
          <w:bCs/>
          <w:kern w:val="0"/>
          <w:sz w:val="28"/>
          <w:szCs w:val="28"/>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14:paraId="1028B2F6">
      <w:pPr>
        <w:widowControl/>
        <w:spacing w:line="400" w:lineRule="exact"/>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402AEE52">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23E521E3">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bookmarkStart w:id="0" w:name="_GoBack"/>
      <w:bookmarkEnd w:id="0"/>
      <w:r>
        <w:rPr>
          <w:rFonts w:hint="eastAsia" w:cs="宋体"/>
          <w:b/>
          <w:bCs/>
          <w:kern w:val="0"/>
          <w:sz w:val="24"/>
          <w:szCs w:val="24"/>
          <w:u w:val="single"/>
        </w:rPr>
        <w:t xml:space="preserve"> 最低评标价法 </w:t>
      </w:r>
      <w:r>
        <w:rPr>
          <w:rFonts w:hint="eastAsia" w:cs="宋体"/>
          <w:kern w:val="0"/>
          <w:sz w:val="24"/>
          <w:szCs w:val="24"/>
        </w:rPr>
        <w:t>确定中标候选人。</w:t>
      </w: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yYmY4MjA0MzAxNjIyZGNjMDk1MmY5N2E0MzMwOWEifQ=="/>
    <w:docVar w:name="KY_MEDREF_DOCUID" w:val="{642EBB7A-05DF-4F7F-990F-180E42AE779D}"/>
    <w:docVar w:name="KY_MEDREF_VERSION" w:val="3"/>
  </w:docVars>
  <w:rsids>
    <w:rsidRoot w:val="004C7EB2"/>
    <w:rsid w:val="000559C4"/>
    <w:rsid w:val="00066185"/>
    <w:rsid w:val="00080292"/>
    <w:rsid w:val="0008196D"/>
    <w:rsid w:val="00095D83"/>
    <w:rsid w:val="000A28D9"/>
    <w:rsid w:val="000A6C18"/>
    <w:rsid w:val="000B7E2D"/>
    <w:rsid w:val="000E1AA6"/>
    <w:rsid w:val="00163FDA"/>
    <w:rsid w:val="001654F9"/>
    <w:rsid w:val="001C512A"/>
    <w:rsid w:val="00204183"/>
    <w:rsid w:val="00241CD6"/>
    <w:rsid w:val="00255FB6"/>
    <w:rsid w:val="00281B16"/>
    <w:rsid w:val="002A0657"/>
    <w:rsid w:val="002C7944"/>
    <w:rsid w:val="00322C72"/>
    <w:rsid w:val="003C3AB5"/>
    <w:rsid w:val="003E7DC1"/>
    <w:rsid w:val="00474079"/>
    <w:rsid w:val="00494F42"/>
    <w:rsid w:val="004C11AD"/>
    <w:rsid w:val="004C7EB2"/>
    <w:rsid w:val="004D08F5"/>
    <w:rsid w:val="004D2825"/>
    <w:rsid w:val="004F5A76"/>
    <w:rsid w:val="005007DD"/>
    <w:rsid w:val="00525B19"/>
    <w:rsid w:val="00560E87"/>
    <w:rsid w:val="005751F7"/>
    <w:rsid w:val="005B4B05"/>
    <w:rsid w:val="005D491D"/>
    <w:rsid w:val="00654BC6"/>
    <w:rsid w:val="00674EFB"/>
    <w:rsid w:val="00684BD7"/>
    <w:rsid w:val="006E5543"/>
    <w:rsid w:val="00704182"/>
    <w:rsid w:val="00707A97"/>
    <w:rsid w:val="007409C6"/>
    <w:rsid w:val="00776647"/>
    <w:rsid w:val="007814EA"/>
    <w:rsid w:val="007A5910"/>
    <w:rsid w:val="007B27DC"/>
    <w:rsid w:val="007F6F70"/>
    <w:rsid w:val="00825B15"/>
    <w:rsid w:val="00841B97"/>
    <w:rsid w:val="008553F8"/>
    <w:rsid w:val="00861DE7"/>
    <w:rsid w:val="008A5DC5"/>
    <w:rsid w:val="008D3A6F"/>
    <w:rsid w:val="008E6B7B"/>
    <w:rsid w:val="009530DC"/>
    <w:rsid w:val="00980201"/>
    <w:rsid w:val="009E13A0"/>
    <w:rsid w:val="00A2105C"/>
    <w:rsid w:val="00A36CB3"/>
    <w:rsid w:val="00A44D5C"/>
    <w:rsid w:val="00A83F43"/>
    <w:rsid w:val="00AC0EA5"/>
    <w:rsid w:val="00B8409A"/>
    <w:rsid w:val="00BA3521"/>
    <w:rsid w:val="00C33384"/>
    <w:rsid w:val="00C53968"/>
    <w:rsid w:val="00C762C8"/>
    <w:rsid w:val="00C97AD7"/>
    <w:rsid w:val="00CA7F30"/>
    <w:rsid w:val="00CC2DEE"/>
    <w:rsid w:val="00CD27A2"/>
    <w:rsid w:val="00CE021B"/>
    <w:rsid w:val="00D2685D"/>
    <w:rsid w:val="00D41CB5"/>
    <w:rsid w:val="00D548F0"/>
    <w:rsid w:val="00D54B07"/>
    <w:rsid w:val="00D57065"/>
    <w:rsid w:val="00D90595"/>
    <w:rsid w:val="00DB5864"/>
    <w:rsid w:val="00DC4B54"/>
    <w:rsid w:val="00E14108"/>
    <w:rsid w:val="00E72BBE"/>
    <w:rsid w:val="00EB1C9B"/>
    <w:rsid w:val="00ED19A6"/>
    <w:rsid w:val="00ED5546"/>
    <w:rsid w:val="00F0313B"/>
    <w:rsid w:val="00F13EAB"/>
    <w:rsid w:val="00F227F5"/>
    <w:rsid w:val="01124992"/>
    <w:rsid w:val="01CB43E2"/>
    <w:rsid w:val="02615DF0"/>
    <w:rsid w:val="03B56736"/>
    <w:rsid w:val="0A795D65"/>
    <w:rsid w:val="0CC05EEA"/>
    <w:rsid w:val="10C97A40"/>
    <w:rsid w:val="122B15C9"/>
    <w:rsid w:val="12C97D37"/>
    <w:rsid w:val="21B710F4"/>
    <w:rsid w:val="2218153E"/>
    <w:rsid w:val="25773183"/>
    <w:rsid w:val="26431704"/>
    <w:rsid w:val="26CD4569"/>
    <w:rsid w:val="27D01D3D"/>
    <w:rsid w:val="28110468"/>
    <w:rsid w:val="2E44559E"/>
    <w:rsid w:val="311834AF"/>
    <w:rsid w:val="318469E5"/>
    <w:rsid w:val="3194337D"/>
    <w:rsid w:val="3737378F"/>
    <w:rsid w:val="3806606D"/>
    <w:rsid w:val="397701BE"/>
    <w:rsid w:val="3B546CEC"/>
    <w:rsid w:val="3F8769CB"/>
    <w:rsid w:val="41366ED0"/>
    <w:rsid w:val="48D85C25"/>
    <w:rsid w:val="4C1C5576"/>
    <w:rsid w:val="4D442BFB"/>
    <w:rsid w:val="4D781BD4"/>
    <w:rsid w:val="4DA009DA"/>
    <w:rsid w:val="4DA97E72"/>
    <w:rsid w:val="4DB9683E"/>
    <w:rsid w:val="50502E0F"/>
    <w:rsid w:val="589150FF"/>
    <w:rsid w:val="5D1A4465"/>
    <w:rsid w:val="67EF0C5A"/>
    <w:rsid w:val="6A513DD5"/>
    <w:rsid w:val="6BF540D9"/>
    <w:rsid w:val="6DD0797D"/>
    <w:rsid w:val="71754026"/>
    <w:rsid w:val="74B5471E"/>
    <w:rsid w:val="77E41C8F"/>
    <w:rsid w:val="77FF632E"/>
    <w:rsid w:val="79A40DCC"/>
    <w:rsid w:val="7B036868"/>
    <w:rsid w:val="7CA915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5"/>
    <w:qFormat/>
    <w:uiPriority w:val="0"/>
    <w:pPr>
      <w:jc w:val="left"/>
    </w:pPr>
  </w:style>
  <w:style w:type="paragraph" w:styleId="4">
    <w:name w:val="Body Text"/>
    <w:basedOn w:val="1"/>
    <w:next w:val="1"/>
    <w:link w:val="25"/>
    <w:unhideWhenUsed/>
    <w:qFormat/>
    <w:uiPriority w:val="0"/>
    <w:pPr>
      <w:spacing w:after="120"/>
    </w:pPr>
    <w:rPr>
      <w:szCs w:val="24"/>
    </w:rPr>
  </w:style>
  <w:style w:type="paragraph" w:styleId="5">
    <w:name w:val="Plain Text"/>
    <w:basedOn w:val="1"/>
    <w:link w:val="17"/>
    <w:qFormat/>
    <w:uiPriority w:val="99"/>
    <w:rPr>
      <w:rFonts w:ascii="宋体" w:hAnsi="Courier New"/>
    </w:rPr>
  </w:style>
  <w:style w:type="paragraph" w:styleId="6">
    <w:name w:val="Balloon Text"/>
    <w:basedOn w:val="1"/>
    <w:link w:val="24"/>
    <w:semiHidden/>
    <w:unhideWhenUsed/>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6"/>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qFormat/>
    <w:uiPriority w:val="0"/>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Char"/>
    <w:link w:val="3"/>
    <w:qFormat/>
    <w:uiPriority w:val="0"/>
    <w:rPr>
      <w:rFonts w:ascii="Times New Roman" w:hAnsi="Times New Roman" w:eastAsia="宋体" w:cs="Times New Roman"/>
      <w:szCs w:val="21"/>
    </w:rPr>
  </w:style>
  <w:style w:type="character" w:customStyle="1" w:styleId="16">
    <w:name w:val="批注主题 Char"/>
    <w:basedOn w:val="15"/>
    <w:link w:val="9"/>
    <w:semiHidden/>
    <w:qFormat/>
    <w:uiPriority w:val="99"/>
    <w:rPr>
      <w:rFonts w:ascii="Times New Roman" w:hAnsi="Times New Roman" w:eastAsia="宋体" w:cs="Times New Roman"/>
      <w:b/>
      <w:bCs/>
      <w:szCs w:val="21"/>
    </w:rPr>
  </w:style>
  <w:style w:type="character" w:customStyle="1" w:styleId="17">
    <w:name w:val="纯文本 Char"/>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Char"/>
    <w:basedOn w:val="12"/>
    <w:link w:val="8"/>
    <w:qFormat/>
    <w:uiPriority w:val="99"/>
    <w:rPr>
      <w:rFonts w:ascii="Times New Roman" w:hAnsi="Times New Roman" w:eastAsia="宋体" w:cs="Times New Roman"/>
      <w:sz w:val="18"/>
      <w:szCs w:val="18"/>
    </w:rPr>
  </w:style>
  <w:style w:type="character" w:customStyle="1" w:styleId="21">
    <w:name w:val="页脚 Char"/>
    <w:basedOn w:val="12"/>
    <w:link w:val="7"/>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character" w:customStyle="1" w:styleId="24">
    <w:name w:val="批注框文本 Char"/>
    <w:basedOn w:val="12"/>
    <w:link w:val="6"/>
    <w:semiHidden/>
    <w:qFormat/>
    <w:uiPriority w:val="99"/>
    <w:rPr>
      <w:rFonts w:ascii="Times New Roman" w:hAnsi="Times New Roman" w:eastAsia="宋体" w:cs="Times New Roman"/>
      <w:kern w:val="2"/>
      <w:sz w:val="18"/>
      <w:szCs w:val="18"/>
    </w:rPr>
  </w:style>
  <w:style w:type="character" w:customStyle="1" w:styleId="25">
    <w:name w:val="正文文本 Char"/>
    <w:basedOn w:val="12"/>
    <w:link w:val="4"/>
    <w:uiPriority w:val="0"/>
    <w:rPr>
      <w:rFonts w:ascii="Times New Roman" w:hAnsi="Times New Roman" w:eastAsia="宋体" w:cs="Times New Roman"/>
      <w:kern w:val="2"/>
      <w:sz w:val="21"/>
      <w:szCs w:val="24"/>
    </w:rPr>
  </w:style>
  <w:style w:type="paragraph" w:styleId="2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59F60D24">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5130D"/>
    <w:rsid w:val="001B2DBA"/>
    <w:rsid w:val="0048475D"/>
    <w:rsid w:val="0061197E"/>
    <w:rsid w:val="007311C2"/>
    <w:rsid w:val="0080285A"/>
    <w:rsid w:val="00854D98"/>
    <w:rsid w:val="008A70FC"/>
    <w:rsid w:val="009709B5"/>
    <w:rsid w:val="0099644B"/>
    <w:rsid w:val="009B3EF6"/>
    <w:rsid w:val="00B46FB0"/>
    <w:rsid w:val="00F16DA1"/>
    <w:rsid w:val="00F224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41E5-8364-4E9A-AAD7-F2D8F8F0B5B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1732</Words>
  <Characters>1920</Characters>
  <Lines>14</Lines>
  <Paragraphs>4</Paragraphs>
  <TotalTime>153</TotalTime>
  <ScaleCrop>false</ScaleCrop>
  <LinksUpToDate>false</LinksUpToDate>
  <CharactersWithSpaces>1956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2024-11-01T02:56:00Z</cp:lastPrinted>
  <dcterms:modified xsi:type="dcterms:W3CDTF">2024-11-04T09:07:32Z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BC6B623858AD4EF6B8932C9852D63447</vt:lpwstr>
  </property>
</Properties>
</file>