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93D2B">
      <w:pPr>
        <w:widowControl/>
        <w:spacing w:line="360" w:lineRule="auto"/>
        <w:jc w:val="center"/>
        <w:rPr>
          <w:color w:val="000000" w:themeColor="text1"/>
          <w:kern w:val="0"/>
          <w:sz w:val="28"/>
          <w:szCs w:val="28"/>
          <w14:textFill>
            <w14:solidFill>
              <w14:schemeClr w14:val="tx1"/>
            </w14:solidFill>
          </w14:textFill>
        </w:rPr>
      </w:pPr>
      <w:r>
        <w:rPr>
          <w:rFonts w:hint="eastAsia" w:cs="宋体"/>
          <w:b/>
          <w:bCs/>
          <w:color w:val="000000" w:themeColor="text1"/>
          <w:kern w:val="0"/>
          <w:sz w:val="38"/>
          <w:szCs w:val="38"/>
          <w14:textFill>
            <w14:solidFill>
              <w14:schemeClr w14:val="tx1"/>
            </w14:solidFill>
          </w14:textFill>
        </w:rPr>
        <w:t>第三章</w:t>
      </w:r>
      <w:r>
        <w:rPr>
          <w:rFonts w:cs="宋体"/>
          <w:b/>
          <w:bCs/>
          <w:color w:val="000000" w:themeColor="text1"/>
          <w:kern w:val="0"/>
          <w:sz w:val="38"/>
          <w:szCs w:val="38"/>
          <w14:textFill>
            <w14:solidFill>
              <w14:schemeClr w14:val="tx1"/>
            </w14:solidFill>
          </w14:textFill>
        </w:rPr>
        <w:t xml:space="preserve">  </w:t>
      </w:r>
      <w:r>
        <w:rPr>
          <w:rFonts w:hint="eastAsia" w:cs="宋体"/>
          <w:b/>
          <w:bCs/>
          <w:color w:val="000000" w:themeColor="text1"/>
          <w:kern w:val="0"/>
          <w:sz w:val="38"/>
          <w:szCs w:val="38"/>
          <w14:textFill>
            <w14:solidFill>
              <w14:schemeClr w14:val="tx1"/>
            </w14:solidFill>
          </w14:textFill>
        </w:rPr>
        <w:t>项目需求和质量标准</w:t>
      </w:r>
    </w:p>
    <w:p w14:paraId="784D784D">
      <w:pPr>
        <w:pStyle w:val="20"/>
        <w:spacing w:line="360" w:lineRule="auto"/>
        <w:ind w:left="-708" w:leftChars="-337" w:firstLine="960" w:firstLineChars="4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一、采购清单、技术规格参数、质量标准和要求</w:t>
      </w:r>
    </w:p>
    <w:p w14:paraId="14DEBDDC">
      <w:pPr>
        <w:pStyle w:val="20"/>
        <w:spacing w:line="360" w:lineRule="auto"/>
        <w:ind w:left="-225" w:leftChars="-107" w:firstLine="480" w:firstLineChars="200"/>
        <w:rPr>
          <w:rFonts w:hint="eastAsia" w:eastAsia="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（一）</w:t>
      </w:r>
      <w:r>
        <w:rPr>
          <w:rFonts w:hint="eastAsia" w:cs="宋体"/>
          <w:color w:val="000000" w:themeColor="text1"/>
          <w14:textFill>
            <w14:solidFill>
              <w14:schemeClr w14:val="tx1"/>
            </w14:solidFill>
          </w14:textFill>
        </w:rPr>
        <w:t>采购清单</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w:t>
      </w:r>
      <w:r>
        <w:rPr>
          <w:rFonts w:hint="eastAsia" w:ascii="宋体" w:hAnsi="宋体" w:eastAsia="宋体" w:cs="宋体"/>
          <w:b w:val="0"/>
          <w:bCs w:val="0"/>
          <w:i w:val="0"/>
          <w:iCs/>
          <w:color w:val="000000" w:themeColor="text1"/>
          <w:sz w:val="24"/>
          <w:szCs w:val="24"/>
          <w:highlight w:val="none"/>
          <w:u w:val="none"/>
          <w:lang w:val="en-US" w:eastAsia="zh-CN"/>
          <w14:textFill>
            <w14:solidFill>
              <w14:schemeClr w14:val="tx1"/>
            </w14:solidFill>
          </w14:textFill>
        </w:rPr>
        <w:t>大孔径CT技术保2年服务采购</w:t>
      </w:r>
    </w:p>
    <w:tbl>
      <w:tblPr>
        <w:tblStyle w:val="16"/>
        <w:tblW w:w="1046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25"/>
        <w:gridCol w:w="960"/>
        <w:gridCol w:w="1871"/>
        <w:gridCol w:w="4096"/>
      </w:tblGrid>
      <w:tr w14:paraId="5CA1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5" w:type="dxa"/>
          </w:tcPr>
          <w:p w14:paraId="5CE6C5DF">
            <w:pPr>
              <w:pStyle w:val="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625" w:type="dxa"/>
          </w:tcPr>
          <w:p w14:paraId="1A9617AC">
            <w:pPr>
              <w:pStyle w:val="20"/>
              <w:ind w:firstLine="720" w:firstLineChars="3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960" w:type="dxa"/>
          </w:tcPr>
          <w:p w14:paraId="1DFB5E85">
            <w:pPr>
              <w:pStyle w:val="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871" w:type="dxa"/>
          </w:tcPr>
          <w:p w14:paraId="6016E0BD">
            <w:pPr>
              <w:pStyle w:val="20"/>
              <w:jc w:val="both"/>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预算价（万元）</w:t>
            </w:r>
          </w:p>
        </w:tc>
        <w:tc>
          <w:tcPr>
            <w:tcW w:w="4096" w:type="dxa"/>
          </w:tcPr>
          <w:p w14:paraId="2B6F4D2B">
            <w:pPr>
              <w:pStyle w:val="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简要技术需求及服务要求</w:t>
            </w:r>
          </w:p>
        </w:tc>
      </w:tr>
      <w:tr w14:paraId="3105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Pr>
          <w:p w14:paraId="33D85550">
            <w:pPr>
              <w:pStyle w:val="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625" w:type="dxa"/>
          </w:tcPr>
          <w:p w14:paraId="58F3F402">
            <w:pPr>
              <w:pStyle w:val="20"/>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i w:val="0"/>
                <w:iCs/>
                <w:color w:val="000000" w:themeColor="text1"/>
                <w:sz w:val="24"/>
                <w:szCs w:val="24"/>
                <w:highlight w:val="none"/>
                <w:u w:val="none"/>
                <w:lang w:val="en-US" w:eastAsia="zh-CN"/>
                <w14:textFill>
                  <w14:solidFill>
                    <w14:schemeClr w14:val="tx1"/>
                  </w14:solidFill>
                </w14:textFill>
              </w:rPr>
              <w:t>大孔径CT技术保2年服务采购</w:t>
            </w:r>
          </w:p>
        </w:tc>
        <w:tc>
          <w:tcPr>
            <w:tcW w:w="960" w:type="dxa"/>
          </w:tcPr>
          <w:p w14:paraId="5D51D7DC">
            <w:pPr>
              <w:pStyle w:val="2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台</w:t>
            </w:r>
          </w:p>
        </w:tc>
        <w:tc>
          <w:tcPr>
            <w:tcW w:w="1871" w:type="dxa"/>
          </w:tcPr>
          <w:p w14:paraId="4B9073BE">
            <w:pPr>
              <w:pStyle w:val="20"/>
              <w:jc w:val="both"/>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bookmarkStart w:id="1" w:name="_GoBack"/>
            <w:bookmarkEnd w:id="1"/>
          </w:p>
        </w:tc>
        <w:tc>
          <w:tcPr>
            <w:tcW w:w="4096" w:type="dxa"/>
          </w:tcPr>
          <w:p w14:paraId="2483C32B">
            <w:pPr>
              <w:widowControl/>
              <w:numPr>
                <w:ilvl w:val="0"/>
                <w:numId w:val="1"/>
              </w:numPr>
              <w:spacing w:line="360" w:lineRule="auto"/>
              <w:ind w:left="-708" w:leftChars="-337"/>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w:t>
            </w:r>
            <w:r>
              <w:rPr>
                <w:rFonts w:hint="eastAsia" w:cs="宋体"/>
                <w:color w:val="000000" w:themeColor="text1"/>
                <w:kern w:val="0"/>
                <w:sz w:val="24"/>
                <w:szCs w:val="24"/>
                <w14:textFill>
                  <w14:solidFill>
                    <w14:schemeClr w14:val="tx1"/>
                  </w14:solidFill>
                </w14:textFill>
              </w:rPr>
              <w:t>技术参数、性能（配置）及其他要求</w:t>
            </w:r>
          </w:p>
        </w:tc>
      </w:tr>
    </w:tbl>
    <w:p w14:paraId="2823A630">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1.保修设备：北京航卫通用 Discovery RT 16排CT</w:t>
      </w:r>
    </w:p>
    <w:p w14:paraId="4F608F7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维保范围包含：CT整机及CT后处理工作站技术保</w:t>
      </w:r>
    </w:p>
    <w:p w14:paraId="653BFA0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维保期限：</w:t>
      </w:r>
      <w:r>
        <w:rPr>
          <w:rFonts w:hint="eastAsia"/>
          <w:color w:val="000000" w:themeColor="text1"/>
          <w:kern w:val="0"/>
          <w:sz w:val="24"/>
          <w:szCs w:val="24"/>
          <w14:textFill>
            <w14:solidFill>
              <w14:schemeClr w14:val="tx1"/>
            </w14:solidFill>
          </w14:textFill>
        </w:rPr>
        <w:t>自合同签订之日起</w:t>
      </w:r>
      <w:r>
        <w:rPr>
          <w:rFonts w:hint="eastAsia"/>
          <w:color w:val="000000" w:themeColor="text1"/>
          <w:kern w:val="0"/>
          <w:sz w:val="24"/>
          <w:szCs w:val="24"/>
          <w:lang w:val="en-US" w:eastAsia="zh-CN"/>
          <w14:textFill>
            <w14:solidFill>
              <w14:schemeClr w14:val="tx1"/>
            </w14:solidFill>
          </w14:textFill>
        </w:rPr>
        <w:t>二年</w:t>
      </w:r>
      <w:r>
        <w:rPr>
          <w:rFonts w:hint="eastAsia"/>
          <w:color w:val="000000" w:themeColor="text1"/>
          <w:kern w:val="0"/>
          <w:sz w:val="24"/>
          <w:szCs w:val="24"/>
          <w14:textFill>
            <w14:solidFill>
              <w14:schemeClr w14:val="tx1"/>
            </w14:solidFill>
          </w14:textFill>
        </w:rPr>
        <w:t>，本项目采取一次</w:t>
      </w:r>
      <w:r>
        <w:rPr>
          <w:rFonts w:hint="eastAsia"/>
          <w:color w:val="000000" w:themeColor="text1"/>
          <w:kern w:val="0"/>
          <w:sz w:val="24"/>
          <w:szCs w:val="24"/>
          <w:lang w:val="en-US" w:eastAsia="zh-CN"/>
          <w14:textFill>
            <w14:solidFill>
              <w14:schemeClr w14:val="tx1"/>
            </w14:solidFill>
          </w14:textFill>
        </w:rPr>
        <w:t>采购</w:t>
      </w:r>
      <w:r>
        <w:rPr>
          <w:rFonts w:hint="eastAsia"/>
          <w:color w:val="000000" w:themeColor="text1"/>
          <w:kern w:val="0"/>
          <w:sz w:val="24"/>
          <w:szCs w:val="24"/>
          <w:lang w:eastAsia="zh-CN"/>
          <w14:textFill>
            <w14:solidFill>
              <w14:schemeClr w14:val="tx1"/>
            </w14:solidFill>
          </w14:textFill>
        </w:rPr>
        <w:t>二</w:t>
      </w:r>
      <w:r>
        <w:rPr>
          <w:rFonts w:hint="eastAsia"/>
          <w:color w:val="000000" w:themeColor="text1"/>
          <w:kern w:val="0"/>
          <w:sz w:val="24"/>
          <w:szCs w:val="24"/>
          <w14:textFill>
            <w14:solidFill>
              <w14:schemeClr w14:val="tx1"/>
            </w14:solidFill>
          </w14:textFill>
        </w:rPr>
        <w:t>年沿用、实行一年一考核一签合同</w:t>
      </w:r>
      <w:r>
        <w:rPr>
          <w:rFonts w:hint="eastAsia"/>
          <w:color w:val="000000" w:themeColor="text1"/>
          <w:kern w:val="0"/>
          <w:sz w:val="24"/>
          <w:szCs w:val="24"/>
          <w:lang w:eastAsia="zh-CN"/>
          <w14:textFill>
            <w14:solidFill>
              <w14:schemeClr w14:val="tx1"/>
            </w14:solidFill>
          </w14:textFill>
        </w:rPr>
        <w:t>。</w:t>
      </w:r>
    </w:p>
    <w:p w14:paraId="53DFEABC">
      <w:pPr>
        <w:pStyle w:val="20"/>
        <w:ind w:left="-225" w:leftChars="-107" w:firstLine="240" w:firstLineChars="100"/>
        <w:rPr>
          <w:rFonts w:hint="eastAsia" w:ascii="宋体" w:hAnsi="宋体"/>
          <w:color w:val="000000" w:themeColor="text1"/>
          <w:sz w:val="24"/>
          <w:highlight w:val="none"/>
          <w14:textFill>
            <w14:solidFill>
              <w14:schemeClr w14:val="tx1"/>
            </w14:solidFill>
          </w14:textFill>
        </w:rPr>
      </w:pPr>
      <w:r>
        <w:rPr>
          <w:rFonts w:hint="eastAsia"/>
          <w:color w:val="000000" w:themeColor="text1"/>
          <w14:textFill>
            <w14:solidFill>
              <w14:schemeClr w14:val="tx1"/>
            </w14:solidFill>
          </w14:textFill>
        </w:rPr>
        <w:t>（二）技术</w:t>
      </w:r>
      <w:r>
        <w:rPr>
          <w:rFonts w:hint="eastAsia"/>
          <w:color w:val="000000" w:themeColor="text1"/>
          <w:lang w:eastAsia="zh-CN"/>
          <w14:textFill>
            <w14:solidFill>
              <w14:schemeClr w14:val="tx1"/>
            </w14:solidFill>
          </w14:textFill>
        </w:rPr>
        <w:t>服务</w:t>
      </w:r>
      <w:r>
        <w:rPr>
          <w:rFonts w:hint="eastAsia"/>
          <w:color w:val="000000" w:themeColor="text1"/>
          <w14:textFill>
            <w14:solidFill>
              <w14:schemeClr w14:val="tx1"/>
            </w14:solidFill>
          </w14:textFill>
        </w:rPr>
        <w:t>要求</w:t>
      </w:r>
    </w:p>
    <w:p w14:paraId="3F79DEE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1.保修期内每年至少提供4次</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季度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设备维护保养</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定期的维护保养服务包括：设备的安全检查、影像质量检查、设备清洁保养、性能测试及校准、运行状态检查等（响应文件提供保养详细内容</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及更换配件价格清单</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14:paraId="7E21240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承诺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配置为本医院</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服务的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具备维修资质的工程师不少于2人，</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且工程师对同类</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设备维修经验不少于2年，需提供证明材料（培训证书）和承诺函</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14:paraId="79E354E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合同执行期间配备客户服务专线电话，全年365天24小时开通，并有专人每天不少于24小时接听</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设备产生故障时，全天候电话响应包含节假日，工程师</w:t>
      </w:r>
      <w:r>
        <w:rPr>
          <w:rFonts w:hint="eastAsia" w:ascii="宋体" w:hAnsi="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14:textFill>
            <w14:solidFill>
              <w14:schemeClr w14:val="tx1"/>
            </w14:solidFill>
          </w14:textFill>
        </w:rPr>
        <w:t>小时到达现场，最迟不超过24小时，每违反一次对中标人罚款人民币3000元/次（从合同总价里扣除）。</w:t>
      </w:r>
    </w:p>
    <w:p w14:paraId="51791B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Times New Roman"/>
          <w:color w:val="000000" w:themeColor="text1"/>
          <w:sz w:val="24"/>
          <w:szCs w:val="24"/>
          <w:highlight w:val="none"/>
          <w:lang w:eastAsia="zh-CN"/>
          <w14:textFill>
            <w14:solidFill>
              <w14:schemeClr w14:val="tx1"/>
            </w14:solidFill>
          </w14:textFill>
        </w:rPr>
        <w:t>保修期内提供不限次数现场免费维修（每次维修后提供书面维修报告，并提供现场故障维修讲解服务），</w:t>
      </w:r>
      <w:r>
        <w:rPr>
          <w:rFonts w:hint="eastAsia" w:ascii="宋体" w:hAnsi="宋体" w:eastAsia="宋体" w:cs="宋体"/>
          <w:b w:val="0"/>
          <w:bCs w:val="0"/>
          <w:color w:val="000000" w:themeColor="text1"/>
          <w:sz w:val="24"/>
          <w:szCs w:val="24"/>
          <w14:textFill>
            <w14:solidFill>
              <w14:schemeClr w14:val="tx1"/>
            </w14:solidFill>
          </w14:textFill>
        </w:rPr>
        <w:t>如需更换配件，投标人件</w:t>
      </w:r>
      <w:r>
        <w:rPr>
          <w:rFonts w:hint="eastAsia" w:ascii="宋体" w:hAnsi="宋体" w:eastAsia="宋体" w:cs="Times New Roman"/>
          <w:color w:val="000000" w:themeColor="text1"/>
          <w:sz w:val="24"/>
          <w:szCs w:val="24"/>
          <w:highlight w:val="none"/>
          <w:lang w:eastAsia="zh-CN"/>
          <w14:textFill>
            <w14:solidFill>
              <w14:schemeClr w14:val="tx1"/>
            </w14:solidFill>
          </w14:textFill>
        </w:rPr>
        <w:t>确保使用的维修零配件与原设备部件型号一致，且为原厂全新备件</w:t>
      </w:r>
      <w:r>
        <w:rPr>
          <w:rFonts w:hint="eastAsia" w:ascii="宋体" w:hAnsi="宋体" w:cs="Times New Roman"/>
          <w:color w:val="000000" w:themeColor="text1"/>
          <w:sz w:val="24"/>
          <w:szCs w:val="24"/>
          <w:highlight w:val="none"/>
          <w:lang w:eastAsia="zh-CN"/>
          <w14:textFill>
            <w14:solidFill>
              <w14:schemeClr w14:val="tx1"/>
            </w14:solidFill>
          </w14:textFill>
        </w:rPr>
        <w:t>（价格</w:t>
      </w:r>
      <w:r>
        <w:rPr>
          <w:rFonts w:hint="eastAsia" w:ascii="宋体" w:hAnsi="宋体" w:cs="Times New Roman"/>
          <w:color w:val="FF0000"/>
          <w:sz w:val="24"/>
          <w:szCs w:val="24"/>
          <w:highlight w:val="none"/>
          <w:lang w:eastAsia="zh-CN"/>
        </w:rPr>
        <w:t>按厂家报价</w:t>
      </w:r>
      <w:r>
        <w:rPr>
          <w:rFonts w:hint="eastAsia" w:ascii="宋体" w:hAnsi="宋体" w:cs="Times New Roman"/>
          <w:color w:val="000000" w:themeColor="text1"/>
          <w:sz w:val="24"/>
          <w:szCs w:val="24"/>
          <w:highlight w:val="none"/>
          <w:lang w:eastAsia="zh-CN"/>
          <w14:textFill>
            <w14:solidFill>
              <w14:schemeClr w14:val="tx1"/>
            </w14:solidFill>
          </w14:textFill>
        </w:rPr>
        <w:t>八折计算）</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设备维修所需配件医院</w:t>
      </w:r>
      <w:r>
        <w:rPr>
          <w:rFonts w:hint="eastAsia" w:ascii="宋体" w:hAnsi="宋体" w:cs="Times New Roman"/>
          <w:color w:val="000000" w:themeColor="text1"/>
          <w:sz w:val="24"/>
          <w:szCs w:val="24"/>
          <w:highlight w:val="none"/>
          <w:lang w:val="en-US" w:eastAsia="zh-CN"/>
          <w14:textFill>
            <w14:solidFill>
              <w14:schemeClr w14:val="tx1"/>
            </w14:solidFill>
          </w14:textFill>
        </w:rPr>
        <w:t>可</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酌情购买。</w:t>
      </w:r>
    </w:p>
    <w:p w14:paraId="09F5AA9F">
      <w:pPr>
        <w:pStyle w:val="4"/>
        <w:keepNext w:val="0"/>
        <w:keepLines w:val="0"/>
        <w:pageBreakBefore w:val="0"/>
        <w:widowControl w:val="0"/>
        <w:kinsoku/>
        <w:wordWrap/>
        <w:overflowPunct/>
        <w:topLinePunct w:val="0"/>
        <w:autoSpaceDE/>
        <w:autoSpaceDN/>
        <w:bidi w:val="0"/>
        <w:spacing w:after="0" w:line="500" w:lineRule="exact"/>
        <w:ind w:left="63" w:leftChars="30" w:firstLine="408" w:firstLineChars="170"/>
        <w:jc w:val="both"/>
        <w:rPr>
          <w:rFonts w:hint="default"/>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5.提供CT扫描工作站与后处理工作站、放疗网络服务器及医院PASS系统网络信息传输的连接与维护服务。</w:t>
      </w:r>
    </w:p>
    <w:p w14:paraId="5EBD8D5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投标公司</w:t>
      </w:r>
      <w:r>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t>需配备有专用工具，工具符合国家检测和校准的规定（提供相关校准证明）</w:t>
      </w:r>
      <w:r>
        <w:rPr>
          <w:rFonts w:hint="eastAsia" w:ascii="宋体" w:hAnsi="宋体" w:cs="宋体"/>
          <w:b w:val="0"/>
          <w:bCs w:val="0"/>
          <w:strike w:val="0"/>
          <w:dstrike w:val="0"/>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年检时，成交供应商负责将机器调试到最佳状态，保证全部检测指标达到国家标准，保证该设备能通过相关专业检测，并提供当年</w:t>
      </w:r>
      <w:r>
        <w:rPr>
          <w:rFonts w:hint="eastAsia" w:ascii="宋体" w:hAnsi="宋体" w:cs="Times New Roman"/>
          <w:color w:val="000000" w:themeColor="text1"/>
          <w:sz w:val="24"/>
          <w:szCs w:val="24"/>
          <w:highlight w:val="none"/>
          <w:lang w:eastAsia="zh-CN"/>
          <w14:textFill>
            <w14:solidFill>
              <w14:schemeClr w14:val="tx1"/>
            </w14:solidFill>
          </w14:textFill>
        </w:rPr>
        <w:t>年度设备</w:t>
      </w:r>
      <w:r>
        <w:rPr>
          <w:rFonts w:hint="eastAsia" w:ascii="宋体" w:hAnsi="宋体" w:eastAsia="宋体" w:cs="Times New Roman"/>
          <w:color w:val="000000" w:themeColor="text1"/>
          <w:sz w:val="24"/>
          <w:szCs w:val="24"/>
          <w:highlight w:val="none"/>
          <w:lang w:eastAsia="zh-CN"/>
          <w14:textFill>
            <w14:solidFill>
              <w14:schemeClr w14:val="tx1"/>
            </w14:solidFill>
          </w14:textFill>
        </w:rPr>
        <w:t>状态报告</w:t>
      </w:r>
      <w:r>
        <w:rPr>
          <w:rFonts w:hint="eastAsia" w:ascii="宋体" w:hAnsi="宋体" w:cs="Times New Roman"/>
          <w:color w:val="000000" w:themeColor="text1"/>
          <w:sz w:val="24"/>
          <w:szCs w:val="24"/>
          <w:highlight w:val="none"/>
          <w:lang w:eastAsia="zh-CN"/>
          <w14:textFill>
            <w14:solidFill>
              <w14:schemeClr w14:val="tx1"/>
            </w14:solidFill>
          </w14:textFill>
        </w:rPr>
        <w:t>。</w:t>
      </w:r>
    </w:p>
    <w:p w14:paraId="28172BF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7.承诺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对我院的维修工程师提供每年至少2人次的培训</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服务</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，并提供培训证明材料。</w:t>
      </w:r>
    </w:p>
    <w:p w14:paraId="765AA28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每年制定临床使用人员的使用维护培训计划，按计划进行培训并提供记录。</w:t>
      </w:r>
    </w:p>
    <w:p w14:paraId="4EBA32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维保服务期内必须确保本设备的开机率≧95%</w:t>
      </w:r>
      <w:r>
        <w:rPr>
          <w:rFonts w:hint="eastAsia" w:ascii="宋体" w:hAnsi="宋体" w:eastAsia="宋体" w:cs="宋体"/>
          <w:color w:val="000000" w:themeColor="text1"/>
          <w:kern w:val="2"/>
          <w:sz w:val="24"/>
          <w:szCs w:val="24"/>
          <w:highlight w:val="none"/>
          <w14:textFill>
            <w14:solidFill>
              <w14:schemeClr w14:val="tx1"/>
            </w14:solidFill>
          </w14:textFill>
        </w:rPr>
        <w:t>（按一年365天计算，即每年因故障维修累计停机时间不超过18.5天</w:t>
      </w:r>
      <w:r>
        <w:rPr>
          <w:rFonts w:hint="eastAsia" w:ascii="宋体" w:hAnsi="宋体" w:eastAsia="宋体" w:cs="宋体"/>
          <w:color w:val="000000" w:themeColor="text1"/>
          <w:sz w:val="24"/>
          <w:szCs w:val="24"/>
          <w:highlight w:val="none"/>
          <w14:textFill>
            <w14:solidFill>
              <w14:schemeClr w14:val="tx1"/>
            </w14:solidFill>
          </w14:textFill>
        </w:rPr>
        <w:t>）；若设备开机率低于95%</w:t>
      </w:r>
      <w:r>
        <w:rPr>
          <w:rFonts w:hint="eastAsia" w:ascii="宋体" w:hAnsi="宋体" w:eastAsia="宋体" w:cs="宋体"/>
          <w:color w:val="000000" w:themeColor="text1"/>
          <w:sz w:val="24"/>
          <w:szCs w:val="24"/>
          <w:highlight w:val="none"/>
          <w:lang w:eastAsia="zh-CN"/>
          <w14:textFill>
            <w14:solidFill>
              <w14:schemeClr w14:val="tx1"/>
            </w14:solidFill>
          </w14:textFill>
        </w:rPr>
        <w:t>（累计停机时间超过</w:t>
      </w:r>
      <w:r>
        <w:rPr>
          <w:rFonts w:hint="eastAsia" w:ascii="宋体" w:hAnsi="宋体" w:eastAsia="宋体" w:cs="宋体"/>
          <w:color w:val="000000" w:themeColor="text1"/>
          <w:sz w:val="24"/>
          <w:szCs w:val="24"/>
          <w:highlight w:val="none"/>
          <w:lang w:val="en-US" w:eastAsia="zh-CN"/>
          <w14:textFill>
            <w14:solidFill>
              <w14:schemeClr w14:val="tx1"/>
            </w14:solidFill>
          </w14:textFill>
        </w:rPr>
        <w:t>18.5天）</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则</w:t>
      </w:r>
      <w:r>
        <w:rPr>
          <w:rFonts w:hint="eastAsia" w:ascii="宋体" w:hAnsi="宋体" w:eastAsia="宋体" w:cs="宋体"/>
          <w:color w:val="000000" w:themeColor="text1"/>
          <w:kern w:val="0"/>
          <w:sz w:val="24"/>
          <w:szCs w:val="24"/>
          <w:highlight w:val="none"/>
          <w:lang w:bidi="ar"/>
          <w14:textFill>
            <w14:solidFill>
              <w14:schemeClr w14:val="tx1"/>
            </w14:solidFill>
          </w14:textFill>
        </w:rPr>
        <w:t>每低一个百分点</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（停机时间每超</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1天）</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合同保修期延长2天，同时扣减维保</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服务费500元</w:t>
      </w:r>
      <w:r>
        <w:rPr>
          <w:rFonts w:hint="eastAsia" w:ascii="宋体" w:hAnsi="宋体" w:cs="Times New Roman"/>
          <w:color w:val="000000" w:themeColor="text1"/>
          <w:sz w:val="24"/>
          <w:szCs w:val="24"/>
          <w:highlight w:val="none"/>
          <w:lang w:val="en-US" w:eastAsia="zh-CN"/>
          <w14:textFill>
            <w14:solidFill>
              <w14:schemeClr w14:val="tx1"/>
            </w14:solidFill>
          </w14:textFill>
        </w:rPr>
        <w:t>（从合同价里扣除）</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eastAsia="zh-CN" w:bidi="ar"/>
          <w14:textFill>
            <w14:solidFill>
              <w14:schemeClr w14:val="tx1"/>
            </w14:solidFill>
          </w14:textFill>
        </w:rPr>
        <w:t>如开机率低于</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90%，招标方可单方解除合同。</w:t>
      </w:r>
    </w:p>
    <w:p w14:paraId="50B0612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协议期间，如成交供应商维修能力、故障修复时间达不到采购项目总体需求的，采购方有权终止合同，另行聘请其他单位进行维修的，产生的一切损失由成交供应商承担；</w:t>
      </w:r>
    </w:p>
    <w:p w14:paraId="5F5EB4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协议结束，成交供应商不得对设备设置任何控制密码，否则，采购方有权拒付</w:t>
      </w:r>
      <w:r>
        <w:rPr>
          <w:rFonts w:hint="eastAsia" w:ascii="宋体" w:hAnsi="宋体" w:cs="Times New Roman"/>
          <w:color w:val="000000" w:themeColor="text1"/>
          <w:sz w:val="24"/>
          <w:szCs w:val="24"/>
          <w:highlight w:val="none"/>
          <w:lang w:eastAsia="zh-CN"/>
          <w14:textFill>
            <w14:solidFill>
              <w14:schemeClr w14:val="tx1"/>
            </w14:solidFill>
          </w14:textFill>
        </w:rPr>
        <w:t>最后一期维修款</w:t>
      </w:r>
      <w:r>
        <w:rPr>
          <w:rFonts w:hint="eastAsia" w:ascii="宋体" w:hAnsi="宋体" w:eastAsia="宋体" w:cs="Times New Roman"/>
          <w:color w:val="000000" w:themeColor="text1"/>
          <w:sz w:val="24"/>
          <w:szCs w:val="24"/>
          <w:highlight w:val="none"/>
          <w:lang w:eastAsia="zh-CN"/>
          <w14:textFill>
            <w14:solidFill>
              <w14:schemeClr w14:val="tx1"/>
            </w14:solidFill>
          </w14:textFill>
        </w:rPr>
        <w:t>，并保留进一步诉讼的权利。</w:t>
      </w:r>
    </w:p>
    <w:p w14:paraId="30054711">
      <w:pPr>
        <w:pStyle w:val="20"/>
        <w:spacing w:line="360" w:lineRule="auto"/>
        <w:ind w:left="0" w:leftChars="0" w:firstLine="480" w:firstLineChars="200"/>
        <w:rPr>
          <w:rFonts w:hint="default"/>
          <w:color w:val="000000" w:themeColor="text1"/>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12.成交供应商需承担在脱保空挡期中所产生的维保费用（更换扫描工作站硬盘2个，更换探测器转换模块1个及相应维修费用</w:t>
      </w:r>
      <w:r>
        <w:rPr>
          <w:rFonts w:hint="eastAsia" w:ascii="宋体" w:hAnsi="宋体" w:cs="Times New Roman"/>
          <w:color w:val="FF0000"/>
          <w:sz w:val="24"/>
          <w:szCs w:val="24"/>
          <w:highlight w:val="none"/>
          <w:lang w:val="en-US" w:eastAsia="zh-CN"/>
        </w:rPr>
        <w:t>总计2万元</w:t>
      </w:r>
      <w:r>
        <w:rPr>
          <w:rFonts w:hint="eastAsia" w:ascii="宋体" w:hAnsi="宋体" w:cs="Times New Roman"/>
          <w:color w:val="000000" w:themeColor="text1"/>
          <w:sz w:val="24"/>
          <w:szCs w:val="24"/>
          <w:highlight w:val="none"/>
          <w:lang w:val="en-US" w:eastAsia="zh-CN"/>
          <w14:textFill>
            <w14:solidFill>
              <w14:schemeClr w14:val="tx1"/>
            </w14:solidFill>
          </w14:textFill>
        </w:rPr>
        <w:t>），注：该费用已经包含在采购预算价里面，供应商在报价时应当把脱保空档期产生维保费用包含在总报价中。</w:t>
      </w:r>
    </w:p>
    <w:p w14:paraId="484E28F8">
      <w:pPr>
        <w:pStyle w:val="20"/>
        <w:ind w:left="-708" w:leftChars="-337"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lang w:eastAsia="zh-CN"/>
          <w14:textFill>
            <w14:solidFill>
              <w14:schemeClr w14:val="tx1"/>
            </w14:solidFill>
          </w14:textFill>
        </w:rPr>
        <w:t>（三）</w:t>
      </w:r>
      <w:r>
        <w:rPr>
          <w:rFonts w:hint="eastAsia" w:cs="宋体"/>
          <w:b/>
          <w:bCs/>
          <w:color w:val="000000" w:themeColor="text1"/>
          <w:sz w:val="24"/>
          <w:szCs w:val="24"/>
          <w14:textFill>
            <w14:solidFill>
              <w14:schemeClr w14:val="tx1"/>
            </w14:solidFill>
          </w14:textFill>
        </w:rPr>
        <w:t>商务要求</w:t>
      </w:r>
    </w:p>
    <w:p w14:paraId="49B5E29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公司必须具备医疗设备的维修资质（营业执照经营范围清楚体现具有医疗设备维修资质或提供有效的“国家主管部门颁发的有效的医疗器械经营企业许可证，或按《医疗器械经营监督管理办法》（国家食品药品监督管理总局第8号令）医疗器械分类管理要求具有有效的医疗器械经营备案凭证或许可证”复印件）</w:t>
      </w:r>
      <w:r>
        <w:rPr>
          <w:rFonts w:hint="eastAsia" w:ascii="宋体" w:hAnsi="宋体" w:cs="宋体"/>
          <w:color w:val="000000" w:themeColor="text1"/>
          <w:sz w:val="24"/>
          <w:szCs w:val="24"/>
          <w:highlight w:val="none"/>
          <w:lang w:eastAsia="zh-CN"/>
          <w14:textFill>
            <w14:solidFill>
              <w14:schemeClr w14:val="tx1"/>
            </w14:solidFill>
          </w14:textFill>
        </w:rPr>
        <w:t>，且</w:t>
      </w:r>
      <w:r>
        <w:rPr>
          <w:rFonts w:hint="eastAsia" w:hAnsi="宋体" w:cs="宋体"/>
          <w:color w:val="000000" w:themeColor="text1"/>
          <w:kern w:val="2"/>
          <w:sz w:val="24"/>
          <w:szCs w:val="24"/>
          <w:lang w:val="en-US" w:eastAsia="zh-CN"/>
          <w14:textFill>
            <w14:solidFill>
              <w14:schemeClr w14:val="tx1"/>
            </w14:solidFill>
          </w14:textFill>
        </w:rPr>
        <w:t>需配备有针对本项目的</w:t>
      </w:r>
      <w:r>
        <w:rPr>
          <w:rFonts w:hint="eastAsia" w:hAnsi="宋体" w:cs="宋体"/>
          <w:color w:val="000000" w:themeColor="text1"/>
          <w:kern w:val="2"/>
          <w:sz w:val="24"/>
          <w:szCs w:val="24"/>
          <w:lang w:eastAsia="zh-CN"/>
          <w14:textFill>
            <w14:solidFill>
              <w14:schemeClr w14:val="tx1"/>
            </w14:solidFill>
          </w14:textFill>
        </w:rPr>
        <w:t>技术团队</w:t>
      </w:r>
      <w:r>
        <w:rPr>
          <w:rFonts w:hint="eastAsia" w:hAnsi="宋体" w:cs="宋体"/>
          <w:color w:val="000000" w:themeColor="text1"/>
          <w:kern w:val="2"/>
          <w:sz w:val="24"/>
          <w:szCs w:val="24"/>
          <w14:textFill>
            <w14:solidFill>
              <w14:schemeClr w14:val="tx1"/>
            </w14:solidFill>
          </w14:textFill>
        </w:rPr>
        <w:t>人员</w:t>
      </w:r>
      <w:r>
        <w:rPr>
          <w:rFonts w:hint="eastAsia" w:hAnsi="宋体" w:cs="宋体"/>
          <w:color w:val="000000" w:themeColor="text1"/>
          <w:kern w:val="2"/>
          <w:sz w:val="24"/>
          <w:szCs w:val="24"/>
          <w:lang w:eastAsia="zh-CN"/>
          <w14:textFill>
            <w14:solidFill>
              <w14:schemeClr w14:val="tx1"/>
            </w14:solidFill>
          </w14:textFill>
        </w:rPr>
        <w:t>。</w:t>
      </w:r>
    </w:p>
    <w:p w14:paraId="75C56A62">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.付款方式：</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签订合同后，采购人每半年向成交供应商支付合同价款的二分之一，一年后付清第一年的尾款。如第二年续签合同参照第一年付款。</w:t>
      </w:r>
    </w:p>
    <w:p w14:paraId="0B85858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default"/>
          <w:color w:val="000000" w:themeColor="text1"/>
          <w:lang w:val="en-US" w:eastAsia="zh-CN"/>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3.投标公司中标后需</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签署由招标人提供的信息系统数据安全保密承诺书。</w:t>
      </w:r>
    </w:p>
    <w:p w14:paraId="4E8CFEBF">
      <w:pPr>
        <w:widowControl/>
        <w:spacing w:line="360" w:lineRule="auto"/>
        <w:jc w:val="left"/>
        <w:rPr>
          <w:rFonts w:cs="宋体"/>
          <w:b/>
          <w:bCs/>
          <w:color w:val="000000" w:themeColor="text1"/>
          <w:kern w:val="0"/>
          <w:sz w:val="28"/>
          <w:szCs w:val="28"/>
          <w14:textFill>
            <w14:solidFill>
              <w14:schemeClr w14:val="tx1"/>
            </w14:solidFill>
          </w14:textFill>
        </w:rPr>
      </w:pPr>
      <w:r>
        <w:rPr>
          <w:b/>
          <w:bCs/>
          <w:color w:val="000000" w:themeColor="text1"/>
          <w:kern w:val="0"/>
          <w:sz w:val="24"/>
          <w:szCs w:val="24"/>
          <w14:textFill>
            <w14:solidFill>
              <w14:schemeClr w14:val="tx1"/>
            </w14:solidFill>
          </w14:textFill>
        </w:rPr>
        <w:t> </w:t>
      </w:r>
      <w:r>
        <w:rPr>
          <w:rFonts w:hint="eastAsia"/>
          <w:b/>
          <w:bCs/>
          <w:color w:val="000000" w:themeColor="text1"/>
          <w:kern w:val="0"/>
          <w:sz w:val="28"/>
          <w:szCs w:val="28"/>
          <w14:textFill>
            <w14:solidFill>
              <w14:schemeClr w14:val="tx1"/>
            </w14:solidFill>
          </w14:textFill>
        </w:rPr>
        <w:t>二</w:t>
      </w:r>
      <w:r>
        <w:rPr>
          <w:rFonts w:hint="eastAsia" w:cs="宋体"/>
          <w:b/>
          <w:bCs/>
          <w:color w:val="000000" w:themeColor="text1"/>
          <w:kern w:val="0"/>
          <w:sz w:val="28"/>
          <w:szCs w:val="28"/>
          <w14:textFill>
            <w14:solidFill>
              <w14:schemeClr w14:val="tx1"/>
            </w14:solidFill>
          </w14:textFill>
        </w:rPr>
        <w:t>、合同签订</w:t>
      </w:r>
    </w:p>
    <w:p w14:paraId="2A4C11A8">
      <w:pPr>
        <w:widowControl/>
        <w:spacing w:line="360" w:lineRule="auto"/>
        <w:ind w:left="-468" w:leftChars="-223" w:firstLine="477" w:firstLineChars="199"/>
        <w:jc w:val="left"/>
        <w:rPr>
          <w:color w:val="000000" w:themeColor="text1"/>
          <w14:textFill>
            <w14:solidFill>
              <w14:schemeClr w14:val="tx1"/>
            </w14:solidFill>
          </w14:textFill>
        </w:rPr>
      </w:pPr>
      <w:r>
        <w:rPr>
          <w:rFonts w:hint="eastAsia" w:cs="宋体"/>
          <w:color w:val="000000" w:themeColor="text1"/>
          <w:kern w:val="0"/>
          <w:sz w:val="24"/>
          <w:szCs w:val="24"/>
          <w14:textFill>
            <w14:solidFill>
              <w14:schemeClr w14:val="tx1"/>
            </w14:solidFill>
          </w14:textFill>
        </w:rPr>
        <w:t>招标人和中标人应当自公示结束后</w:t>
      </w:r>
      <w:sdt>
        <w:sdtPr>
          <w:rPr>
            <w:rFonts w:hint="eastAsia" w:cs="宋体"/>
            <w:color w:val="000000" w:themeColor="text1"/>
            <w:kern w:val="0"/>
            <w:sz w:val="24"/>
            <w:szCs w:val="24"/>
            <w14:textFill>
              <w14:solidFill>
                <w14:schemeClr w14:val="tx1"/>
              </w14:solidFill>
            </w14:textFill>
          </w:rPr>
          <w:alias w:val="无特殊情况不建议修改"/>
          <w:tag w:val="无特殊情况不建议修改"/>
          <w:id w:val="-183904816"/>
          <w:placeholder>
            <w:docPart w:val="DefaultPlaceholder_-1854013440"/>
          </w:placeholder>
        </w:sdtPr>
        <w:sdtEndPr>
          <w:rPr>
            <w:rFonts w:hint="default" w:cs="宋体"/>
            <w:color w:val="000000" w:themeColor="text1"/>
            <w:kern w:val="0"/>
            <w:sz w:val="24"/>
            <w:szCs w:val="24"/>
            <w:u w:val="single"/>
            <w:lang w:val="en-US"/>
            <w14:textFill>
              <w14:solidFill>
                <w14:schemeClr w14:val="tx1"/>
              </w14:solidFill>
            </w14:textFill>
          </w:rPr>
        </w:sdtEndPr>
        <w:sdtContent>
          <w:r>
            <w:rPr>
              <w:rFonts w:hint="eastAsia" w:cs="宋体"/>
              <w:color w:val="000000" w:themeColor="text1"/>
              <w:kern w:val="0"/>
              <w:sz w:val="24"/>
              <w:szCs w:val="24"/>
              <w:u w:val="single"/>
              <w:lang w:val="en-US" w:eastAsia="zh-CN"/>
              <w14:textFill>
                <w14:solidFill>
                  <w14:schemeClr w14:val="tx1"/>
                </w14:solidFill>
              </w14:textFill>
            </w:rPr>
            <w:t xml:space="preserve"> 7 </w:t>
          </w:r>
        </w:sdtContent>
      </w:sdt>
      <w:r>
        <w:rPr>
          <w:rFonts w:hint="eastAsia" w:cs="宋体"/>
          <w:color w:val="000000" w:themeColor="text1"/>
          <w:kern w:val="0"/>
          <w:sz w:val="24"/>
          <w:szCs w:val="24"/>
          <w14:textFill>
            <w14:solidFill>
              <w14:schemeClr w14:val="tx1"/>
            </w14:solidFill>
          </w14:textFill>
        </w:rPr>
        <w:t>工作日内签订采购合同</w:t>
      </w:r>
      <w:r>
        <w:rPr>
          <w:rFonts w:hint="eastAsia" w:cs="宋体"/>
          <w:color w:val="000000" w:themeColor="text1"/>
          <w:kern w:val="0"/>
          <w:sz w:val="24"/>
          <w:szCs w:val="24"/>
          <w:lang w:eastAsia="zh-CN"/>
          <w14:textFill>
            <w14:solidFill>
              <w14:schemeClr w14:val="tx1"/>
            </w14:solidFill>
          </w14:textFill>
        </w:rPr>
        <w:t>，本项目采取一次招标二年沿用、实行一年一考核一签合同，</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考核标准见附件1。</w:t>
      </w:r>
    </w:p>
    <w:p w14:paraId="08EF931B">
      <w:pPr>
        <w:widowControl/>
        <w:spacing w:line="360" w:lineRule="auto"/>
        <w:ind w:left="-428" w:leftChars="-204" w:firstLine="559" w:firstLineChars="199"/>
        <w:jc w:val="left"/>
        <w:rPr>
          <w:rFonts w:cs="宋体"/>
          <w:b/>
          <w:bCs/>
          <w:color w:val="000000" w:themeColor="text1"/>
          <w:kern w:val="0"/>
          <w:sz w:val="28"/>
          <w:szCs w:val="28"/>
          <w14:textFill>
            <w14:solidFill>
              <w14:schemeClr w14:val="tx1"/>
            </w14:solidFill>
          </w14:textFill>
        </w:rPr>
      </w:pPr>
      <w:r>
        <w:rPr>
          <w:rFonts w:hint="eastAsia" w:cs="宋体"/>
          <w:b/>
          <w:bCs/>
          <w:color w:val="000000" w:themeColor="text1"/>
          <w:kern w:val="0"/>
          <w:sz w:val="28"/>
          <w:szCs w:val="28"/>
          <w14:textFill>
            <w14:solidFill>
              <w14:schemeClr w14:val="tx1"/>
            </w14:solidFill>
          </w14:textFill>
        </w:rPr>
        <w:t>三、特别说明</w:t>
      </w:r>
    </w:p>
    <w:p w14:paraId="404A1F0D">
      <w:pPr>
        <w:widowControl/>
        <w:spacing w:line="400" w:lineRule="exact"/>
        <w:ind w:left="-613" w:leftChars="-292" w:firstLine="412" w:firstLineChars="172"/>
        <w:jc w:val="left"/>
        <w:rPr>
          <w:rFonts w:hint="eastAsia" w:cs="宋体"/>
          <w:color w:val="000000" w:themeColor="text1"/>
          <w:kern w:val="0"/>
          <w:sz w:val="24"/>
          <w:szCs w:val="24"/>
          <w14:textFill>
            <w14:solidFill>
              <w14:schemeClr w14:val="tx1"/>
            </w14:solidFill>
          </w14:textFill>
        </w:rPr>
      </w:pPr>
      <w:r>
        <w:rPr>
          <w:rFonts w:hint="eastAsia" w:cs="宋体"/>
          <w:color w:val="000000" w:themeColor="text1"/>
          <w:kern w:val="0"/>
          <w:sz w:val="24"/>
          <w:szCs w:val="24"/>
          <w14:textFill>
            <w14:solidFill>
              <w14:schemeClr w14:val="tx1"/>
            </w14:solidFill>
          </w14:textFill>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10DF023">
      <w:pPr>
        <w:widowControl/>
        <w:spacing w:line="400" w:lineRule="exact"/>
        <w:ind w:left="-613" w:leftChars="-292" w:firstLine="412" w:firstLineChars="172"/>
        <w:jc w:val="left"/>
        <w:rPr>
          <w:rFonts w:hint="eastAsia" w:cs="宋体"/>
          <w:color w:val="000000" w:themeColor="text1"/>
          <w:kern w:val="0"/>
          <w:sz w:val="24"/>
          <w:szCs w:val="24"/>
          <w14:textFill>
            <w14:solidFill>
              <w14:schemeClr w14:val="tx1"/>
            </w14:solidFill>
          </w14:textFill>
        </w:rPr>
      </w:pPr>
    </w:p>
    <w:p w14:paraId="4D373F29">
      <w:pPr>
        <w:widowControl/>
        <w:spacing w:line="360" w:lineRule="auto"/>
        <w:ind w:left="-613" w:leftChars="-292" w:firstLine="656" w:firstLineChars="172"/>
        <w:jc w:val="center"/>
        <w:rPr>
          <w:b/>
          <w:bCs/>
          <w:color w:val="000000" w:themeColor="text1"/>
          <w:kern w:val="0"/>
          <w14:textFill>
            <w14:solidFill>
              <w14:schemeClr w14:val="tx1"/>
            </w14:solidFill>
          </w14:textFill>
        </w:rPr>
      </w:pPr>
      <w:r>
        <w:rPr>
          <w:rFonts w:hint="eastAsia" w:cs="宋体"/>
          <w:b/>
          <w:bCs/>
          <w:color w:val="000000" w:themeColor="text1"/>
          <w:kern w:val="0"/>
          <w:sz w:val="38"/>
          <w:szCs w:val="38"/>
          <w14:textFill>
            <w14:solidFill>
              <w14:schemeClr w14:val="tx1"/>
            </w14:solidFill>
          </w14:textFill>
        </w:rPr>
        <w:t>第四章</w:t>
      </w:r>
      <w:r>
        <w:rPr>
          <w:rFonts w:cs="宋体"/>
          <w:b/>
          <w:bCs/>
          <w:color w:val="000000" w:themeColor="text1"/>
          <w:kern w:val="0"/>
          <w:sz w:val="38"/>
          <w:szCs w:val="38"/>
          <w14:textFill>
            <w14:solidFill>
              <w14:schemeClr w14:val="tx1"/>
            </w14:solidFill>
          </w14:textFill>
        </w:rPr>
        <w:t xml:space="preserve">  </w:t>
      </w:r>
      <w:r>
        <w:rPr>
          <w:rFonts w:hint="eastAsia" w:cs="宋体"/>
          <w:b/>
          <w:bCs/>
          <w:color w:val="000000" w:themeColor="text1"/>
          <w:kern w:val="0"/>
          <w:sz w:val="38"/>
          <w:szCs w:val="38"/>
          <w14:textFill>
            <w14:solidFill>
              <w14:schemeClr w14:val="tx1"/>
            </w14:solidFill>
          </w14:textFill>
        </w:rPr>
        <w:t>评标方法与评分标准</w:t>
      </w:r>
    </w:p>
    <w:p w14:paraId="2FBE0902">
      <w:pPr>
        <w:pStyle w:val="6"/>
        <w:keepNext w:val="0"/>
        <w:keepLines w:val="0"/>
        <w:pageBreakBefore w:val="0"/>
        <w:kinsoku/>
        <w:wordWrap/>
        <w:overflowPunct/>
        <w:topLinePunct w:val="0"/>
        <w:bidi w:val="0"/>
        <w:spacing w:line="360" w:lineRule="auto"/>
        <w:ind w:firstLine="480" w:firstLineChars="200"/>
        <w:textAlignment w:val="center"/>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评委会将对确定为实质性响应招标文件要求的投标文件进行评价和比较，评标方法采用</w:t>
      </w:r>
      <w:r>
        <w:rPr>
          <w:rFonts w:hint="eastAsia" w:hAnsi="宋体" w:cs="宋体"/>
          <w:color w:val="000000" w:themeColor="text1"/>
          <w:kern w:val="2"/>
          <w:sz w:val="24"/>
          <w:szCs w:val="24"/>
          <w:highlight w:val="none"/>
          <w:u w:val="single"/>
          <w14:textFill>
            <w14:solidFill>
              <w14:schemeClr w14:val="tx1"/>
            </w14:solidFill>
          </w14:textFill>
        </w:rPr>
        <w:t xml:space="preserve"> </w:t>
      </w:r>
      <w:r>
        <w:rPr>
          <w:rFonts w:hint="eastAsia" w:hAnsi="宋体" w:cs="宋体"/>
          <w:color w:val="FF0000"/>
          <w:kern w:val="2"/>
          <w:sz w:val="24"/>
          <w:szCs w:val="24"/>
          <w:highlight w:val="none"/>
          <w:u w:val="single"/>
          <w:lang w:eastAsia="zh-CN"/>
        </w:rPr>
        <w:t>综合评分</w:t>
      </w:r>
      <w:r>
        <w:rPr>
          <w:rFonts w:hint="eastAsia" w:hAnsi="宋体" w:cs="宋体"/>
          <w:color w:val="FF0000"/>
          <w:kern w:val="2"/>
          <w:sz w:val="24"/>
          <w:szCs w:val="24"/>
          <w:highlight w:val="none"/>
          <w:u w:val="single"/>
        </w:rPr>
        <w:t>法</w:t>
      </w:r>
      <w:r>
        <w:rPr>
          <w:rFonts w:hint="eastAsia" w:hAnsi="宋体" w:cs="宋体"/>
          <w:color w:val="000000" w:themeColor="text1"/>
          <w:kern w:val="2"/>
          <w:sz w:val="24"/>
          <w:szCs w:val="24"/>
          <w:highlight w:val="none"/>
          <w14:textFill>
            <w14:solidFill>
              <w14:schemeClr w14:val="tx1"/>
            </w14:solidFill>
          </w14:textFill>
        </w:rPr>
        <w:t>确定中标候选人</w:t>
      </w:r>
      <w:r>
        <w:rPr>
          <w:rFonts w:hint="eastAsia" w:hAnsi="宋体" w:cs="宋体"/>
          <w:color w:val="000000" w:themeColor="text1"/>
          <w:kern w:val="2"/>
          <w:sz w:val="24"/>
          <w:szCs w:val="24"/>
          <w:highlight w:val="none"/>
          <w:lang w:eastAsia="zh-CN"/>
          <w14:textFill>
            <w14:solidFill>
              <w14:schemeClr w14:val="tx1"/>
            </w14:solidFill>
          </w14:textFill>
        </w:rPr>
        <w:t>，评分标准见附件</w:t>
      </w:r>
      <w:r>
        <w:rPr>
          <w:rFonts w:hint="eastAsia" w:hAnsi="宋体" w:cs="宋体"/>
          <w:color w:val="000000" w:themeColor="text1"/>
          <w:kern w:val="2"/>
          <w:sz w:val="24"/>
          <w:szCs w:val="24"/>
          <w:highlight w:val="none"/>
          <w:lang w:val="en-US" w:eastAsia="zh-CN"/>
          <w14:textFill>
            <w14:solidFill>
              <w14:schemeClr w14:val="tx1"/>
            </w14:solidFill>
          </w14:textFill>
        </w:rPr>
        <w:t>2</w:t>
      </w:r>
      <w:r>
        <w:rPr>
          <w:rFonts w:hint="eastAsia" w:hAnsi="宋体" w:cs="宋体"/>
          <w:color w:val="000000" w:themeColor="text1"/>
          <w:kern w:val="2"/>
          <w:sz w:val="24"/>
          <w:szCs w:val="24"/>
          <w:highlight w:val="none"/>
          <w14:textFill>
            <w14:solidFill>
              <w14:schemeClr w14:val="tx1"/>
            </w14:solidFill>
          </w14:textFill>
        </w:rPr>
        <w:t>。</w:t>
      </w:r>
    </w:p>
    <w:p w14:paraId="029D8759">
      <w:pPr>
        <w:spacing w:line="360" w:lineRule="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附件2：</w:t>
      </w:r>
      <w:r>
        <w:rPr>
          <w:rFonts w:hint="eastAsia" w:ascii="宋体" w:hAnsi="宋体" w:cs="宋体"/>
          <w:color w:val="000000" w:themeColor="text1"/>
          <w:sz w:val="24"/>
          <w:szCs w:val="24"/>
          <w:lang w:eastAsia="zh-CN"/>
          <w14:textFill>
            <w14:solidFill>
              <w14:schemeClr w14:val="tx1"/>
            </w14:solidFill>
          </w14:textFill>
        </w:rPr>
        <w:t>竞争性磋商评分</w:t>
      </w:r>
      <w:r>
        <w:rPr>
          <w:rFonts w:hint="eastAsia" w:ascii="宋体" w:hAnsi="宋体" w:eastAsia="宋体" w:cs="宋体"/>
          <w:color w:val="000000" w:themeColor="text1"/>
          <w:sz w:val="24"/>
          <w:szCs w:val="24"/>
          <w:lang w:eastAsia="zh-CN"/>
          <w14:textFill>
            <w14:solidFill>
              <w14:schemeClr w14:val="tx1"/>
            </w14:solidFill>
          </w14:textFill>
        </w:rPr>
        <w:t>表</w:t>
      </w:r>
    </w:p>
    <w:p w14:paraId="427C310F">
      <w:pPr>
        <w:spacing w:line="360" w:lineRule="auto"/>
        <w:ind w:left="0" w:leftChars="0" w:firstLine="501" w:firstLineChars="209"/>
        <w:rPr>
          <w:rFonts w:hint="default"/>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w:t>
      </w:r>
      <w:r>
        <w:rPr>
          <w:color w:val="000000" w:themeColor="text1"/>
          <w:sz w:val="24"/>
          <w:szCs w:val="24"/>
          <w14:textFill>
            <w14:solidFill>
              <w14:schemeClr w14:val="tx1"/>
            </w14:solidFill>
          </w14:textFill>
        </w:rPr>
        <w:t>小组将以响应文件为评审依据，对供应商的报价、技术、商务等方面内容按百分制打分（计分方法按四舍五入取至百分位）</w:t>
      </w:r>
    </w:p>
    <w:tbl>
      <w:tblPr>
        <w:tblStyle w:val="15"/>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750"/>
        <w:gridCol w:w="7712"/>
      </w:tblGrid>
      <w:tr w14:paraId="46B6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EC94FE4">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32F87788">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分值</w:t>
            </w:r>
          </w:p>
        </w:tc>
        <w:tc>
          <w:tcPr>
            <w:tcW w:w="7712" w:type="dxa"/>
            <w:tcBorders>
              <w:top w:val="single" w:color="auto" w:sz="4" w:space="0"/>
              <w:left w:val="single" w:color="auto" w:sz="4" w:space="0"/>
              <w:bottom w:val="single" w:color="auto" w:sz="4" w:space="0"/>
              <w:right w:val="single" w:color="auto" w:sz="4" w:space="0"/>
            </w:tcBorders>
            <w:vAlign w:val="center"/>
          </w:tcPr>
          <w:p w14:paraId="4C064728">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评标标准</w:t>
            </w:r>
          </w:p>
        </w:tc>
      </w:tr>
      <w:tr w14:paraId="4E8F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372F4AD8">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vAlign w:val="center"/>
          </w:tcPr>
          <w:p w14:paraId="3F43E111">
            <w:pPr>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0分</w:t>
            </w:r>
          </w:p>
        </w:tc>
        <w:tc>
          <w:tcPr>
            <w:tcW w:w="7712" w:type="dxa"/>
            <w:tcBorders>
              <w:top w:val="single" w:color="auto" w:sz="4" w:space="0"/>
              <w:left w:val="single" w:color="auto" w:sz="4" w:space="0"/>
              <w:bottom w:val="single" w:color="auto" w:sz="4" w:space="0"/>
              <w:right w:val="single" w:color="auto" w:sz="4" w:space="0"/>
            </w:tcBorders>
            <w:vAlign w:val="center"/>
          </w:tcPr>
          <w:p w14:paraId="1B6439CD">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报价分（满分</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0分）</w:t>
            </w:r>
          </w:p>
          <w:p w14:paraId="60DB5DD8">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报价分采用低价优先法计算，满足磋商文件要求且评标价最低的有效供应商的评标价为评标基准价，其报价分为满分。</w:t>
            </w:r>
          </w:p>
          <w:p w14:paraId="0ED7A1F7">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其他供应商的价格分统一按照下列公式计算：</w:t>
            </w:r>
          </w:p>
          <w:p w14:paraId="6EE81C24">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某有效供应商的报价分=（评标基准价／某有效供应商评标价）× </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0分</w:t>
            </w:r>
          </w:p>
        </w:tc>
      </w:tr>
      <w:tr w14:paraId="653B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14:paraId="03FB10FF">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7501B7C6">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60分</w:t>
            </w:r>
          </w:p>
        </w:tc>
        <w:tc>
          <w:tcPr>
            <w:tcW w:w="7712" w:type="dxa"/>
            <w:tcBorders>
              <w:top w:val="single" w:color="auto" w:sz="4" w:space="0"/>
              <w:left w:val="single" w:color="auto" w:sz="4" w:space="0"/>
              <w:bottom w:val="single" w:color="auto" w:sz="4" w:space="0"/>
              <w:right w:val="single" w:color="auto" w:sz="4" w:space="0"/>
            </w:tcBorders>
            <w:vAlign w:val="center"/>
          </w:tcPr>
          <w:p w14:paraId="196F700B">
            <w:pPr>
              <w:rPr>
                <w:color w:val="000000" w:themeColor="text1"/>
                <w:sz w:val="24"/>
                <w:szCs w:val="24"/>
                <w14:textFill>
                  <w14:solidFill>
                    <w14:schemeClr w14:val="tx1"/>
                  </w14:solidFill>
                </w14:textFill>
              </w:rPr>
            </w:pPr>
            <w:bookmarkStart w:id="0" w:name="_Hlk126571398"/>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实施</w:t>
            </w:r>
            <w:r>
              <w:rPr>
                <w:color w:val="000000" w:themeColor="text1"/>
                <w:sz w:val="24"/>
                <w:szCs w:val="24"/>
                <w14:textFill>
                  <w14:solidFill>
                    <w14:schemeClr w14:val="tx1"/>
                  </w14:solidFill>
                </w14:textFill>
              </w:rPr>
              <w:t>方案</w:t>
            </w:r>
            <w:bookmarkEnd w:id="0"/>
            <w:r>
              <w:rPr>
                <w:color w:val="000000" w:themeColor="text1"/>
                <w:sz w:val="24"/>
                <w:szCs w:val="24"/>
                <w14:textFill>
                  <w14:solidFill>
                    <w14:schemeClr w14:val="tx1"/>
                  </w14:solidFill>
                </w14:textFill>
              </w:rPr>
              <w:t>分（满分25分）</w:t>
            </w:r>
          </w:p>
          <w:p w14:paraId="4602F1EB">
            <w:pPr>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评标</w:t>
            </w:r>
            <w:r>
              <w:rPr>
                <w:color w:val="000000" w:themeColor="text1"/>
                <w:sz w:val="24"/>
                <w:szCs w:val="24"/>
                <w14:textFill>
                  <w14:solidFill>
                    <w14:schemeClr w14:val="tx1"/>
                  </w14:solidFill>
                </w14:textFill>
              </w:rPr>
              <w:t>小组</w:t>
            </w:r>
            <w:r>
              <w:rPr>
                <w:rFonts w:hint="eastAsia"/>
                <w:color w:val="000000" w:themeColor="text1"/>
                <w:sz w:val="24"/>
                <w:szCs w:val="24"/>
                <w:lang w:val="en-US" w:eastAsia="zh-CN"/>
                <w14:textFill>
                  <w14:solidFill>
                    <w14:schemeClr w14:val="tx1"/>
                  </w14:solidFill>
                </w14:textFill>
              </w:rPr>
              <w:t>成员根据投标单位提交的方案内容做出相应判断，并且在相应的得分档打分。不符合要求或无法满足采购要求的则不得分。</w:t>
            </w:r>
          </w:p>
          <w:p w14:paraId="57AF1405">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一档（</w:t>
            </w:r>
            <w:r>
              <w:rPr>
                <w:rFonts w:hint="eastAsia"/>
                <w:color w:val="000000" w:themeColor="text1"/>
                <w:sz w:val="24"/>
                <w:szCs w:val="24"/>
                <w:lang w:val="en-US" w:eastAsia="zh-CN"/>
                <w14:textFill>
                  <w14:solidFill>
                    <w14:schemeClr w14:val="tx1"/>
                  </w14:solidFill>
                </w14:textFill>
              </w:rPr>
              <w:t>0-8</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val="en-US" w:eastAsia="zh-CN"/>
                <w14:textFill>
                  <w14:solidFill>
                    <w14:schemeClr w14:val="tx1"/>
                  </w14:solidFill>
                </w14:textFill>
              </w:rPr>
              <w:t>项目实施方案简单；项目实施的技术力量和人力资源安排</w:t>
            </w:r>
            <w:r>
              <w:rPr>
                <w:rFonts w:hint="eastAsia"/>
                <w:color w:val="000000" w:themeColor="text1"/>
                <w:sz w:val="24"/>
                <w:szCs w:val="24"/>
                <w:lang w:eastAsia="zh-CN"/>
                <w14:textFill>
                  <w14:solidFill>
                    <w14:schemeClr w14:val="tx1"/>
                  </w14:solidFill>
                </w14:textFill>
              </w:rPr>
              <w:t>基本</w:t>
            </w:r>
            <w:r>
              <w:rPr>
                <w:rFonts w:hint="eastAsia"/>
                <w:color w:val="000000" w:themeColor="text1"/>
                <w:sz w:val="24"/>
                <w:szCs w:val="24"/>
                <w:lang w:val="en-US" w:eastAsia="zh-CN"/>
                <w14:textFill>
                  <w14:solidFill>
                    <w14:schemeClr w14:val="tx1"/>
                  </w14:solidFill>
                </w14:textFill>
              </w:rPr>
              <w:t>满足项目要求，服务内容和措施同比一般；</w:t>
            </w:r>
            <w:r>
              <w:rPr>
                <w:rFonts w:hint="eastAsia"/>
                <w:color w:val="000000" w:themeColor="text1"/>
                <w:sz w:val="24"/>
                <w:szCs w:val="24"/>
                <w14:textFill>
                  <w14:solidFill>
                    <w14:schemeClr w14:val="tx1"/>
                  </w14:solidFill>
                </w14:textFill>
              </w:rPr>
              <w:t>；</w:t>
            </w:r>
          </w:p>
          <w:p w14:paraId="46F1A54A">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二档（</w:t>
            </w:r>
            <w:r>
              <w:rPr>
                <w:rFonts w:hint="eastAsia"/>
                <w:color w:val="000000" w:themeColor="text1"/>
                <w:sz w:val="24"/>
                <w:szCs w:val="24"/>
                <w:lang w:val="en-US" w:eastAsia="zh-CN"/>
                <w14:textFill>
                  <w14:solidFill>
                    <w14:schemeClr w14:val="tx1"/>
                  </w14:solidFill>
                </w14:textFill>
              </w:rPr>
              <w:t>9-16</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val="en-US" w:eastAsia="zh-CN"/>
                <w14:textFill>
                  <w14:solidFill>
                    <w14:schemeClr w14:val="tx1"/>
                  </w14:solidFill>
                </w14:textFill>
              </w:rPr>
              <w:t>项目实施方案较详细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项目实施的技术力量和人力资源安排完全满足项目实施要求</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服务内容和措施</w:t>
            </w:r>
            <w:r>
              <w:rPr>
                <w:rFonts w:hint="eastAsia"/>
                <w:color w:val="000000" w:themeColor="text1"/>
                <w:sz w:val="24"/>
                <w:szCs w:val="24"/>
                <w14:textFill>
                  <w14:solidFill>
                    <w14:schemeClr w14:val="tx1"/>
                  </w14:solidFill>
                </w14:textFill>
              </w:rPr>
              <w:t>较详细、可行，提供应急方案；</w:t>
            </w:r>
          </w:p>
          <w:p w14:paraId="15A10061">
            <w:pPr>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三档（</w:t>
            </w:r>
            <w:r>
              <w:rPr>
                <w:rFonts w:hint="eastAsia"/>
                <w:color w:val="000000" w:themeColor="text1"/>
                <w:sz w:val="24"/>
                <w:szCs w:val="24"/>
                <w:lang w:val="en-US" w:eastAsia="zh-CN"/>
                <w14:textFill>
                  <w14:solidFill>
                    <w14:schemeClr w14:val="tx1"/>
                  </w14:solidFill>
                </w14:textFill>
              </w:rPr>
              <w:t>17-25</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val="en-US" w:eastAsia="zh-CN"/>
                <w14:textFill>
                  <w14:solidFill>
                    <w14:schemeClr w14:val="tx1"/>
                  </w14:solidFill>
                </w14:textFill>
              </w:rPr>
              <w:t>项目实施方案详实，无负偏离条款，服务标准规范，方案能清楚的表明对本项目的熟悉程度</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项目实施的技术力量和人力资源安排完全满足项目实施要求；</w:t>
            </w:r>
            <w:r>
              <w:rPr>
                <w:rFonts w:hint="eastAsia"/>
                <w:color w:val="000000" w:themeColor="text1"/>
                <w:sz w:val="24"/>
                <w:szCs w:val="24"/>
                <w:lang w:eastAsia="zh-CN"/>
                <w14:textFill>
                  <w14:solidFill>
                    <w14:schemeClr w14:val="tx1"/>
                  </w14:solidFill>
                </w14:textFill>
              </w:rPr>
              <w:t>服务内容和措施</w:t>
            </w:r>
            <w:r>
              <w:rPr>
                <w:rFonts w:hint="eastAsia"/>
                <w:color w:val="000000" w:themeColor="text1"/>
                <w:sz w:val="24"/>
                <w:szCs w:val="24"/>
                <w:lang w:val="en-US" w:eastAsia="zh-CN"/>
                <w14:textFill>
                  <w14:solidFill>
                    <w14:schemeClr w14:val="tx1"/>
                  </w14:solidFill>
                </w14:textFill>
              </w:rPr>
              <w:t>优良</w:t>
            </w:r>
            <w:r>
              <w:rPr>
                <w:rFonts w:hint="eastAsia"/>
                <w:color w:val="000000" w:themeColor="text1"/>
                <w:sz w:val="24"/>
                <w:szCs w:val="24"/>
                <w:lang w:eastAsia="zh-CN"/>
                <w14:textFill>
                  <w14:solidFill>
                    <w14:schemeClr w14:val="tx1"/>
                  </w14:solidFill>
                </w14:textFill>
              </w:rPr>
              <w:t>，可操作性强。</w:t>
            </w:r>
            <w:r>
              <w:rPr>
                <w:rFonts w:hint="eastAsia"/>
                <w:color w:val="000000" w:themeColor="text1"/>
                <w:sz w:val="24"/>
                <w:szCs w:val="24"/>
                <w14:textFill>
                  <w14:solidFill>
                    <w14:schemeClr w14:val="tx1"/>
                  </w14:solidFill>
                </w14:textFill>
              </w:rPr>
              <w:t>提供应急方案</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有防范预案</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对关键技术点描述清晰、到位，能够确保故障尽快修复。</w:t>
            </w:r>
          </w:p>
        </w:tc>
      </w:tr>
      <w:tr w14:paraId="57BE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14:paraId="61549EB3">
            <w:pPr>
              <w:rPr>
                <w:color w:val="000000" w:themeColor="text1"/>
                <w:sz w:val="24"/>
                <w:szCs w:val="24"/>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20819C8">
            <w:pPr>
              <w:rPr>
                <w:color w:val="000000" w:themeColor="text1"/>
                <w:sz w:val="24"/>
                <w:szCs w:val="24"/>
                <w14:textFill>
                  <w14:solidFill>
                    <w14:schemeClr w14:val="tx1"/>
                  </w14:solidFill>
                </w14:textFill>
              </w:rPr>
            </w:pPr>
          </w:p>
        </w:tc>
        <w:tc>
          <w:tcPr>
            <w:tcW w:w="7712" w:type="dxa"/>
            <w:tcBorders>
              <w:top w:val="single" w:color="auto" w:sz="4" w:space="0"/>
              <w:left w:val="single" w:color="auto" w:sz="4" w:space="0"/>
              <w:bottom w:val="single" w:color="auto" w:sz="4" w:space="0"/>
              <w:right w:val="single" w:color="auto" w:sz="4" w:space="0"/>
            </w:tcBorders>
            <w:vAlign w:val="center"/>
          </w:tcPr>
          <w:p w14:paraId="11A1FDB8">
            <w:pPr>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拟投入的专用维修工具分（满分5分）</w:t>
            </w:r>
          </w:p>
          <w:p w14:paraId="1344F900">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投标人配备有维护CT设备专业工具，响应文件中提供工具清单列表、图片，清单列表内容、图片齐全的，得5分。</w:t>
            </w:r>
          </w:p>
        </w:tc>
      </w:tr>
      <w:tr w14:paraId="4750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14:paraId="5D967A75">
            <w:pPr>
              <w:rPr>
                <w:color w:val="000000" w:themeColor="text1"/>
                <w:sz w:val="24"/>
                <w:szCs w:val="24"/>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4A09F764">
            <w:pPr>
              <w:rPr>
                <w:color w:val="000000" w:themeColor="text1"/>
                <w:sz w:val="24"/>
                <w:szCs w:val="24"/>
                <w14:textFill>
                  <w14:solidFill>
                    <w14:schemeClr w14:val="tx1"/>
                  </w14:solidFill>
                </w14:textFill>
              </w:rPr>
            </w:pPr>
          </w:p>
        </w:tc>
        <w:tc>
          <w:tcPr>
            <w:tcW w:w="7712" w:type="dxa"/>
            <w:tcBorders>
              <w:top w:val="single" w:color="auto" w:sz="4" w:space="0"/>
              <w:left w:val="single" w:color="auto" w:sz="4" w:space="0"/>
              <w:bottom w:val="single" w:color="auto" w:sz="4" w:space="0"/>
              <w:right w:val="single" w:color="auto" w:sz="4" w:space="0"/>
            </w:tcBorders>
            <w:vAlign w:val="center"/>
          </w:tcPr>
          <w:p w14:paraId="1C8A8F59">
            <w:pPr>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服务承诺分（满15分）</w:t>
            </w:r>
          </w:p>
          <w:p w14:paraId="211FFE7C">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一档（</w:t>
            </w:r>
            <w:r>
              <w:rPr>
                <w:rFonts w:hint="eastAsia"/>
                <w:color w:val="000000" w:themeColor="text1"/>
                <w:sz w:val="24"/>
                <w:szCs w:val="24"/>
                <w:lang w:val="en-US" w:eastAsia="zh-CN"/>
                <w14:textFill>
                  <w14:solidFill>
                    <w14:schemeClr w14:val="tx1"/>
                  </w14:solidFill>
                </w14:textFill>
              </w:rPr>
              <w:t>0-</w:t>
            </w:r>
            <w:r>
              <w:rPr>
                <w:color w:val="000000" w:themeColor="text1"/>
                <w:sz w:val="24"/>
                <w:szCs w:val="24"/>
                <w14:textFill>
                  <w14:solidFill>
                    <w14:schemeClr w14:val="tx1"/>
                  </w14:solidFill>
                </w14:textFill>
              </w:rPr>
              <w:t>5分）：服务承诺方案简单，各项承诺内容阐述不够明确，</w:t>
            </w:r>
          </w:p>
          <w:p w14:paraId="183B8635">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不够全面。</w:t>
            </w:r>
          </w:p>
          <w:p w14:paraId="1A047389">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二档（</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10 分）：服务承诺方案较基本完整，各项承诺内容合理，服</w:t>
            </w:r>
          </w:p>
          <w:p w14:paraId="0BD66E72">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务措施明确，满足项目需求。</w:t>
            </w:r>
          </w:p>
          <w:p w14:paraId="4165C32A">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三档（</w:t>
            </w:r>
            <w:r>
              <w:rPr>
                <w:rFonts w:hint="eastAsia"/>
                <w:color w:val="000000" w:themeColor="text1"/>
                <w:sz w:val="24"/>
                <w:szCs w:val="24"/>
                <w:lang w:val="en-US" w:eastAsia="zh-CN"/>
                <w14:textFill>
                  <w14:solidFill>
                    <w14:schemeClr w14:val="tx1"/>
                  </w14:solidFill>
                </w14:textFill>
              </w:rPr>
              <w:t>10-</w:t>
            </w:r>
            <w:r>
              <w:rPr>
                <w:color w:val="000000" w:themeColor="text1"/>
                <w:sz w:val="24"/>
                <w:szCs w:val="24"/>
                <w14:textFill>
                  <w14:solidFill>
                    <w14:schemeClr w14:val="tx1"/>
                  </w14:solidFill>
                </w14:textFill>
              </w:rPr>
              <w:t>15 分）：服务承诺方案详细全面，各项承诺具有项目针对</w:t>
            </w:r>
          </w:p>
          <w:p w14:paraId="09CF402B">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性，内容合理，服务措施详细明确，后续服务方案充分为采购人考虑，</w:t>
            </w:r>
          </w:p>
          <w:p w14:paraId="5F54DF0F">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服务质量承诺方案优秀。</w:t>
            </w:r>
          </w:p>
        </w:tc>
      </w:tr>
      <w:tr w14:paraId="7389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14:paraId="4FA35C58">
            <w:pPr>
              <w:rPr>
                <w:color w:val="000000" w:themeColor="text1"/>
                <w:sz w:val="24"/>
                <w:szCs w:val="24"/>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B535D8E">
            <w:pPr>
              <w:rPr>
                <w:color w:val="000000" w:themeColor="text1"/>
                <w:sz w:val="24"/>
                <w:szCs w:val="24"/>
                <w14:textFill>
                  <w14:solidFill>
                    <w14:schemeClr w14:val="tx1"/>
                  </w14:solidFill>
                </w14:textFill>
              </w:rPr>
            </w:pPr>
          </w:p>
        </w:tc>
        <w:tc>
          <w:tcPr>
            <w:tcW w:w="7712" w:type="dxa"/>
            <w:tcBorders>
              <w:top w:val="single" w:color="auto" w:sz="4" w:space="0"/>
              <w:left w:val="single" w:color="auto" w:sz="4" w:space="0"/>
              <w:bottom w:val="single" w:color="auto" w:sz="4" w:space="0"/>
              <w:right w:val="single" w:color="auto" w:sz="4" w:space="0"/>
            </w:tcBorders>
            <w:vAlign w:val="center"/>
          </w:tcPr>
          <w:p w14:paraId="201295FD">
            <w:pPr>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服务团队分（满分15分）</w:t>
            </w:r>
          </w:p>
          <w:p w14:paraId="0C28C6F0">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投标人提供项目人员组织机构设置合理，具有CT维修经验的工程师团队，每提供一名人员得2分，总得分8分。</w:t>
            </w:r>
          </w:p>
          <w:p w14:paraId="2D9224D0">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投标人提供工程师团队中有医学工程类中级专业技术职称的得1分，有高级专业技术职称的3分，总得分4分。</w:t>
            </w:r>
          </w:p>
          <w:p w14:paraId="01531514">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投标人提供工程师团队中有辐射安全利用和防护知识培训证书的，每提供一份得1分，总得分3分。</w:t>
            </w:r>
          </w:p>
          <w:p w14:paraId="00DEE678">
            <w:pPr>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注：必须提供工程师开标前半年内任一个月为其缴费的劳动合同和社保</w:t>
            </w:r>
            <w:r>
              <w:rPr>
                <w:rFonts w:hint="eastAsia"/>
                <w:color w:val="000000" w:themeColor="text1"/>
                <w:sz w:val="24"/>
                <w:szCs w:val="24"/>
                <w:lang w:val="en-US" w:eastAsia="zh-CN"/>
                <w14:textFill>
                  <w14:solidFill>
                    <w14:schemeClr w14:val="tx1"/>
                  </w14:solidFill>
                </w14:textFill>
              </w:rPr>
              <w:t>凭证</w:t>
            </w:r>
            <w:r>
              <w:rPr>
                <w:rFonts w:hint="eastAsia"/>
                <w:color w:val="000000" w:themeColor="text1"/>
                <w:sz w:val="24"/>
                <w:szCs w:val="24"/>
                <w14:textFill>
                  <w14:solidFill>
                    <w14:schemeClr w14:val="tx1"/>
                  </w14:solidFill>
                </w14:textFill>
              </w:rPr>
              <w:t>或无需缴纳社保证明复印件并加盖单位公章，否则不得分。</w:t>
            </w:r>
          </w:p>
        </w:tc>
      </w:tr>
      <w:tr w14:paraId="4ED6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955" w:type="dxa"/>
            <w:tcBorders>
              <w:top w:val="single" w:color="auto" w:sz="4" w:space="0"/>
              <w:left w:val="single" w:color="auto" w:sz="4" w:space="0"/>
              <w:right w:val="single" w:color="auto" w:sz="4" w:space="0"/>
            </w:tcBorders>
            <w:vAlign w:val="center"/>
          </w:tcPr>
          <w:p w14:paraId="0D2F903A">
            <w:pP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750" w:type="dxa"/>
            <w:tcBorders>
              <w:top w:val="single" w:color="auto" w:sz="4" w:space="0"/>
              <w:left w:val="single" w:color="auto" w:sz="4" w:space="0"/>
              <w:right w:val="single" w:color="auto" w:sz="4" w:space="0"/>
            </w:tcBorders>
            <w:vAlign w:val="center"/>
          </w:tcPr>
          <w:p w14:paraId="19A71478">
            <w:pPr>
              <w:rPr>
                <w:rFonts w:hint="default"/>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0分</w:t>
            </w:r>
          </w:p>
        </w:tc>
        <w:tc>
          <w:tcPr>
            <w:tcW w:w="7712" w:type="dxa"/>
            <w:tcBorders>
              <w:top w:val="single" w:color="auto" w:sz="4" w:space="0"/>
              <w:left w:val="single" w:color="auto" w:sz="4" w:space="0"/>
              <w:bottom w:val="single" w:color="auto" w:sz="4" w:space="0"/>
              <w:right w:val="single" w:color="auto" w:sz="4" w:space="0"/>
            </w:tcBorders>
            <w:vAlign w:val="center"/>
          </w:tcPr>
          <w:p w14:paraId="0D60D1BD">
            <w:pPr>
              <w:pStyle w:val="2"/>
              <w:numPr>
                <w:numId w:val="0"/>
              </w:numPr>
              <w:spacing w:line="240" w:lineRule="auto"/>
              <w:ind w:firstLine="26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供应商自2021年1月1日以来维保服务项目的业绩成功案例中，提供医院维保客户名单。</w:t>
            </w:r>
            <w:r>
              <w:rPr>
                <w:rFonts w:hint="eastAsia" w:ascii="宋体" w:hAnsi="宋体" w:eastAsia="宋体" w:cs="宋体"/>
                <w:color w:val="FF0000"/>
                <w:sz w:val="24"/>
                <w:szCs w:val="24"/>
                <w:lang w:val="en-US" w:eastAsia="zh-CN"/>
              </w:rPr>
              <w:t>每提供一份得</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lang w:val="en-US" w:eastAsia="zh-CN"/>
              </w:rPr>
              <w:t>分，本项满分12分</w:t>
            </w:r>
            <w:r>
              <w:rPr>
                <w:rFonts w:hint="eastAsia" w:ascii="宋体" w:hAnsi="宋体" w:eastAsia="宋体" w:cs="宋体"/>
                <w:color w:val="000000" w:themeColor="text1"/>
                <w:sz w:val="24"/>
                <w:szCs w:val="24"/>
                <w:lang w:val="en-US" w:eastAsia="zh-CN"/>
                <w14:textFill>
                  <w14:solidFill>
                    <w14:schemeClr w14:val="tx1"/>
                  </w14:solidFill>
                </w14:textFill>
              </w:rPr>
              <w:t>，[提供相应合同或中标/成交通知书复印件（原件核查），并加盖单位公章]。</w:t>
            </w:r>
          </w:p>
          <w:p w14:paraId="058A7FA0">
            <w:pPr>
              <w:pStyle w:val="2"/>
              <w:numPr>
                <w:numId w:val="0"/>
              </w:numPr>
              <w:spacing w:line="240" w:lineRule="auto"/>
              <w:ind w:firstLine="260" w:firstLineChars="100"/>
              <w:rPr>
                <w:rFonts w:hint="default"/>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本项目涉及</w:t>
            </w:r>
            <w:r>
              <w:rPr>
                <w:rFonts w:hint="eastAsia" w:ascii="宋体" w:hAnsi="宋体" w:eastAsia="宋体" w:cs="宋体"/>
                <w:color w:val="000000" w:themeColor="text1"/>
                <w:sz w:val="24"/>
                <w:szCs w:val="24"/>
                <w:lang w:val="en-US" w:eastAsia="zh-CN"/>
                <w14:textFill>
                  <w14:solidFill>
                    <w14:schemeClr w14:val="tx1"/>
                  </w14:solidFill>
                </w14:textFill>
              </w:rPr>
              <w:t>CT球管的销售和维保，依据《放射性同位素与射线装置安全许可管理办法》相关规定，需办理销售、使用两个活动种类的《辐射安全许可证》，</w:t>
            </w:r>
            <w:r>
              <w:rPr>
                <w:rFonts w:hint="eastAsia" w:ascii="宋体" w:hAnsi="宋体" w:eastAsia="宋体" w:cs="宋体"/>
                <w:color w:val="000000" w:themeColor="text1"/>
                <w:sz w:val="24"/>
                <w:szCs w:val="24"/>
                <w14:textFill>
                  <w14:solidFill>
                    <w14:schemeClr w14:val="tx1"/>
                  </w14:solidFill>
                </w14:textFill>
              </w:rPr>
              <w:t>投标人提供《辐射安全许可证》证明文件的得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r>
    </w:tbl>
    <w:p w14:paraId="7CF5BA8A">
      <w:pPr>
        <w:rPr>
          <w:color w:val="000000" w:themeColor="text1"/>
          <w14:textFill>
            <w14:solidFill>
              <w14:schemeClr w14:val="tx1"/>
            </w14:solidFill>
          </w14:textFill>
        </w:rPr>
      </w:pPr>
    </w:p>
    <w:p w14:paraId="36C908FD">
      <w:pPr>
        <w:spacing w:line="360" w:lineRule="auto"/>
        <w:ind w:left="0" w:leftChars="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磋商小组将根据综合评分情况，按照评审得分由高到低进行排序，根据得分最高为原则推荐成交候选供应商。</w:t>
      </w:r>
    </w:p>
    <w:p w14:paraId="6B93AEAF">
      <w:pPr>
        <w:pStyle w:val="2"/>
        <w:ind w:left="0" w:leftChars="0" w:firstLine="0" w:firstLineChars="0"/>
        <w:rPr>
          <w:color w:val="000000" w:themeColor="text1"/>
          <w14:textFill>
            <w14:solidFill>
              <w14:schemeClr w14:val="tx1"/>
            </w14:solidFill>
          </w14:textFill>
        </w:rPr>
      </w:pPr>
    </w:p>
    <w:p w14:paraId="404F1FA6">
      <w:pPr>
        <w:spacing w:line="360" w:lineRule="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附件1：</w:t>
      </w:r>
      <w:r>
        <w:rPr>
          <w:rFonts w:hint="eastAsia" w:ascii="宋体" w:hAnsi="宋体" w:eastAsia="宋体" w:cs="宋体"/>
          <w:color w:val="000000" w:themeColor="text1"/>
          <w:sz w:val="24"/>
          <w:szCs w:val="24"/>
          <w:lang w:eastAsia="zh-CN"/>
          <w14:textFill>
            <w14:solidFill>
              <w14:schemeClr w14:val="tx1"/>
            </w14:solidFill>
          </w14:textFill>
        </w:rPr>
        <w:t>设备维保年度考核表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2835"/>
        <w:gridCol w:w="1305"/>
        <w:gridCol w:w="3623"/>
        <w:gridCol w:w="902"/>
      </w:tblGrid>
      <w:tr w14:paraId="6871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14:paraId="7B057004">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评价项目</w:t>
            </w:r>
          </w:p>
        </w:tc>
        <w:tc>
          <w:tcPr>
            <w:tcW w:w="2835" w:type="dxa"/>
          </w:tcPr>
          <w:p w14:paraId="2D5797ED">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评价标准</w:t>
            </w:r>
          </w:p>
        </w:tc>
        <w:tc>
          <w:tcPr>
            <w:tcW w:w="1305" w:type="dxa"/>
          </w:tcPr>
          <w:p w14:paraId="40A2480E">
            <w:pPr>
              <w:widowControl w:val="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基础分值(合</w:t>
            </w:r>
          </w:p>
          <w:p w14:paraId="06D28A9D">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计100分)</w:t>
            </w:r>
          </w:p>
        </w:tc>
        <w:tc>
          <w:tcPr>
            <w:tcW w:w="3623" w:type="dxa"/>
          </w:tcPr>
          <w:p w14:paraId="60970AC8">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评价方法</w:t>
            </w:r>
          </w:p>
        </w:tc>
        <w:tc>
          <w:tcPr>
            <w:tcW w:w="902" w:type="dxa"/>
          </w:tcPr>
          <w:p w14:paraId="4BC4CB06">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评分</w:t>
            </w:r>
          </w:p>
        </w:tc>
      </w:tr>
      <w:tr w14:paraId="1810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14:paraId="59540CA5">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响应时间</w:t>
            </w:r>
          </w:p>
        </w:tc>
        <w:tc>
          <w:tcPr>
            <w:tcW w:w="2835" w:type="dxa"/>
          </w:tcPr>
          <w:p w14:paraId="128AD9C3">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是否按合同内容提供24小时咨询和响应，是否30分钟内响应</w:t>
            </w:r>
          </w:p>
        </w:tc>
        <w:tc>
          <w:tcPr>
            <w:tcW w:w="1305" w:type="dxa"/>
          </w:tcPr>
          <w:p w14:paraId="7C60CE1A">
            <w:pPr>
              <w:widowControl w:val="0"/>
              <w:jc w:val="both"/>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20分</w:t>
            </w:r>
          </w:p>
        </w:tc>
        <w:tc>
          <w:tcPr>
            <w:tcW w:w="3623" w:type="dxa"/>
          </w:tcPr>
          <w:p w14:paraId="347EB725">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以20分为基础，不能按时响应的，每次扣1分。</w:t>
            </w:r>
          </w:p>
        </w:tc>
        <w:tc>
          <w:tcPr>
            <w:tcW w:w="902" w:type="dxa"/>
          </w:tcPr>
          <w:p w14:paraId="67F10787">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p>
        </w:tc>
      </w:tr>
      <w:tr w14:paraId="569C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14:paraId="213BF136">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紧急维修</w:t>
            </w:r>
          </w:p>
        </w:tc>
        <w:tc>
          <w:tcPr>
            <w:tcW w:w="2835" w:type="dxa"/>
          </w:tcPr>
          <w:p w14:paraId="3293B381">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是否在约定时间内响应或到达现场</w:t>
            </w:r>
          </w:p>
        </w:tc>
        <w:tc>
          <w:tcPr>
            <w:tcW w:w="1305" w:type="dxa"/>
          </w:tcPr>
          <w:p w14:paraId="5D42B2AE">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20分</w:t>
            </w:r>
          </w:p>
        </w:tc>
        <w:tc>
          <w:tcPr>
            <w:tcW w:w="3623" w:type="dxa"/>
          </w:tcPr>
          <w:p w14:paraId="2CA28470">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以20分为基础，不能按时响应</w:t>
            </w:r>
            <w:r>
              <w:rPr>
                <w:rFonts w:hint="eastAsia" w:ascii="宋体" w:hAnsi="宋体" w:cs="宋体"/>
                <w:color w:val="000000" w:themeColor="text1"/>
                <w:sz w:val="24"/>
                <w:szCs w:val="24"/>
                <w:lang w:eastAsia="zh-CN"/>
                <w14:textFill>
                  <w14:solidFill>
                    <w14:schemeClr w14:val="tx1"/>
                  </w14:solidFill>
                </w14:textFill>
              </w:rPr>
              <w:t>或到达</w:t>
            </w:r>
            <w:r>
              <w:rPr>
                <w:rFonts w:ascii="宋体" w:hAnsi="宋体" w:eastAsia="宋体" w:cs="宋体"/>
                <w:color w:val="000000" w:themeColor="text1"/>
                <w:sz w:val="24"/>
                <w:szCs w:val="24"/>
                <w14:textFill>
                  <w14:solidFill>
                    <w14:schemeClr w14:val="tx1"/>
                  </w14:solidFill>
                </w14:textFill>
              </w:rPr>
              <w:t>的，每次扣1分。</w:t>
            </w:r>
          </w:p>
        </w:tc>
        <w:tc>
          <w:tcPr>
            <w:tcW w:w="902" w:type="dxa"/>
          </w:tcPr>
          <w:p w14:paraId="026C1FEE">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p>
        </w:tc>
      </w:tr>
      <w:tr w14:paraId="4C4C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14:paraId="16FC0859">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高级保养</w:t>
            </w:r>
          </w:p>
        </w:tc>
        <w:tc>
          <w:tcPr>
            <w:tcW w:w="2835" w:type="dxa"/>
          </w:tcPr>
          <w:p w14:paraId="4C613BE4">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每年度内是否不少于4次高级保养</w:t>
            </w:r>
            <w:r>
              <w:rPr>
                <w:rFonts w:hint="eastAsia" w:ascii="宋体" w:hAnsi="宋体" w:cs="宋体"/>
                <w:color w:val="000000" w:themeColor="text1"/>
                <w:sz w:val="24"/>
                <w:szCs w:val="24"/>
                <w:lang w:eastAsia="zh-CN"/>
                <w14:textFill>
                  <w14:solidFill>
                    <w14:schemeClr w14:val="tx1"/>
                  </w14:solidFill>
                </w14:textFill>
              </w:rPr>
              <w:t>（包括但不限于清洁滑环、清洁探测器、清洁过滤网、整机除尘、标准和空气校准、定位床精度检查、扫描机架精度检查、扫描工作站数据备份、设备整机电气运行参数检查）。</w:t>
            </w:r>
          </w:p>
        </w:tc>
        <w:tc>
          <w:tcPr>
            <w:tcW w:w="1305" w:type="dxa"/>
          </w:tcPr>
          <w:p w14:paraId="5B897B87">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20分</w:t>
            </w:r>
          </w:p>
        </w:tc>
        <w:tc>
          <w:tcPr>
            <w:tcW w:w="3623" w:type="dxa"/>
          </w:tcPr>
          <w:p w14:paraId="56E9C18B">
            <w:pPr>
              <w:widowControl w:val="0"/>
              <w:jc w:val="both"/>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当年度未提供保养服务的直接扣20分，年度只提供1次保养的扣15分，年度只提供2次保养的扣10分，年度只提供1次保养的扣5分，高级保养服务中如不能提供其包含的所有子项目的缺</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1项扣除0.5分），</w:t>
            </w:r>
            <w:r>
              <w:rPr>
                <w:rFonts w:hint="eastAsia" w:ascii="宋体" w:hAnsi="宋体" w:eastAsia="宋体" w:cs="宋体"/>
                <w:color w:val="000000" w:themeColor="text1"/>
                <w:sz w:val="24"/>
                <w:szCs w:val="24"/>
                <w:vertAlign w:val="baseline"/>
                <w:lang w:eastAsia="zh-CN"/>
                <w14:textFill>
                  <w14:solidFill>
                    <w14:schemeClr w14:val="tx1"/>
                  </w14:solidFill>
                </w14:textFill>
              </w:rPr>
              <w:t>不提供保养报告的视为未提供保养。</w:t>
            </w:r>
          </w:p>
        </w:tc>
        <w:tc>
          <w:tcPr>
            <w:tcW w:w="902" w:type="dxa"/>
          </w:tcPr>
          <w:p w14:paraId="3C9C8999">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p>
        </w:tc>
      </w:tr>
      <w:tr w14:paraId="1387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14:paraId="089E73F6">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安全检查</w:t>
            </w:r>
          </w:p>
        </w:tc>
        <w:tc>
          <w:tcPr>
            <w:tcW w:w="2835" w:type="dxa"/>
          </w:tcPr>
          <w:p w14:paraId="11C4F79F">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安全检查将按照厂家标准及当地规定</w:t>
            </w:r>
          </w:p>
        </w:tc>
        <w:tc>
          <w:tcPr>
            <w:tcW w:w="1305" w:type="dxa"/>
          </w:tcPr>
          <w:p w14:paraId="4760AD3A">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20分</w:t>
            </w:r>
          </w:p>
        </w:tc>
        <w:tc>
          <w:tcPr>
            <w:tcW w:w="3623" w:type="dxa"/>
          </w:tcPr>
          <w:p w14:paraId="55A743EE">
            <w:pPr>
              <w:widowControl w:val="0"/>
              <w:jc w:val="both"/>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每拒执行</w:t>
            </w:r>
            <w:r>
              <w:rPr>
                <w:rFonts w:hint="eastAsia" w:ascii="宋体" w:hAnsi="宋体" w:eastAsia="宋体" w:cs="宋体"/>
                <w:color w:val="000000" w:themeColor="text1"/>
                <w:sz w:val="24"/>
                <w:szCs w:val="24"/>
                <w:lang w:eastAsia="zh-CN"/>
                <w14:textFill>
                  <w14:solidFill>
                    <w14:schemeClr w14:val="tx1"/>
                  </w14:solidFill>
                </w14:textFill>
              </w:rPr>
              <w:t>一</w:t>
            </w:r>
            <w:r>
              <w:rPr>
                <w:rFonts w:ascii="宋体" w:hAnsi="宋体" w:eastAsia="宋体" w:cs="宋体"/>
                <w:color w:val="000000" w:themeColor="text1"/>
                <w:sz w:val="24"/>
                <w:szCs w:val="24"/>
                <w14:textFill>
                  <w14:solidFill>
                    <w14:schemeClr w14:val="tx1"/>
                  </w14:solidFill>
                </w14:textFill>
              </w:rPr>
              <w:t>次扣4分，全</w:t>
            </w:r>
            <w:r>
              <w:rPr>
                <w:rFonts w:hint="eastAsia" w:ascii="宋体" w:hAnsi="宋体" w:eastAsia="宋体" w:cs="宋体"/>
                <w:color w:val="000000" w:themeColor="text1"/>
                <w:sz w:val="24"/>
                <w:szCs w:val="24"/>
                <w:lang w:eastAsia="zh-CN"/>
                <w14:textFill>
                  <w14:solidFill>
                    <w14:schemeClr w14:val="tx1"/>
                  </w14:solidFill>
                </w14:textFill>
              </w:rPr>
              <w:t>执行</w:t>
            </w:r>
            <w:r>
              <w:rPr>
                <w:rFonts w:hint="eastAsia" w:ascii="宋体" w:hAnsi="宋体" w:eastAsia="宋体" w:cs="宋体"/>
                <w:color w:val="000000" w:themeColor="text1"/>
                <w:sz w:val="24"/>
                <w:szCs w:val="24"/>
                <w:lang w:val="en-US" w:eastAsia="zh-CN"/>
                <w14:textFill>
                  <w14:solidFill>
                    <w14:schemeClr w14:val="tx1"/>
                  </w14:solidFill>
                </w14:textFill>
              </w:rPr>
              <w:t>20分</w:t>
            </w:r>
          </w:p>
        </w:tc>
        <w:tc>
          <w:tcPr>
            <w:tcW w:w="902" w:type="dxa"/>
          </w:tcPr>
          <w:p w14:paraId="3B3237BA">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p>
        </w:tc>
      </w:tr>
      <w:tr w14:paraId="1CAF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14:paraId="666D5707">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质量保证</w:t>
            </w:r>
          </w:p>
        </w:tc>
        <w:tc>
          <w:tcPr>
            <w:tcW w:w="2835" w:type="dxa"/>
          </w:tcPr>
          <w:p w14:paraId="058A391A">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必须达到厂家标准和用户临床诊断要</w:t>
            </w:r>
          </w:p>
        </w:tc>
        <w:tc>
          <w:tcPr>
            <w:tcW w:w="1305" w:type="dxa"/>
          </w:tcPr>
          <w:p w14:paraId="760FB869">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20分</w:t>
            </w:r>
          </w:p>
        </w:tc>
        <w:tc>
          <w:tcPr>
            <w:tcW w:w="3623" w:type="dxa"/>
          </w:tcPr>
          <w:p w14:paraId="58652C38">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每一次不达标扣2分，全达标准20分</w:t>
            </w:r>
          </w:p>
        </w:tc>
        <w:tc>
          <w:tcPr>
            <w:tcW w:w="902" w:type="dxa"/>
          </w:tcPr>
          <w:p w14:paraId="2453E8E0">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p>
        </w:tc>
      </w:tr>
      <w:tr w14:paraId="1BCD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54" w:type="dxa"/>
            <w:gridSpan w:val="5"/>
          </w:tcPr>
          <w:p w14:paraId="5B07D8D5">
            <w:pPr>
              <w:widowControl w:val="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总评分标准</w:t>
            </w:r>
            <w:r>
              <w:rPr>
                <w:rFonts w:ascii="宋体" w:hAnsi="宋体" w:eastAsia="宋体" w:cs="宋体"/>
                <w:color w:val="000000" w:themeColor="text1"/>
                <w:sz w:val="24"/>
                <w:szCs w:val="24"/>
                <w14:textFill>
                  <w14:solidFill>
                    <w14:schemeClr w14:val="tx1"/>
                  </w14:solidFill>
                </w14:textFill>
              </w:rPr>
              <w:t>: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评分达9</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ascii="宋体" w:hAnsi="宋体" w:eastAsia="宋体" w:cs="宋体"/>
                <w:color w:val="000000" w:themeColor="text1"/>
                <w:sz w:val="21"/>
                <w:szCs w:val="21"/>
                <w14:textFill>
                  <w14:solidFill>
                    <w14:schemeClr w14:val="tx1"/>
                  </w14:solidFill>
                </w14:textFill>
              </w:rPr>
              <w:t>分及以上为合格</w:t>
            </w:r>
            <w:r>
              <w:rPr>
                <w:rFonts w:hint="eastAsia" w:ascii="宋体" w:hAnsi="宋体" w:eastAsia="宋体" w:cs="宋体"/>
                <w:color w:val="000000" w:themeColor="text1"/>
                <w:sz w:val="21"/>
                <w:szCs w:val="21"/>
                <w:lang w:eastAsia="zh-CN"/>
                <w14:textFill>
                  <w14:solidFill>
                    <w14:schemeClr w14:val="tx1"/>
                  </w14:solidFill>
                </w14:textFill>
              </w:rPr>
              <w:t>，双方续签合同</w:t>
            </w:r>
            <w:r>
              <w:rPr>
                <w:rFonts w:hint="eastAsia" w:ascii="宋体" w:hAnsi="宋体" w:eastAsia="宋体" w:cs="宋体"/>
                <w:color w:val="000000" w:themeColor="text1"/>
                <w:sz w:val="21"/>
                <w:szCs w:val="21"/>
                <w:lang w:val="en-US" w:eastAsia="zh-CN"/>
                <w14:textFill>
                  <w14:solidFill>
                    <w14:schemeClr w14:val="tx1"/>
                  </w14:solidFill>
                </w14:textFill>
              </w:rPr>
              <w:t>1年</w:t>
            </w:r>
            <w:r>
              <w:rPr>
                <w:rFonts w:hint="eastAsia" w:ascii="宋体" w:hAnsi="宋体" w:eastAsia="宋体" w:cs="宋体"/>
                <w:color w:val="000000" w:themeColor="text1"/>
                <w:sz w:val="21"/>
                <w:szCs w:val="21"/>
                <w:lang w:eastAsia="zh-CN"/>
                <w14:textFill>
                  <w14:solidFill>
                    <w14:schemeClr w14:val="tx1"/>
                  </w14:solidFill>
                </w14:textFill>
              </w:rPr>
              <w:t>。</w:t>
            </w:r>
          </w:p>
          <w:p w14:paraId="56A3EB32">
            <w:pPr>
              <w:widowControl w:val="0"/>
              <w:jc w:val="both"/>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评分低于</w:t>
            </w:r>
            <w:r>
              <w:rPr>
                <w:rFonts w:hint="eastAsia" w:ascii="宋体" w:hAnsi="宋体" w:eastAsia="宋体" w:cs="宋体"/>
                <w:color w:val="000000" w:themeColor="text1"/>
                <w:sz w:val="21"/>
                <w:szCs w:val="21"/>
                <w:lang w:val="en-US" w:eastAsia="zh-CN"/>
                <w14:textFill>
                  <w14:solidFill>
                    <w14:schemeClr w14:val="tx1"/>
                  </w14:solidFill>
                </w14:textFill>
              </w:rPr>
              <w:t>90</w:t>
            </w:r>
            <w:r>
              <w:rPr>
                <w:rFonts w:ascii="宋体" w:hAnsi="宋体" w:eastAsia="宋体" w:cs="宋体"/>
                <w:color w:val="000000" w:themeColor="text1"/>
                <w:sz w:val="21"/>
                <w:szCs w:val="21"/>
                <w14:textFill>
                  <w14:solidFill>
                    <w14:schemeClr w14:val="tx1"/>
                  </w14:solidFill>
                </w14:textFill>
              </w:rPr>
              <w:t>分以下的，</w:t>
            </w:r>
            <w:r>
              <w:rPr>
                <w:rFonts w:hint="eastAsia" w:ascii="宋体" w:hAnsi="宋体" w:eastAsia="宋体" w:cs="宋体"/>
                <w:color w:val="000000" w:themeColor="text1"/>
                <w:sz w:val="21"/>
                <w:szCs w:val="21"/>
                <w:lang w:eastAsia="zh-CN"/>
                <w14:textFill>
                  <w14:solidFill>
                    <w14:schemeClr w14:val="tx1"/>
                  </w14:solidFill>
                </w14:textFill>
              </w:rPr>
              <w:t>为考核不合格，</w:t>
            </w:r>
            <w:r>
              <w:rPr>
                <w:rFonts w:ascii="宋体" w:hAnsi="宋体" w:eastAsia="宋体" w:cs="宋体"/>
                <w:color w:val="000000" w:themeColor="text1"/>
                <w:sz w:val="21"/>
                <w:szCs w:val="21"/>
                <w14:textFill>
                  <w14:solidFill>
                    <w14:schemeClr w14:val="tx1"/>
                  </w14:solidFill>
                </w14:textFill>
              </w:rPr>
              <w:t>甲方可</w:t>
            </w:r>
            <w:r>
              <w:rPr>
                <w:rFonts w:hint="eastAsia" w:ascii="宋体" w:hAnsi="宋体" w:eastAsia="宋体" w:cs="宋体"/>
                <w:color w:val="000000" w:themeColor="text1"/>
                <w:sz w:val="21"/>
                <w:szCs w:val="21"/>
                <w:lang w:eastAsia="zh-CN"/>
                <w14:textFill>
                  <w14:solidFill>
                    <w14:schemeClr w14:val="tx1"/>
                  </w14:solidFill>
                </w14:textFill>
              </w:rPr>
              <w:t>选择不续签合同。</w:t>
            </w:r>
          </w:p>
        </w:tc>
      </w:tr>
    </w:tbl>
    <w:p w14:paraId="3AEFB844">
      <w:pPr>
        <w:pStyle w:val="4"/>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BlNTU2NGZiNjNmMTk2MTU3MmYyODNjZjEwOTgifQ=="/>
    <w:docVar w:name="KY_MEDREF_DOCUID" w:val="{642EBB7A-05DF-4F7F-990F-180E42AE779D}"/>
    <w:docVar w:name="KY_MEDREF_VERSION" w:val="3"/>
  </w:docVars>
  <w:rsids>
    <w:rsidRoot w:val="004C7EB2"/>
    <w:rsid w:val="00066185"/>
    <w:rsid w:val="00066410"/>
    <w:rsid w:val="00080292"/>
    <w:rsid w:val="0008196D"/>
    <w:rsid w:val="00095D83"/>
    <w:rsid w:val="000A6C18"/>
    <w:rsid w:val="000B7E2D"/>
    <w:rsid w:val="000E1AA6"/>
    <w:rsid w:val="000E43F2"/>
    <w:rsid w:val="000F6FAF"/>
    <w:rsid w:val="001227B3"/>
    <w:rsid w:val="00122D7F"/>
    <w:rsid w:val="00182B0D"/>
    <w:rsid w:val="001C0F31"/>
    <w:rsid w:val="001D28DE"/>
    <w:rsid w:val="001F0B73"/>
    <w:rsid w:val="00204183"/>
    <w:rsid w:val="00227F50"/>
    <w:rsid w:val="00235D4A"/>
    <w:rsid w:val="00241CD6"/>
    <w:rsid w:val="00273025"/>
    <w:rsid w:val="002C7944"/>
    <w:rsid w:val="002D30EA"/>
    <w:rsid w:val="00345AF2"/>
    <w:rsid w:val="003C3AB5"/>
    <w:rsid w:val="003E2FE0"/>
    <w:rsid w:val="003E7DC1"/>
    <w:rsid w:val="004049E5"/>
    <w:rsid w:val="00474079"/>
    <w:rsid w:val="004C7EB2"/>
    <w:rsid w:val="004D08F5"/>
    <w:rsid w:val="004D2825"/>
    <w:rsid w:val="004F5A76"/>
    <w:rsid w:val="005007DD"/>
    <w:rsid w:val="00537A36"/>
    <w:rsid w:val="005B049F"/>
    <w:rsid w:val="005B30C7"/>
    <w:rsid w:val="005D491D"/>
    <w:rsid w:val="00622354"/>
    <w:rsid w:val="006431C4"/>
    <w:rsid w:val="00654BC6"/>
    <w:rsid w:val="00684BD7"/>
    <w:rsid w:val="00694752"/>
    <w:rsid w:val="006A12DF"/>
    <w:rsid w:val="006A1C3F"/>
    <w:rsid w:val="006B2F74"/>
    <w:rsid w:val="006C469B"/>
    <w:rsid w:val="006E5543"/>
    <w:rsid w:val="006F775C"/>
    <w:rsid w:val="00707A97"/>
    <w:rsid w:val="007814EA"/>
    <w:rsid w:val="00785CD1"/>
    <w:rsid w:val="007A5910"/>
    <w:rsid w:val="007F6F70"/>
    <w:rsid w:val="008073E3"/>
    <w:rsid w:val="00825B15"/>
    <w:rsid w:val="008553F8"/>
    <w:rsid w:val="00871C48"/>
    <w:rsid w:val="00880ACF"/>
    <w:rsid w:val="008947BF"/>
    <w:rsid w:val="008A5DC5"/>
    <w:rsid w:val="008D3A6F"/>
    <w:rsid w:val="009530DC"/>
    <w:rsid w:val="009E1C35"/>
    <w:rsid w:val="009F69BD"/>
    <w:rsid w:val="00A2105C"/>
    <w:rsid w:val="00A32A4C"/>
    <w:rsid w:val="00A44D5C"/>
    <w:rsid w:val="00A72D1F"/>
    <w:rsid w:val="00A7441F"/>
    <w:rsid w:val="00A83F43"/>
    <w:rsid w:val="00AB2B0A"/>
    <w:rsid w:val="00AC0EA5"/>
    <w:rsid w:val="00AF123F"/>
    <w:rsid w:val="00B07FB2"/>
    <w:rsid w:val="00B8409A"/>
    <w:rsid w:val="00BA3521"/>
    <w:rsid w:val="00BB74B3"/>
    <w:rsid w:val="00BD2E0E"/>
    <w:rsid w:val="00BE1AC9"/>
    <w:rsid w:val="00C20E88"/>
    <w:rsid w:val="00C24609"/>
    <w:rsid w:val="00C33384"/>
    <w:rsid w:val="00C50E05"/>
    <w:rsid w:val="00C762C8"/>
    <w:rsid w:val="00C97AD7"/>
    <w:rsid w:val="00CC2DEE"/>
    <w:rsid w:val="00CD27A2"/>
    <w:rsid w:val="00D2336F"/>
    <w:rsid w:val="00D2685D"/>
    <w:rsid w:val="00D41CB5"/>
    <w:rsid w:val="00D57065"/>
    <w:rsid w:val="00D635CE"/>
    <w:rsid w:val="00DA7E08"/>
    <w:rsid w:val="00DB5864"/>
    <w:rsid w:val="00E1137B"/>
    <w:rsid w:val="00E13FCC"/>
    <w:rsid w:val="00E14108"/>
    <w:rsid w:val="00E238E5"/>
    <w:rsid w:val="00E67DBF"/>
    <w:rsid w:val="00E72BBE"/>
    <w:rsid w:val="00E74D5B"/>
    <w:rsid w:val="00EA02CE"/>
    <w:rsid w:val="00EA4418"/>
    <w:rsid w:val="00EB1C9B"/>
    <w:rsid w:val="00ED5546"/>
    <w:rsid w:val="00EF6FEC"/>
    <w:rsid w:val="00F12B55"/>
    <w:rsid w:val="00F35BD9"/>
    <w:rsid w:val="00FB5B7F"/>
    <w:rsid w:val="00FB6C61"/>
    <w:rsid w:val="00FF2F38"/>
    <w:rsid w:val="02571C51"/>
    <w:rsid w:val="03082F4B"/>
    <w:rsid w:val="03825A13"/>
    <w:rsid w:val="03DB0660"/>
    <w:rsid w:val="04A66578"/>
    <w:rsid w:val="04F07B21"/>
    <w:rsid w:val="06D05B2E"/>
    <w:rsid w:val="0721638A"/>
    <w:rsid w:val="073164AC"/>
    <w:rsid w:val="07D63618"/>
    <w:rsid w:val="08646E76"/>
    <w:rsid w:val="09C53074"/>
    <w:rsid w:val="09C821F4"/>
    <w:rsid w:val="09C85F7A"/>
    <w:rsid w:val="09D326E5"/>
    <w:rsid w:val="0A0362F9"/>
    <w:rsid w:val="0A6D18E6"/>
    <w:rsid w:val="0B855B1B"/>
    <w:rsid w:val="0BBF6171"/>
    <w:rsid w:val="0BC91684"/>
    <w:rsid w:val="0D3133E7"/>
    <w:rsid w:val="0DDF6528"/>
    <w:rsid w:val="0EAF35B4"/>
    <w:rsid w:val="0EBF77D7"/>
    <w:rsid w:val="0F3F1AA3"/>
    <w:rsid w:val="0F726E5C"/>
    <w:rsid w:val="0FB6493A"/>
    <w:rsid w:val="0FBD18F4"/>
    <w:rsid w:val="10305890"/>
    <w:rsid w:val="10C44FE5"/>
    <w:rsid w:val="10C97A40"/>
    <w:rsid w:val="10D00951"/>
    <w:rsid w:val="112C6057"/>
    <w:rsid w:val="11E66803"/>
    <w:rsid w:val="122B15C9"/>
    <w:rsid w:val="140D1AAC"/>
    <w:rsid w:val="143305F1"/>
    <w:rsid w:val="14355008"/>
    <w:rsid w:val="144B713C"/>
    <w:rsid w:val="14506500"/>
    <w:rsid w:val="14A4200E"/>
    <w:rsid w:val="14A66120"/>
    <w:rsid w:val="14BA18FD"/>
    <w:rsid w:val="14D50E40"/>
    <w:rsid w:val="15FF1A89"/>
    <w:rsid w:val="161B48EC"/>
    <w:rsid w:val="16493207"/>
    <w:rsid w:val="16DE1BA1"/>
    <w:rsid w:val="16F969DB"/>
    <w:rsid w:val="175D42E5"/>
    <w:rsid w:val="17BE7C25"/>
    <w:rsid w:val="19621EB8"/>
    <w:rsid w:val="1A5D5E77"/>
    <w:rsid w:val="1ADD6755"/>
    <w:rsid w:val="1B530983"/>
    <w:rsid w:val="1B8F790E"/>
    <w:rsid w:val="1BD17F27"/>
    <w:rsid w:val="1C7A583D"/>
    <w:rsid w:val="1C904910"/>
    <w:rsid w:val="1CDA5E97"/>
    <w:rsid w:val="1D2F75FB"/>
    <w:rsid w:val="1D777C5D"/>
    <w:rsid w:val="1E7B30DA"/>
    <w:rsid w:val="1F947BE9"/>
    <w:rsid w:val="1FB36A5F"/>
    <w:rsid w:val="1FD46237"/>
    <w:rsid w:val="1FF561AE"/>
    <w:rsid w:val="204E6A4B"/>
    <w:rsid w:val="214F4DED"/>
    <w:rsid w:val="21627873"/>
    <w:rsid w:val="21741606"/>
    <w:rsid w:val="21EF7359"/>
    <w:rsid w:val="2218153E"/>
    <w:rsid w:val="22BD2FB3"/>
    <w:rsid w:val="231057D9"/>
    <w:rsid w:val="23743280"/>
    <w:rsid w:val="23963804"/>
    <w:rsid w:val="23BF71FF"/>
    <w:rsid w:val="23F92711"/>
    <w:rsid w:val="23F9728E"/>
    <w:rsid w:val="246B74DB"/>
    <w:rsid w:val="24B46637"/>
    <w:rsid w:val="24FD4D83"/>
    <w:rsid w:val="250709CF"/>
    <w:rsid w:val="251A729B"/>
    <w:rsid w:val="252E3513"/>
    <w:rsid w:val="258C4EBE"/>
    <w:rsid w:val="26582593"/>
    <w:rsid w:val="267A7B8E"/>
    <w:rsid w:val="26A34BB6"/>
    <w:rsid w:val="26A36964"/>
    <w:rsid w:val="26AF1435"/>
    <w:rsid w:val="26C4471A"/>
    <w:rsid w:val="26ED7BDF"/>
    <w:rsid w:val="28115BA2"/>
    <w:rsid w:val="293D0E6C"/>
    <w:rsid w:val="2ACF5F79"/>
    <w:rsid w:val="2C772424"/>
    <w:rsid w:val="2C8166CC"/>
    <w:rsid w:val="2D045C82"/>
    <w:rsid w:val="2D1B63B7"/>
    <w:rsid w:val="2D68718B"/>
    <w:rsid w:val="2E44559E"/>
    <w:rsid w:val="2F974B8C"/>
    <w:rsid w:val="2FA71273"/>
    <w:rsid w:val="3194337D"/>
    <w:rsid w:val="31E00A6C"/>
    <w:rsid w:val="32110C25"/>
    <w:rsid w:val="337551E4"/>
    <w:rsid w:val="340057F5"/>
    <w:rsid w:val="34425A0E"/>
    <w:rsid w:val="34642367"/>
    <w:rsid w:val="34853AA5"/>
    <w:rsid w:val="34CC4FFC"/>
    <w:rsid w:val="351C625F"/>
    <w:rsid w:val="353A4937"/>
    <w:rsid w:val="3737378F"/>
    <w:rsid w:val="37585483"/>
    <w:rsid w:val="3806606D"/>
    <w:rsid w:val="382D42DF"/>
    <w:rsid w:val="383A2C25"/>
    <w:rsid w:val="38C93665"/>
    <w:rsid w:val="38F605A0"/>
    <w:rsid w:val="395104A1"/>
    <w:rsid w:val="397701BE"/>
    <w:rsid w:val="39B34CB8"/>
    <w:rsid w:val="39EB4452"/>
    <w:rsid w:val="3A0D261A"/>
    <w:rsid w:val="3A273079"/>
    <w:rsid w:val="3ACC5F8D"/>
    <w:rsid w:val="3ADE27A0"/>
    <w:rsid w:val="3B0752BB"/>
    <w:rsid w:val="3B5B69F6"/>
    <w:rsid w:val="3CE60193"/>
    <w:rsid w:val="3D1B32A0"/>
    <w:rsid w:val="3D4C3459"/>
    <w:rsid w:val="3ED361A5"/>
    <w:rsid w:val="3EEE05D4"/>
    <w:rsid w:val="3F376133"/>
    <w:rsid w:val="3F5D12BF"/>
    <w:rsid w:val="4052435B"/>
    <w:rsid w:val="410A5BC2"/>
    <w:rsid w:val="41366ED0"/>
    <w:rsid w:val="4286740D"/>
    <w:rsid w:val="42D10E7F"/>
    <w:rsid w:val="42F56341"/>
    <w:rsid w:val="43D85A47"/>
    <w:rsid w:val="4441183E"/>
    <w:rsid w:val="446F7A2D"/>
    <w:rsid w:val="44802891"/>
    <w:rsid w:val="4556135E"/>
    <w:rsid w:val="45693B4C"/>
    <w:rsid w:val="45883236"/>
    <w:rsid w:val="45DB537A"/>
    <w:rsid w:val="45EB3B06"/>
    <w:rsid w:val="46496788"/>
    <w:rsid w:val="466C2476"/>
    <w:rsid w:val="46BA3873"/>
    <w:rsid w:val="46FA4411"/>
    <w:rsid w:val="480C5CBF"/>
    <w:rsid w:val="492E435B"/>
    <w:rsid w:val="492F5696"/>
    <w:rsid w:val="4A4200BE"/>
    <w:rsid w:val="4A4433CE"/>
    <w:rsid w:val="4AB10DA0"/>
    <w:rsid w:val="4AB35768"/>
    <w:rsid w:val="4ABB388F"/>
    <w:rsid w:val="4AD14F9E"/>
    <w:rsid w:val="4BE62CCB"/>
    <w:rsid w:val="4C7F2195"/>
    <w:rsid w:val="4CF02261"/>
    <w:rsid w:val="4CF3744D"/>
    <w:rsid w:val="4DC5734A"/>
    <w:rsid w:val="4DF0398D"/>
    <w:rsid w:val="4E7A2EF9"/>
    <w:rsid w:val="4EA77BEE"/>
    <w:rsid w:val="4ED638A7"/>
    <w:rsid w:val="4EDA5348"/>
    <w:rsid w:val="4F7725B8"/>
    <w:rsid w:val="4F824AB9"/>
    <w:rsid w:val="4FAB79CF"/>
    <w:rsid w:val="508C4968"/>
    <w:rsid w:val="50B9275C"/>
    <w:rsid w:val="51823496"/>
    <w:rsid w:val="51976B19"/>
    <w:rsid w:val="51BF1FF4"/>
    <w:rsid w:val="52744CA6"/>
    <w:rsid w:val="52EA0FEF"/>
    <w:rsid w:val="534722A1"/>
    <w:rsid w:val="53723CD6"/>
    <w:rsid w:val="539B006B"/>
    <w:rsid w:val="53A279D6"/>
    <w:rsid w:val="53B611D5"/>
    <w:rsid w:val="53D855EF"/>
    <w:rsid w:val="5411570D"/>
    <w:rsid w:val="54263430"/>
    <w:rsid w:val="54BF230B"/>
    <w:rsid w:val="55FC09C4"/>
    <w:rsid w:val="56791B90"/>
    <w:rsid w:val="56E41282"/>
    <w:rsid w:val="57BC2879"/>
    <w:rsid w:val="580523DB"/>
    <w:rsid w:val="5866141B"/>
    <w:rsid w:val="58AB32D2"/>
    <w:rsid w:val="58BA59F2"/>
    <w:rsid w:val="5988716F"/>
    <w:rsid w:val="59EC5C5F"/>
    <w:rsid w:val="5A121DC2"/>
    <w:rsid w:val="5A1B57E1"/>
    <w:rsid w:val="5B070568"/>
    <w:rsid w:val="5B1D1B6B"/>
    <w:rsid w:val="5B4517BC"/>
    <w:rsid w:val="5BCB48E6"/>
    <w:rsid w:val="5BD2436E"/>
    <w:rsid w:val="5C4750C0"/>
    <w:rsid w:val="5CA22C3E"/>
    <w:rsid w:val="5CCB1334"/>
    <w:rsid w:val="5CD96603"/>
    <w:rsid w:val="5DEB0F45"/>
    <w:rsid w:val="5E116BDB"/>
    <w:rsid w:val="5EC0115A"/>
    <w:rsid w:val="5FBF1411"/>
    <w:rsid w:val="5FBF74F7"/>
    <w:rsid w:val="600542D7"/>
    <w:rsid w:val="601E082E"/>
    <w:rsid w:val="60433DF0"/>
    <w:rsid w:val="60585E42"/>
    <w:rsid w:val="605E4AAA"/>
    <w:rsid w:val="60A26D69"/>
    <w:rsid w:val="61250763"/>
    <w:rsid w:val="619A0388"/>
    <w:rsid w:val="61DA42C9"/>
    <w:rsid w:val="622562E9"/>
    <w:rsid w:val="622A0C4E"/>
    <w:rsid w:val="62424D8A"/>
    <w:rsid w:val="62D04BBB"/>
    <w:rsid w:val="62FE6288"/>
    <w:rsid w:val="632717A7"/>
    <w:rsid w:val="648F0FD0"/>
    <w:rsid w:val="64D0652F"/>
    <w:rsid w:val="654344B2"/>
    <w:rsid w:val="65436640"/>
    <w:rsid w:val="659C46CE"/>
    <w:rsid w:val="65A7544C"/>
    <w:rsid w:val="66122DE8"/>
    <w:rsid w:val="66512EC2"/>
    <w:rsid w:val="66C8679B"/>
    <w:rsid w:val="670A47F8"/>
    <w:rsid w:val="67401089"/>
    <w:rsid w:val="67A85856"/>
    <w:rsid w:val="67DF6AF4"/>
    <w:rsid w:val="68861BB7"/>
    <w:rsid w:val="6897117D"/>
    <w:rsid w:val="68C10ACC"/>
    <w:rsid w:val="691F78D0"/>
    <w:rsid w:val="69333123"/>
    <w:rsid w:val="6988472A"/>
    <w:rsid w:val="69C47495"/>
    <w:rsid w:val="6A2F7A10"/>
    <w:rsid w:val="6AAD6A36"/>
    <w:rsid w:val="6AD00976"/>
    <w:rsid w:val="6B7C465A"/>
    <w:rsid w:val="6C307E68"/>
    <w:rsid w:val="6C465394"/>
    <w:rsid w:val="6C845EBC"/>
    <w:rsid w:val="6DD0797D"/>
    <w:rsid w:val="6E34121C"/>
    <w:rsid w:val="6E6C09B6"/>
    <w:rsid w:val="7148570A"/>
    <w:rsid w:val="71747D49"/>
    <w:rsid w:val="720D4872"/>
    <w:rsid w:val="722A12B4"/>
    <w:rsid w:val="72933F95"/>
    <w:rsid w:val="72E01973"/>
    <w:rsid w:val="73131732"/>
    <w:rsid w:val="73840550"/>
    <w:rsid w:val="74017DF2"/>
    <w:rsid w:val="741713EA"/>
    <w:rsid w:val="74B5471E"/>
    <w:rsid w:val="74C57072"/>
    <w:rsid w:val="75661EAC"/>
    <w:rsid w:val="75DC32AC"/>
    <w:rsid w:val="75E63F5C"/>
    <w:rsid w:val="76D6141B"/>
    <w:rsid w:val="76E03371"/>
    <w:rsid w:val="778C3E77"/>
    <w:rsid w:val="77C67389"/>
    <w:rsid w:val="78580D70"/>
    <w:rsid w:val="787212BF"/>
    <w:rsid w:val="7923015C"/>
    <w:rsid w:val="79E96B8A"/>
    <w:rsid w:val="79FC3536"/>
    <w:rsid w:val="7AA474A4"/>
    <w:rsid w:val="7AB72C56"/>
    <w:rsid w:val="7B8C2CD6"/>
    <w:rsid w:val="7BF429B9"/>
    <w:rsid w:val="7CBA6985"/>
    <w:rsid w:val="7D256040"/>
    <w:rsid w:val="7E176B90"/>
    <w:rsid w:val="7EAA453C"/>
    <w:rsid w:val="7EF52AB7"/>
    <w:rsid w:val="7F6F6558"/>
    <w:rsid w:val="7FC56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rFonts w:ascii="Calibri" w:hAnsi="Calibri"/>
      <w:bCs/>
      <w:spacing w:val="10"/>
      <w:kern w:val="0"/>
      <w:sz w:val="24"/>
      <w:szCs w:val="20"/>
    </w:rPr>
  </w:style>
  <w:style w:type="paragraph" w:styleId="3">
    <w:name w:val="Body Text Indent"/>
    <w:basedOn w:val="1"/>
    <w:next w:val="1"/>
    <w:qFormat/>
    <w:uiPriority w:val="0"/>
    <w:pPr>
      <w:spacing w:line="200" w:lineRule="exact"/>
      <w:ind w:firstLine="301"/>
    </w:pPr>
    <w:rPr>
      <w:rFonts w:ascii="宋体" w:hAnsi="Courier New" w:eastAsia="宋体"/>
      <w:spacing w:val="-4"/>
      <w:kern w:val="2"/>
      <w:sz w:val="18"/>
      <w:lang w:val="en-US" w:eastAsia="zh-CN" w:bidi="ar-SA"/>
    </w:rPr>
  </w:style>
  <w:style w:type="paragraph" w:styleId="4">
    <w:name w:val="Body Text"/>
    <w:basedOn w:val="1"/>
    <w:next w:val="1"/>
    <w:unhideWhenUsed/>
    <w:qFormat/>
    <w:uiPriority w:val="0"/>
    <w:pPr>
      <w:spacing w:after="120"/>
    </w:pPr>
  </w:style>
  <w:style w:type="paragraph" w:styleId="5">
    <w:name w:val="annotation text"/>
    <w:basedOn w:val="1"/>
    <w:link w:val="23"/>
    <w:qFormat/>
    <w:uiPriority w:val="99"/>
    <w:pPr>
      <w:jc w:val="left"/>
    </w:pPr>
  </w:style>
  <w:style w:type="paragraph" w:styleId="6">
    <w:name w:val="Plain Text"/>
    <w:basedOn w:val="1"/>
    <w:next w:val="1"/>
    <w:link w:val="25"/>
    <w:qFormat/>
    <w:uiPriority w:val="0"/>
    <w:rPr>
      <w:rFonts w:ascii="宋体" w:hAnsi="Courier New"/>
    </w:rPr>
  </w:style>
  <w:style w:type="paragraph" w:styleId="7">
    <w:name w:val="Balloon Text"/>
    <w:basedOn w:val="1"/>
    <w:link w:val="34"/>
    <w:semiHidden/>
    <w:unhideWhenUsed/>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szCs w:val="20"/>
    </w:rPr>
  </w:style>
  <w:style w:type="paragraph" w:styleId="11">
    <w:name w:val="List 4"/>
    <w:basedOn w:val="1"/>
    <w:qFormat/>
    <w:uiPriority w:val="0"/>
    <w:pPr>
      <w:widowControl w:val="0"/>
      <w:ind w:left="100" w:leftChars="600" w:hanging="200" w:hangingChars="200"/>
      <w:jc w:val="both"/>
    </w:pPr>
    <w:rPr>
      <w:rFonts w:ascii="Times New Roman" w:hAnsi="Times New Roman"/>
      <w:kern w:val="2"/>
      <w:sz w:val="21"/>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5"/>
    <w:next w:val="5"/>
    <w:link w:val="24"/>
    <w:semiHidden/>
    <w:unhideWhenUsed/>
    <w:qFormat/>
    <w:uiPriority w:val="99"/>
    <w:rPr>
      <w:b/>
      <w:bCs/>
    </w:rPr>
  </w:style>
  <w:style w:type="paragraph" w:styleId="14">
    <w:name w:val="Body Text First Indent"/>
    <w:basedOn w:val="4"/>
    <w:unhideWhenUsed/>
    <w:qFormat/>
    <w:uiPriority w:val="99"/>
    <w:pPr>
      <w:ind w:firstLine="420" w:firstLineChars="1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semiHidden/>
    <w:qFormat/>
    <w:uiPriority w:val="99"/>
    <w:rPr>
      <w:sz w:val="21"/>
      <w:szCs w:val="21"/>
    </w:rPr>
  </w:style>
  <w:style w:type="paragraph" w:customStyle="1" w:styleId="20">
    <w:name w:val="Default"/>
    <w:next w:val="2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22">
    <w:name w:val="批注文字 字符"/>
    <w:basedOn w:val="17"/>
    <w:qFormat/>
    <w:uiPriority w:val="99"/>
    <w:rPr>
      <w:rFonts w:ascii="Times New Roman" w:hAnsi="Times New Roman" w:eastAsia="宋体" w:cs="Times New Roman"/>
      <w:szCs w:val="21"/>
    </w:rPr>
  </w:style>
  <w:style w:type="character" w:customStyle="1" w:styleId="23">
    <w:name w:val="批注文字 Char"/>
    <w:link w:val="5"/>
    <w:semiHidden/>
    <w:qFormat/>
    <w:uiPriority w:val="99"/>
    <w:rPr>
      <w:rFonts w:ascii="Times New Roman" w:hAnsi="Times New Roman" w:eastAsia="宋体" w:cs="Times New Roman"/>
      <w:szCs w:val="21"/>
    </w:rPr>
  </w:style>
  <w:style w:type="character" w:customStyle="1" w:styleId="24">
    <w:name w:val="批注主题 Char"/>
    <w:basedOn w:val="23"/>
    <w:link w:val="13"/>
    <w:semiHidden/>
    <w:qFormat/>
    <w:uiPriority w:val="99"/>
    <w:rPr>
      <w:rFonts w:ascii="Times New Roman" w:hAnsi="Times New Roman" w:eastAsia="宋体" w:cs="Times New Roman"/>
      <w:b/>
      <w:bCs/>
      <w:szCs w:val="21"/>
    </w:rPr>
  </w:style>
  <w:style w:type="character" w:customStyle="1" w:styleId="25">
    <w:name w:val="纯文本 Char"/>
    <w:basedOn w:val="17"/>
    <w:link w:val="6"/>
    <w:qFormat/>
    <w:uiPriority w:val="0"/>
    <w:rPr>
      <w:rFonts w:ascii="宋体" w:hAnsi="Courier New" w:eastAsia="宋体" w:cs="Times New Roman"/>
      <w:szCs w:val="21"/>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页眉 Char"/>
    <w:basedOn w:val="17"/>
    <w:link w:val="9"/>
    <w:qFormat/>
    <w:uiPriority w:val="99"/>
    <w:rPr>
      <w:rFonts w:ascii="Times New Roman" w:hAnsi="Times New Roman" w:eastAsia="宋体" w:cs="Times New Roman"/>
      <w:sz w:val="18"/>
      <w:szCs w:val="18"/>
    </w:rPr>
  </w:style>
  <w:style w:type="character" w:customStyle="1" w:styleId="28">
    <w:name w:val="页脚 Char"/>
    <w:basedOn w:val="17"/>
    <w:link w:val="8"/>
    <w:qFormat/>
    <w:uiPriority w:val="99"/>
    <w:rPr>
      <w:rFonts w:ascii="Times New Roman" w:hAnsi="Times New Roman" w:eastAsia="宋体" w:cs="Times New Roman"/>
      <w:sz w:val="18"/>
      <w:szCs w:val="18"/>
    </w:rPr>
  </w:style>
  <w:style w:type="character" w:styleId="29">
    <w:name w:val="Placeholder Text"/>
    <w:basedOn w:val="17"/>
    <w:semiHidden/>
    <w:qFormat/>
    <w:uiPriority w:val="99"/>
    <w:rPr>
      <w:color w:val="808080"/>
    </w:rPr>
  </w:style>
  <w:style w:type="paragraph" w:customStyle="1" w:styleId="30">
    <w:name w:val="样式1"/>
    <w:basedOn w:val="1"/>
    <w:qFormat/>
    <w:uiPriority w:val="0"/>
  </w:style>
  <w:style w:type="paragraph" w:customStyle="1" w:styleId="31">
    <w:name w:val="列出段落1"/>
    <w:basedOn w:val="1"/>
    <w:qFormat/>
    <w:uiPriority w:val="34"/>
    <w:pPr>
      <w:ind w:firstLine="420"/>
    </w:pPr>
  </w:style>
  <w:style w:type="paragraph" w:styleId="32">
    <w:name w:val="List Paragraph"/>
    <w:basedOn w:val="1"/>
    <w:qFormat/>
    <w:uiPriority w:val="99"/>
    <w:pPr>
      <w:ind w:firstLine="420" w:firstLineChars="200"/>
    </w:pPr>
    <w:rPr>
      <w:rFonts w:ascii="Calibri" w:hAnsi="Calibri" w:cs="宋体"/>
      <w:szCs w:val="22"/>
    </w:rPr>
  </w:style>
  <w:style w:type="character" w:customStyle="1" w:styleId="33">
    <w:name w:val="font01"/>
    <w:basedOn w:val="17"/>
    <w:qFormat/>
    <w:uiPriority w:val="0"/>
    <w:rPr>
      <w:rFonts w:hint="eastAsia" w:ascii="宋体" w:hAnsi="宋体" w:eastAsia="宋体" w:cs="宋体"/>
      <w:color w:val="000000"/>
      <w:sz w:val="24"/>
      <w:szCs w:val="24"/>
      <w:u w:val="none"/>
    </w:rPr>
  </w:style>
  <w:style w:type="character" w:customStyle="1" w:styleId="34">
    <w:name w:val="批注框文本 Char"/>
    <w:basedOn w:val="17"/>
    <w:link w:val="7"/>
    <w:semiHidden/>
    <w:qFormat/>
    <w:uiPriority w:val="99"/>
    <w:rPr>
      <w:kern w:val="2"/>
      <w:sz w:val="18"/>
      <w:szCs w:val="18"/>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fontstyle21"/>
    <w:basedOn w:val="17"/>
    <w:qFormat/>
    <w:uiPriority w:val="0"/>
    <w:rPr>
      <w:rFonts w:hint="eastAsia" w:ascii="宋体" w:hAnsi="宋体" w:eastAsia="宋体" w:cs="宋体"/>
      <w:color w:val="000000"/>
      <w:sz w:val="28"/>
      <w:szCs w:val="28"/>
    </w:rPr>
  </w:style>
  <w:style w:type="character" w:customStyle="1" w:styleId="37">
    <w:name w:val="apple-converted-space"/>
    <w:basedOn w:val="17"/>
    <w:qFormat/>
    <w:uiPriority w:val="0"/>
  </w:style>
  <w:style w:type="paragraph" w:customStyle="1" w:styleId="38">
    <w:name w:val="首行缩进"/>
    <w:basedOn w:val="1"/>
    <w:qFormat/>
    <w:uiPriority w:val="0"/>
    <w:pPr>
      <w:ind w:firstLine="200" w:firstLineChars="200"/>
    </w:pPr>
    <w:rPr>
      <w:lang w:val="zh-CN"/>
    </w:rPr>
  </w:style>
  <w:style w:type="paragraph" w:customStyle="1" w:styleId="39">
    <w:name w:val="&gt;须知 正文"/>
    <w:basedOn w:val="1"/>
    <w:next w:val="1"/>
    <w:autoRedefine/>
    <w:qFormat/>
    <w:uiPriority w:val="0"/>
    <w:pPr>
      <w:widowControl/>
      <w:spacing w:line="360" w:lineRule="auto"/>
      <w:ind w:firstLine="200" w:firstLineChars="200"/>
      <w:jc w:val="left"/>
    </w:pPr>
    <w:rPr>
      <w:rFonts w:hint="eastAsia" w:ascii="宋体" w:hAnsi="宋体"/>
      <w:szCs w:val="20"/>
    </w:rPr>
  </w:style>
  <w:style w:type="paragraph" w:customStyle="1" w:styleId="40">
    <w:name w:val="&gt;须知前附表首行"/>
    <w:basedOn w:val="1"/>
    <w:next w:val="1"/>
    <w:autoRedefine/>
    <w:qFormat/>
    <w:uiPriority w:val="0"/>
    <w:pPr>
      <w:widowControl/>
      <w:jc w:val="center"/>
    </w:pPr>
    <w:rPr>
      <w:rFonts w:hint="eastAsia" w:ascii="宋体" w:hAnsi="宋体"/>
      <w:b/>
    </w:rPr>
  </w:style>
  <w:style w:type="paragraph" w:customStyle="1" w:styleId="41">
    <w:name w:val="&gt;须知前附表内容"/>
    <w:basedOn w:val="1"/>
    <w:autoRedefine/>
    <w:qFormat/>
    <w:uiPriority w:val="0"/>
    <w:pPr>
      <w:spacing w:line="360" w:lineRule="auto"/>
      <w:jc w:val="left"/>
    </w:pPr>
    <w:rPr>
      <w:rFonts w:hint="eastAsia" w:ascii="宋体" w:hAnsi="宋体"/>
      <w:szCs w:val="21"/>
    </w:rPr>
  </w:style>
  <w:style w:type="paragraph" w:customStyle="1" w:styleId="42">
    <w:name w:val="正文1"/>
    <w:basedOn w:val="1"/>
    <w:autoRedefine/>
    <w:qFormat/>
    <w:uiPriority w:val="0"/>
    <w:pPr>
      <w:widowControl/>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C4BC939">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0285A"/>
    <w:rsid w:val="00013D5D"/>
    <w:rsid w:val="0004141A"/>
    <w:rsid w:val="00102898"/>
    <w:rsid w:val="001B2DBA"/>
    <w:rsid w:val="0048475D"/>
    <w:rsid w:val="006F68E2"/>
    <w:rsid w:val="00701D3A"/>
    <w:rsid w:val="007311C2"/>
    <w:rsid w:val="00750563"/>
    <w:rsid w:val="0080285A"/>
    <w:rsid w:val="00A36354"/>
    <w:rsid w:val="00A662F6"/>
    <w:rsid w:val="00A87B35"/>
    <w:rsid w:val="00AD2810"/>
    <w:rsid w:val="00B71BFC"/>
    <w:rsid w:val="00D661F9"/>
    <w:rsid w:val="00F2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D96B62644A14108B5165B0B3700337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3331</Words>
  <Characters>3454</Characters>
  <Lines>46</Lines>
  <Paragraphs>13</Paragraphs>
  <TotalTime>3</TotalTime>
  <ScaleCrop>false</ScaleCrop>
  <LinksUpToDate>false</LinksUpToDate>
  <CharactersWithSpaces>3473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2024-11-04T02:52:24Z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B326AB1E550D42F1A95BF9618641C4CD_13</vt:lpwstr>
  </property>
</Properties>
</file>