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79" w:firstLineChars="199"/>
        <w:rPr>
          <w:rFonts w:hint="eastAsia"/>
          <w:color w:val="auto"/>
          <w:sz w:val="24"/>
          <w:szCs w:val="24"/>
          <w:lang w:eastAsia="zh-CN"/>
        </w:rPr>
      </w:pPr>
      <w:r>
        <w:rPr>
          <w:rFonts w:hint="eastAsia"/>
          <w:b/>
          <w:bCs/>
          <w:color w:val="auto"/>
          <w:sz w:val="24"/>
          <w:szCs w:val="24"/>
        </w:rPr>
        <w:t>★ 部分为核心参数</w:t>
      </w:r>
      <w:r>
        <w:rPr>
          <w:rFonts w:hint="eastAsia"/>
          <w:color w:val="auto"/>
          <w:sz w:val="24"/>
          <w:szCs w:val="24"/>
          <w:lang w:eastAsia="zh-CN"/>
        </w:rPr>
        <w:t>：</w:t>
      </w:r>
      <w:r>
        <w:rPr>
          <w:rFonts w:hint="eastAsia"/>
          <w:color w:val="auto"/>
          <w:sz w:val="24"/>
          <w:szCs w:val="24"/>
        </w:rPr>
        <w:t>不满足视为无效投标</w:t>
      </w:r>
      <w:r>
        <w:rPr>
          <w:rFonts w:hint="eastAsia"/>
          <w:color w:val="auto"/>
          <w:sz w:val="24"/>
          <w:szCs w:val="24"/>
          <w:lang w:eastAsia="zh-CN"/>
        </w:rPr>
        <w:t>；</w:t>
      </w:r>
    </w:p>
    <w:p>
      <w:pPr>
        <w:pStyle w:val="2"/>
        <w:ind w:firstLine="560" w:firstLineChars="200"/>
        <w:rPr>
          <w:rFonts w:hint="eastAsia"/>
          <w:color w:val="auto"/>
          <w:sz w:val="24"/>
          <w:szCs w:val="24"/>
          <w:lang w:val="en-US" w:eastAsia="zh-CN"/>
        </w:rPr>
      </w:pPr>
      <w:r>
        <w:rPr>
          <w:rFonts w:hint="eastAsia" w:ascii="宋体" w:hAnsi="宋体" w:eastAsia="宋体" w:cs="宋体"/>
          <w:color w:val="000000" w:themeColor="text1"/>
          <w:sz w:val="28"/>
          <w:szCs w:val="28"/>
          <w14:textFill>
            <w14:solidFill>
              <w14:schemeClr w14:val="tx1"/>
            </w14:solidFill>
          </w14:textFill>
        </w:rPr>
        <w:t>▲</w:t>
      </w:r>
      <w:r>
        <w:rPr>
          <w:rFonts w:hint="eastAsia"/>
          <w:b/>
          <w:bCs/>
          <w:color w:val="auto"/>
          <w:sz w:val="24"/>
          <w:szCs w:val="24"/>
          <w:lang w:val="en-US" w:eastAsia="zh-CN"/>
        </w:rPr>
        <w:t>部分为重要指标</w:t>
      </w:r>
      <w:r>
        <w:rPr>
          <w:rFonts w:hint="eastAsia"/>
          <w:color w:val="auto"/>
          <w:sz w:val="24"/>
          <w:szCs w:val="24"/>
          <w:lang w:val="en-US" w:eastAsia="zh-CN"/>
        </w:rPr>
        <w:t>：满足或优于（正偏离）该条件则评审时成倍加分，不满足（负偏离）则成倍扣分；</w:t>
      </w:r>
    </w:p>
    <w:p>
      <w:pPr>
        <w:pStyle w:val="2"/>
        <w:ind w:left="-78" w:leftChars="-37" w:firstLine="482" w:firstLineChars="200"/>
        <w:rPr>
          <w:rFonts w:hint="eastAsia"/>
          <w:color w:val="auto"/>
          <w:sz w:val="24"/>
          <w:szCs w:val="24"/>
          <w:lang w:val="en-US" w:eastAsia="zh-CN"/>
        </w:rPr>
      </w:pPr>
      <w:r>
        <w:rPr>
          <w:rFonts w:hint="eastAsia"/>
          <w:b/>
          <w:bCs/>
          <w:color w:val="auto"/>
          <w:sz w:val="24"/>
          <w:szCs w:val="24"/>
          <w:lang w:val="en-US" w:eastAsia="zh-CN"/>
        </w:rPr>
        <w:t>其他为一般指标要求</w:t>
      </w:r>
      <w:r>
        <w:rPr>
          <w:rFonts w:hint="eastAsia"/>
          <w:color w:val="auto"/>
          <w:sz w:val="24"/>
          <w:szCs w:val="24"/>
          <w:lang w:val="en-US" w:eastAsia="zh-CN"/>
        </w:rPr>
        <w:t>：优于该条件的为正偏离，评审时加分，不满足的为负偏离，评审时予以扣分。</w:t>
      </w:r>
    </w:p>
    <w:p>
      <w:pPr>
        <w:pStyle w:val="2"/>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一、项目概况 </w:t>
      </w:r>
      <w:bookmarkStart w:id="4" w:name="_GoBack"/>
      <w:bookmarkEnd w:id="4"/>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为了提高本院医疗、科研水平，实现高质量发展，科研强院，医院拟建设“</w:t>
      </w:r>
      <w:r>
        <w:rPr>
          <w:rFonts w:hint="eastAsia" w:ascii="宋体" w:hAnsi="宋体" w:cs="宋体"/>
          <w:color w:val="0000FF"/>
          <w:sz w:val="28"/>
          <w:szCs w:val="28"/>
          <w:lang w:eastAsia="zh-CN"/>
        </w:rPr>
        <w:t>药物基因检测服务项目</w:t>
      </w:r>
      <w:r>
        <w:rPr>
          <w:rFonts w:hint="eastAsia" w:ascii="宋体" w:hAnsi="宋体" w:eastAsia="宋体" w:cs="宋体"/>
          <w:color w:val="000000" w:themeColor="text1"/>
          <w:sz w:val="28"/>
          <w:szCs w:val="28"/>
          <w14:textFill>
            <w14:solidFill>
              <w14:schemeClr w14:val="tx1"/>
            </w14:solidFill>
          </w14:textFill>
        </w:rPr>
        <w:t>”，引入有实力的技术方，提供临床精准用药研究中心技术服务，包括：实验室设计规划及建设、设备投入、运行和维护、实验室质量体系建设、专业技术导入、人才协助培养、科研学术合作等服务。</w:t>
      </w:r>
    </w:p>
    <w:p>
      <w:pPr>
        <w:pStyle w:val="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二、服务内容 </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中标方提供“</w:t>
      </w:r>
      <w:r>
        <w:rPr>
          <w:rFonts w:hint="eastAsia" w:ascii="宋体" w:hAnsi="宋体" w:cs="宋体"/>
          <w:color w:val="0000FF"/>
          <w:sz w:val="28"/>
          <w:szCs w:val="28"/>
          <w:lang w:eastAsia="zh-CN"/>
        </w:rPr>
        <w:t>药物基因检测服务项目</w:t>
      </w:r>
      <w:r>
        <w:rPr>
          <w:rFonts w:hint="eastAsia" w:ascii="宋体" w:hAnsi="宋体" w:eastAsia="宋体" w:cs="宋体"/>
          <w:color w:val="000000" w:themeColor="text1"/>
          <w:sz w:val="28"/>
          <w:szCs w:val="28"/>
          <w14:textFill>
            <w14:solidFill>
              <w14:schemeClr w14:val="tx1"/>
            </w14:solidFill>
          </w14:textFill>
        </w:rPr>
        <w:t>”的场地规划设计、技术平台搭建、技术平台管理、专业技术导入、科研学术合作等服务。具体内容如下：</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1、场地规划与设计 </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由采购人负责提供符合“</w:t>
      </w:r>
      <w:r>
        <w:rPr>
          <w:rFonts w:hint="eastAsia" w:ascii="宋体" w:hAnsi="宋体" w:cs="宋体"/>
          <w:color w:val="0000FF"/>
          <w:sz w:val="28"/>
          <w:szCs w:val="28"/>
          <w:lang w:eastAsia="zh-CN"/>
        </w:rPr>
        <w:t>药物基因检测服务项目</w:t>
      </w:r>
      <w:r>
        <w:rPr>
          <w:rFonts w:hint="eastAsia" w:ascii="宋体" w:hAnsi="宋体" w:eastAsia="宋体" w:cs="宋体"/>
          <w:color w:val="000000" w:themeColor="text1"/>
          <w:sz w:val="28"/>
          <w:szCs w:val="28"/>
          <w14:textFill>
            <w14:solidFill>
              <w14:schemeClr w14:val="tx1"/>
            </w14:solidFill>
          </w14:textFill>
        </w:rPr>
        <w:t>”使用要求的场地和建筑图纸，并由采购人根据当地政策法规要求负责场地消防、环境评估备案工作。</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 中标方根据采购人提供的场地建筑图纸</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，在符合“</w:t>
      </w:r>
      <w:r>
        <w:rPr>
          <w:rFonts w:hint="eastAsia" w:ascii="宋体" w:hAnsi="宋体" w:cs="宋体"/>
          <w:color w:val="000000" w:themeColor="text1"/>
          <w:sz w:val="28"/>
          <w:szCs w:val="28"/>
          <w:lang w:eastAsia="zh-CN"/>
          <w14:textFill>
            <w14:solidFill>
              <w14:schemeClr w14:val="tx1"/>
            </w14:solidFill>
          </w14:textFill>
        </w:rPr>
        <w:t>药物基因检测服务项目</w:t>
      </w:r>
      <w:r>
        <w:rPr>
          <w:rFonts w:hint="eastAsia" w:ascii="宋体" w:hAnsi="宋体" w:eastAsia="宋体" w:cs="宋体"/>
          <w:color w:val="000000" w:themeColor="text1"/>
          <w:sz w:val="28"/>
          <w:szCs w:val="28"/>
          <w14:textFill>
            <w14:solidFill>
              <w14:schemeClr w14:val="tx1"/>
            </w14:solidFill>
          </w14:textFill>
        </w:rPr>
        <w:t>”场地改造及满足生物安全需求的条件下，提供场地规划与设计及装修服务</w:t>
      </w:r>
      <w:r>
        <w:rPr>
          <w:rFonts w:hint="eastAsia" w:ascii="宋体" w:hAnsi="宋体" w:cs="宋体"/>
          <w:color w:val="000000" w:themeColor="text1"/>
          <w:sz w:val="28"/>
          <w:szCs w:val="28"/>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2、设备投入与运行 </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280" w:firstLineChars="1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 由中标方提供</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FF"/>
          <w:sz w:val="28"/>
          <w:szCs w:val="28"/>
          <w:lang w:eastAsia="zh-CN"/>
        </w:rPr>
        <w:t>药物基因检测服务项目</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项目开展所需的设备（主要设备及技术要求详见</w:t>
      </w:r>
      <w:r>
        <w:rPr>
          <w:rFonts w:hint="eastAsia" w:ascii="宋体" w:hAnsi="宋体" w:eastAsia="宋体" w:cs="宋体"/>
          <w:color w:val="000000" w:themeColor="text1"/>
          <w:sz w:val="28"/>
          <w:szCs w:val="28"/>
          <w:lang w:eastAsia="zh-CN"/>
          <w14:textFill>
            <w14:solidFill>
              <w14:schemeClr w14:val="tx1"/>
            </w14:solidFill>
          </w14:textFill>
        </w:rPr>
        <w:t>下</w:t>
      </w:r>
      <w:r>
        <w:rPr>
          <w:rFonts w:hint="eastAsia" w:ascii="宋体" w:hAnsi="宋体" w:eastAsia="宋体" w:cs="宋体"/>
          <w:color w:val="000000" w:themeColor="text1"/>
          <w:sz w:val="28"/>
          <w:szCs w:val="28"/>
          <w14:textFill>
            <w14:solidFill>
              <w14:schemeClr w14:val="tx1"/>
            </w14:solidFill>
          </w14:textFill>
        </w:rPr>
        <w:t>附件 1 和附件 2），并在采购人规范管理下负责这些设备的维修保养、检定、校准等工作，保证日常工作正常开展，中标方所提供设备与医院现有系统软件对接由采购人协调，费用由中标方负责，提供设备安装调试方案和设备维护保养方案。</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280" w:firstLineChars="1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 中标方应协助采购人拟订设备管理操作手册，并对设备操作人员培训上岗，以保证设备的使用、维护保养与校准等管理符合全面质量管理体系的要求。</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280" w:firstLineChars="1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 中标方负责“</w:t>
      </w:r>
      <w:r>
        <w:rPr>
          <w:rFonts w:hint="eastAsia" w:ascii="宋体" w:hAnsi="宋体" w:cs="宋体"/>
          <w:color w:val="0000FF"/>
          <w:sz w:val="28"/>
          <w:szCs w:val="28"/>
          <w:lang w:eastAsia="zh-CN"/>
        </w:rPr>
        <w:t>药物基因检测服务项目</w:t>
      </w:r>
      <w:r>
        <w:rPr>
          <w:rFonts w:hint="eastAsia" w:ascii="宋体" w:hAnsi="宋体" w:eastAsia="宋体" w:cs="宋体"/>
          <w:color w:val="000000" w:themeColor="text1"/>
          <w:sz w:val="28"/>
          <w:szCs w:val="28"/>
          <w14:textFill>
            <w14:solidFill>
              <w14:schemeClr w14:val="tx1"/>
            </w14:solidFill>
          </w14:textFill>
        </w:rPr>
        <w:t>”开展项目所需耗材等的管理和采购。中标方应确保技术平台相关试剂符合质量管理要求，满足仪器设备开展检测项目的要求。</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3、人才支持 </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 中标方提供不少于1名常驻“</w:t>
      </w:r>
      <w:r>
        <w:rPr>
          <w:rFonts w:hint="eastAsia" w:ascii="宋体" w:hAnsi="宋体" w:cs="宋体"/>
          <w:color w:val="0000FF"/>
          <w:sz w:val="28"/>
          <w:szCs w:val="28"/>
          <w:highlight w:val="none"/>
          <w:lang w:eastAsia="zh-CN"/>
        </w:rPr>
        <w:t>药物基因检测服务项目</w:t>
      </w:r>
      <w:r>
        <w:rPr>
          <w:rFonts w:hint="eastAsia" w:ascii="宋体" w:hAnsi="宋体" w:eastAsia="宋体" w:cs="宋体"/>
          <w:color w:val="000000" w:themeColor="text1"/>
          <w:sz w:val="28"/>
          <w:szCs w:val="28"/>
          <w:highlight w:val="none"/>
          <w14:textFill>
            <w14:solidFill>
              <w14:schemeClr w14:val="tx1"/>
            </w14:solidFill>
          </w14:textFill>
        </w:rPr>
        <w:t>”科研助理，不少于 1 名能熟练进行实验操作的常驻技术人员（技术员需要 PCR 上岗证），平台项目自检时技术人员到位。上述人员的人力成本由中标方承担。</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 中标方须负责对医院技术人员进行培训，协助医院完成“</w:t>
      </w:r>
      <w:r>
        <w:rPr>
          <w:rFonts w:hint="eastAsia" w:ascii="宋体" w:hAnsi="宋体" w:cs="宋体"/>
          <w:color w:val="0000FF"/>
          <w:sz w:val="28"/>
          <w:szCs w:val="28"/>
          <w:highlight w:val="none"/>
          <w:lang w:eastAsia="zh-CN"/>
        </w:rPr>
        <w:t>药物基因检测服务项目</w:t>
      </w:r>
      <w:r>
        <w:rPr>
          <w:rFonts w:hint="eastAsia" w:ascii="宋体" w:hAnsi="宋体" w:eastAsia="宋体" w:cs="宋体"/>
          <w:color w:val="000000" w:themeColor="text1"/>
          <w:sz w:val="28"/>
          <w:szCs w:val="28"/>
          <w14:textFill>
            <w14:solidFill>
              <w14:schemeClr w14:val="tx1"/>
            </w14:solidFill>
          </w14:textFill>
        </w:rPr>
        <w:t>”的培训体系建设；协助医院相关平台技术人员获得上岗证书。</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4、资质与质量体系 </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 中标方应协助医院完善</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FF"/>
          <w:sz w:val="28"/>
          <w:szCs w:val="28"/>
          <w:highlight w:val="none"/>
          <w:lang w:eastAsia="zh-CN"/>
        </w:rPr>
        <w:t>药物基因检测服务项目</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平台等技术支持，包括：性能验证、资料整理等相关支持。提供项目开展的规范化 SOP 操作流程，确保检测质量。中标方负责对“</w:t>
      </w:r>
      <w:r>
        <w:rPr>
          <w:rFonts w:hint="eastAsia" w:ascii="宋体" w:hAnsi="宋体" w:cs="宋体"/>
          <w:color w:val="0000FF"/>
          <w:sz w:val="28"/>
          <w:szCs w:val="28"/>
          <w:highlight w:val="none"/>
          <w:lang w:eastAsia="zh-CN"/>
        </w:rPr>
        <w:t>药物基因检测服务项目</w:t>
      </w:r>
      <w:r>
        <w:rPr>
          <w:rFonts w:hint="eastAsia" w:ascii="宋体" w:hAnsi="宋体" w:eastAsia="宋体" w:cs="宋体"/>
          <w:color w:val="000000" w:themeColor="text1"/>
          <w:sz w:val="28"/>
          <w:szCs w:val="28"/>
          <w14:textFill>
            <w14:solidFill>
              <w14:schemeClr w14:val="tx1"/>
            </w14:solidFill>
          </w14:textFill>
        </w:rPr>
        <w:t>”进行全面质量管理监控体系，使用统一的质控品，定期进行内部评审。</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5、科研合作及学科支持 </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5.1学科建设：围绕提升精准用药、慢病精准管理、遗传病诊断、肿瘤伴随诊断、感染精准防控等临床精准药学院内服务能力，中标方需重点协助打造采购方学术品牌影响力。</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5.2 中标方需具备强大的科研团队，根据采购方临床科研需求及前期研究基础，结合中标方自身科研团队以及前沿技术平台，提供详细的科研合作方案，协助医院制定科研项目方案，跟踪科研目标进展，持续成果产出，推动学科高质量发展。</w:t>
      </w:r>
    </w:p>
    <w:p>
      <w:pPr>
        <w:pStyle w:val="2"/>
        <w:rPr>
          <w:rFonts w:hint="default"/>
          <w:color w:val="000000" w:themeColor="text1"/>
          <w:sz w:val="21"/>
          <w:szCs w:val="21"/>
          <w:lang w:val="en-US" w:eastAsia="zh-CN"/>
          <w14:textFill>
            <w14:solidFill>
              <w14:schemeClr w14:val="tx1"/>
            </w14:solidFill>
          </w14:textFill>
        </w:rPr>
      </w:pPr>
    </w:p>
    <w:p>
      <w:pPr>
        <w:pStyle w:val="2"/>
        <w:numPr>
          <w:ilvl w:val="0"/>
          <w:numId w:val="0"/>
        </w:numPr>
        <w:rPr>
          <w:rFonts w:hint="eastAsia" w:cs="宋体"/>
          <w:b/>
          <w:bCs/>
          <w:color w:val="000000" w:themeColor="text1"/>
          <w:sz w:val="32"/>
          <w:szCs w:val="32"/>
          <w14:textFill>
            <w14:solidFill>
              <w14:schemeClr w14:val="tx1"/>
            </w14:solidFill>
          </w14:textFill>
        </w:rPr>
      </w:pPr>
      <w:r>
        <w:rPr>
          <w:rFonts w:hint="eastAsia" w:cs="宋体"/>
          <w:b/>
          <w:bCs/>
          <w:color w:val="000000" w:themeColor="text1"/>
          <w:sz w:val="32"/>
          <w:szCs w:val="32"/>
          <w:lang w:eastAsia="zh-CN"/>
          <w14:textFill>
            <w14:solidFill>
              <w14:schemeClr w14:val="tx1"/>
            </w14:solidFill>
          </w14:textFill>
        </w:rPr>
        <w:t>三、</w:t>
      </w:r>
      <w:r>
        <w:rPr>
          <w:rFonts w:hint="eastAsia" w:cs="宋体"/>
          <w:b/>
          <w:bCs/>
          <w:color w:val="000000" w:themeColor="text1"/>
          <w:sz w:val="32"/>
          <w:szCs w:val="32"/>
          <w14:textFill>
            <w14:solidFill>
              <w14:schemeClr w14:val="tx1"/>
            </w14:solidFill>
          </w14:textFill>
        </w:rPr>
        <w:t>采购清单、技术规格参数、质量标准和要求</w:t>
      </w:r>
    </w:p>
    <w:p>
      <w:pPr>
        <w:pStyle w:val="2"/>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（一）采购清单</w:t>
      </w:r>
    </w:p>
    <w:p>
      <w:pPr>
        <w:pStyle w:val="2"/>
        <w:ind w:left="-708" w:leftChars="-337" w:firstLine="361" w:firstLineChars="200"/>
        <w:rPr>
          <w:rFonts w:hint="eastAsia"/>
          <w:b/>
          <w:bCs/>
          <w:color w:val="000000" w:themeColor="text1"/>
          <w:sz w:val="18"/>
          <w:szCs w:val="18"/>
          <w:lang w:val="en-US" w:eastAsia="zh-CN"/>
          <w14:textFill>
            <w14:solidFill>
              <w14:schemeClr w14:val="tx1"/>
            </w14:solidFill>
          </w14:textFill>
        </w:rPr>
      </w:pPr>
    </w:p>
    <w:p>
      <w:pPr>
        <w:pStyle w:val="2"/>
        <w:ind w:left="-708" w:leftChars="-337" w:firstLine="723" w:firstLineChars="300"/>
        <w:rPr>
          <w:rFonts w:hint="eastAsia"/>
          <w:b/>
          <w:bCs/>
          <w:color w:val="000000" w:themeColor="text1"/>
          <w14:textFill>
            <w14:solidFill>
              <w14:schemeClr w14:val="tx1"/>
            </w14:solidFill>
          </w14:textFill>
        </w:rPr>
      </w:pPr>
      <w:r>
        <w:rPr>
          <w:rFonts w:hint="eastAsia" w:cs="宋体"/>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附件 1：须投入的仪器设备清单与主要设备技术要求</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包括但不限于以下清单）</w:t>
      </w:r>
    </w:p>
    <w:p>
      <w:pPr>
        <w:pStyle w:val="2"/>
        <w:ind w:left="-708" w:leftChars="-337" w:firstLine="723" w:firstLineChars="300"/>
        <w:rPr>
          <w:rFonts w:hint="eastAsia"/>
          <w:b/>
          <w:bCs/>
          <w:color w:val="000000" w:themeColor="text1"/>
          <w:lang w:val="en-US" w:eastAsia="zh-CN"/>
          <w14:textFill>
            <w14:solidFill>
              <w14:schemeClr w14:val="tx1"/>
            </w14:solidFill>
          </w14:textFill>
        </w:rPr>
      </w:pPr>
    </w:p>
    <w:tbl>
      <w:tblPr>
        <w:tblStyle w:val="8"/>
        <w:tblpPr w:leftFromText="180" w:rightFromText="180" w:vertAnchor="text" w:horzAnchor="page" w:tblpX="1887" w:tblpY="439"/>
        <w:tblOverlap w:val="never"/>
        <w:tblW w:w="5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9"/>
        <w:gridCol w:w="3217"/>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序号</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物资</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低速离心机</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-20度低温冰箱</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3</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微量移液器100-1000 uL</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4</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微量移液器100-200uL</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5</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微量移液器1-10uL</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6</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微量移液器0.5-2.5uL</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7</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移液器架</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8</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掌上离心机</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9</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漩涡混匀器</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10</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200ul管试管架</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11</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1.5mlEP管试管架</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12</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工作台（按实际情况定制）</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4张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13</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工作椅</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14</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微测序仪</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15</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电脑</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16</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打印机</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17</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插线板（有三孔的）</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18</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垃圾篓</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19</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2μL 白枪头</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20</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200μL黄枪头</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21</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1000μL蓝枪头</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22</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1.5ml离心管</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1包</w:t>
            </w:r>
          </w:p>
        </w:tc>
      </w:tr>
    </w:tbl>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widowControl/>
        <w:numPr>
          <w:ilvl w:val="0"/>
          <w:numId w:val="0"/>
        </w:numPr>
        <w:spacing w:line="360" w:lineRule="auto"/>
        <w:jc w:val="both"/>
        <w:rPr>
          <w:rFonts w:hint="eastAsia" w:ascii="Times New Roman" w:hAnsi="Times New Roman" w:eastAsia="宋体" w:cs="宋体"/>
          <w:b/>
          <w:bCs/>
          <w:color w:val="000000" w:themeColor="text1"/>
          <w:kern w:val="0"/>
          <w:sz w:val="24"/>
          <w:szCs w:val="24"/>
          <w:lang w:val="en-US" w:eastAsia="zh-CN" w:bidi="ar-SA"/>
          <w14:textFill>
            <w14:solidFill>
              <w14:schemeClr w14:val="tx1"/>
            </w14:solidFill>
          </w14:textFill>
        </w:rPr>
      </w:pPr>
    </w:p>
    <w:p>
      <w:pPr>
        <w:widowControl/>
        <w:numPr>
          <w:ilvl w:val="0"/>
          <w:numId w:val="0"/>
        </w:numPr>
        <w:spacing w:line="360" w:lineRule="auto"/>
        <w:jc w:val="both"/>
        <w:rPr>
          <w:rFonts w:hint="eastAsia" w:ascii="Times New Roman" w:hAnsi="Times New Roman" w:eastAsia="宋体" w:cs="宋体"/>
          <w:b/>
          <w:bCs/>
          <w:color w:val="000000" w:themeColor="text1"/>
          <w:kern w:val="0"/>
          <w:sz w:val="24"/>
          <w:szCs w:val="24"/>
          <w:lang w:val="en-US" w:eastAsia="zh-CN" w:bidi="ar-SA"/>
          <w14:textFill>
            <w14:solidFill>
              <w14:schemeClr w14:val="tx1"/>
            </w14:solidFill>
          </w14:textFill>
        </w:rPr>
      </w:pPr>
    </w:p>
    <w:p>
      <w:pPr>
        <w:widowControl/>
        <w:numPr>
          <w:ilvl w:val="0"/>
          <w:numId w:val="0"/>
        </w:numPr>
        <w:spacing w:line="360" w:lineRule="auto"/>
        <w:jc w:val="both"/>
        <w:rPr>
          <w:rFonts w:hint="default" w:ascii="Times New Roman" w:hAnsi="Times New Roman" w:eastAsia="宋体" w:cs="宋体"/>
          <w:b/>
          <w:bCs/>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宋体"/>
          <w:b/>
          <w:bCs/>
          <w:color w:val="000000" w:themeColor="text1"/>
          <w:kern w:val="0"/>
          <w:sz w:val="24"/>
          <w:szCs w:val="24"/>
          <w:lang w:val="en-US" w:eastAsia="zh-CN" w:bidi="ar-SA"/>
          <w14:textFill>
            <w14:solidFill>
              <w14:schemeClr w14:val="tx1"/>
            </w14:solidFill>
          </w14:textFill>
        </w:rPr>
        <w:t>（二）技术规格参数</w:t>
      </w:r>
    </w:p>
    <w:p>
      <w:pPr>
        <w:spacing w:line="360" w:lineRule="auto"/>
        <w:ind w:firstLine="560" w:firstLineChars="200"/>
        <w:jc w:val="left"/>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药物基因检测整体解决方案参数:</w:t>
      </w:r>
    </w:p>
    <w:p>
      <w:pPr>
        <w:autoSpaceDE w:val="0"/>
        <w:autoSpaceDN w:val="0"/>
        <w:adjustRightInd w:val="0"/>
        <w:spacing w:before="156" w:beforeLines="50" w:line="380" w:lineRule="exact"/>
        <w:jc w:val="left"/>
        <w:rPr>
          <w:rFonts w:hint="eastAsia" w:ascii="宋体" w:hAnsi="宋体" w:eastAsia="宋体" w:cs="宋体"/>
          <w:b/>
          <w:bCs w:val="0"/>
          <w:color w:val="000000" w:themeColor="text1"/>
          <w:kern w:val="0"/>
          <w:sz w:val="28"/>
          <w:szCs w:val="28"/>
          <w14:textFill>
            <w14:solidFill>
              <w14:schemeClr w14:val="tx1"/>
            </w14:solidFill>
          </w14:textFill>
        </w:rPr>
      </w:pPr>
      <w:r>
        <w:rPr>
          <w:rFonts w:hint="eastAsia" w:ascii="宋体" w:hAnsi="宋体" w:eastAsia="宋体" w:cs="宋体"/>
          <w:b/>
          <w:bCs w:val="0"/>
          <w:color w:val="000000" w:themeColor="text1"/>
          <w:kern w:val="0"/>
          <w:sz w:val="28"/>
          <w:szCs w:val="28"/>
          <w14:textFill>
            <w14:solidFill>
              <w14:schemeClr w14:val="tx1"/>
            </w14:solidFill>
          </w14:textFill>
        </w:rPr>
        <w:t>设备部分</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1、检测通量：48</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2、适用耗材：0.2 ML透明无裙边48孔板、八联管、单管等；端口开放,兼容多家生产厂家的药物基因检测试剂</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3、检测通道：大于或等于4</w:t>
      </w:r>
    </w:p>
    <w:p>
      <w:pPr>
        <w:autoSpaceDE w:val="0"/>
        <w:autoSpaceDN w:val="0"/>
        <w:adjustRightInd w:val="0"/>
        <w:spacing w:before="156" w:beforeLines="50" w:line="380" w:lineRule="exact"/>
        <w:ind w:firstLine="280" w:firstLineChars="1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★4、适用引物、探针</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通道1：FAM，SYBR Green I等</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通道2：VIC，HEX，TET，JOE等</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通道3：ROX，Texas Red等</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通道4：Cy5等</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5、重复性误差：Ct值CV% ≤ 0.5%</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6、样本线性：/r/≥0.999</w:t>
      </w:r>
    </w:p>
    <w:p>
      <w:pPr>
        <w:autoSpaceDE w:val="0"/>
        <w:autoSpaceDN w:val="0"/>
        <w:adjustRightInd w:val="0"/>
        <w:spacing w:before="156" w:beforeLines="50" w:line="380" w:lineRule="exact"/>
        <w:jc w:val="left"/>
        <w:rPr>
          <w:rFonts w:hint="eastAsia" w:ascii="宋体" w:hAnsi="宋体" w:eastAsia="宋体" w:cs="宋体"/>
          <w:b/>
          <w:bCs w:val="0"/>
          <w:color w:val="000000" w:themeColor="text1"/>
          <w:kern w:val="0"/>
          <w:sz w:val="28"/>
          <w:szCs w:val="28"/>
          <w14:textFill>
            <w14:solidFill>
              <w14:schemeClr w14:val="tx1"/>
            </w14:solidFill>
          </w14:textFill>
        </w:rPr>
      </w:pPr>
      <w:r>
        <w:rPr>
          <w:rFonts w:hint="eastAsia" w:ascii="宋体" w:hAnsi="宋体" w:eastAsia="宋体" w:cs="宋体"/>
          <w:b/>
          <w:bCs w:val="0"/>
          <w:color w:val="000000" w:themeColor="text1"/>
          <w:kern w:val="0"/>
          <w:sz w:val="28"/>
          <w:szCs w:val="28"/>
          <w14:textFill>
            <w14:solidFill>
              <w14:schemeClr w14:val="tx1"/>
            </w14:solidFill>
          </w14:textFill>
        </w:rPr>
        <w:t xml:space="preserve"> 软件部分</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1</w:t>
      </w:r>
      <w:r>
        <w:rPr>
          <w:rFonts w:hint="eastAsia" w:ascii="宋体" w:hAnsi="宋体" w:eastAsia="宋体" w:cs="宋体"/>
          <w:b w:val="0"/>
          <w:bCs/>
          <w:color w:val="000000" w:themeColor="text1"/>
          <w:kern w:val="0"/>
          <w:sz w:val="28"/>
          <w:szCs w:val="28"/>
          <w14:textFill>
            <w14:solidFill>
              <w14:schemeClr w14:val="tx1"/>
            </w14:solidFill>
          </w14:textFill>
        </w:rPr>
        <w:t>、能提供自动化分析报告平台.</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2</w:t>
      </w:r>
      <w:r>
        <w:rPr>
          <w:rFonts w:hint="eastAsia" w:ascii="宋体" w:hAnsi="宋体" w:eastAsia="宋体" w:cs="宋体"/>
          <w:b w:val="0"/>
          <w:bCs/>
          <w:color w:val="000000" w:themeColor="text1"/>
          <w:kern w:val="0"/>
          <w:sz w:val="28"/>
          <w:szCs w:val="28"/>
          <w14:textFill>
            <w14:solidFill>
              <w14:schemeClr w14:val="tx1"/>
            </w14:solidFill>
          </w14:textFill>
        </w:rPr>
        <w:t>、自动报告系统须取得国家计算机软件著作权。</w:t>
      </w:r>
    </w:p>
    <w:p>
      <w:pPr>
        <w:autoSpaceDE w:val="0"/>
        <w:autoSpaceDN w:val="0"/>
        <w:adjustRightInd w:val="0"/>
        <w:spacing w:before="156" w:beforeLines="50" w:line="380" w:lineRule="exact"/>
        <w:ind w:firstLine="280" w:firstLineChars="1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w:t>
      </w:r>
      <w:r>
        <w:rPr>
          <w:rFonts w:hint="eastAsia" w:ascii="宋体" w:hAnsi="宋体" w:eastAsia="宋体" w:cs="宋体"/>
          <w:b w:val="0"/>
          <w:bCs/>
          <w:color w:val="000000" w:themeColor="text1"/>
          <w:kern w:val="0"/>
          <w:sz w:val="28"/>
          <w:szCs w:val="28"/>
          <w:lang w:val="en-US" w:eastAsia="zh-CN"/>
          <w14:textFill>
            <w14:solidFill>
              <w14:schemeClr w14:val="tx1"/>
            </w14:solidFill>
          </w14:textFill>
        </w:rPr>
        <w:t>3</w:t>
      </w:r>
      <w:r>
        <w:rPr>
          <w:rFonts w:hint="eastAsia" w:ascii="宋体" w:hAnsi="宋体" w:eastAsia="宋体" w:cs="宋体"/>
          <w:b w:val="0"/>
          <w:bCs/>
          <w:color w:val="000000" w:themeColor="text1"/>
          <w:kern w:val="0"/>
          <w:sz w:val="28"/>
          <w:szCs w:val="28"/>
          <w14:textFill>
            <w14:solidFill>
              <w14:schemeClr w14:val="tx1"/>
            </w14:solidFill>
          </w14:textFill>
        </w:rPr>
        <w:t>、数据库需通过管理体系认证，并提供证明。</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4</w:t>
      </w:r>
      <w:r>
        <w:rPr>
          <w:rFonts w:hint="eastAsia" w:ascii="宋体" w:hAnsi="宋体" w:eastAsia="宋体" w:cs="宋体"/>
          <w:b w:val="0"/>
          <w:bCs/>
          <w:color w:val="000000" w:themeColor="text1"/>
          <w:kern w:val="0"/>
          <w:sz w:val="28"/>
          <w:szCs w:val="28"/>
          <w14:textFill>
            <w14:solidFill>
              <w14:schemeClr w14:val="tx1"/>
            </w14:solidFill>
          </w14:textFill>
        </w:rPr>
        <w:t>、报告系统可以根据医院情况自己增加用药建议。</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5</w:t>
      </w:r>
      <w:r>
        <w:rPr>
          <w:rFonts w:hint="eastAsia" w:ascii="宋体" w:hAnsi="宋体" w:eastAsia="宋体" w:cs="宋体"/>
          <w:b w:val="0"/>
          <w:bCs/>
          <w:color w:val="000000" w:themeColor="text1"/>
          <w:kern w:val="0"/>
          <w:sz w:val="28"/>
          <w:szCs w:val="28"/>
          <w14:textFill>
            <w14:solidFill>
              <w14:schemeClr w14:val="tx1"/>
            </w14:solidFill>
          </w14:textFill>
        </w:rPr>
        <w:t>、报告系统能为医院科研提供分析以及相应支持。</w:t>
      </w:r>
    </w:p>
    <w:p>
      <w:pPr>
        <w:autoSpaceDE w:val="0"/>
        <w:autoSpaceDN w:val="0"/>
        <w:adjustRightInd w:val="0"/>
        <w:spacing w:before="156" w:beforeLines="50" w:line="380" w:lineRule="exact"/>
        <w:jc w:val="left"/>
        <w:rPr>
          <w:rFonts w:hint="eastAsia" w:ascii="宋体" w:hAnsi="宋体" w:eastAsia="宋体" w:cs="宋体"/>
          <w:b/>
          <w:bCs w:val="0"/>
          <w:color w:val="000000" w:themeColor="text1"/>
          <w:kern w:val="0"/>
          <w:sz w:val="28"/>
          <w:szCs w:val="28"/>
          <w14:textFill>
            <w14:solidFill>
              <w14:schemeClr w14:val="tx1"/>
            </w14:solidFill>
          </w14:textFill>
        </w:rPr>
      </w:pPr>
      <w:r>
        <w:rPr>
          <w:rFonts w:hint="eastAsia" w:ascii="宋体" w:hAnsi="宋体" w:eastAsia="宋体" w:cs="宋体"/>
          <w:b/>
          <w:bCs w:val="0"/>
          <w:color w:val="000000" w:themeColor="text1"/>
          <w:kern w:val="0"/>
          <w:sz w:val="28"/>
          <w:szCs w:val="28"/>
          <w14:textFill>
            <w14:solidFill>
              <w14:schemeClr w14:val="tx1"/>
            </w14:solidFill>
          </w14:textFill>
        </w:rPr>
        <w:t>试剂部分</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1、具有医疗器械注册证或者备案凭证；</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2</w:t>
      </w:r>
      <w:r>
        <w:rPr>
          <w:rFonts w:hint="eastAsia" w:ascii="宋体" w:hAnsi="宋体" w:eastAsia="宋体" w:cs="宋体"/>
          <w:b w:val="0"/>
          <w:bCs/>
          <w:color w:val="000000" w:themeColor="text1"/>
          <w:kern w:val="0"/>
          <w:sz w:val="28"/>
          <w:szCs w:val="28"/>
          <w14:textFill>
            <w14:solidFill>
              <w14:schemeClr w14:val="tx1"/>
            </w14:solidFill>
          </w14:textFill>
        </w:rPr>
        <w:t>、便利性：无需PCR 扩增，无需在临床基因扩增(PCR)检验实验室中开展检验。</w:t>
      </w:r>
    </w:p>
    <w:p>
      <w:pPr>
        <w:autoSpaceDE w:val="0"/>
        <w:autoSpaceDN w:val="0"/>
        <w:adjustRightInd w:val="0"/>
        <w:spacing w:before="156" w:beforeLines="50" w:line="380" w:lineRule="exact"/>
        <w:ind w:firstLine="280" w:firstLineChars="1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w:t>
      </w:r>
      <w:r>
        <w:rPr>
          <w:rFonts w:hint="eastAsia" w:ascii="宋体" w:hAnsi="宋体" w:eastAsia="宋体" w:cs="宋体"/>
          <w:b w:val="0"/>
          <w:bCs/>
          <w:color w:val="000000" w:themeColor="text1"/>
          <w:kern w:val="0"/>
          <w:sz w:val="28"/>
          <w:szCs w:val="28"/>
          <w:lang w:val="en-US" w:eastAsia="zh-CN"/>
          <w14:textFill>
            <w14:solidFill>
              <w14:schemeClr w14:val="tx1"/>
            </w14:solidFill>
          </w14:textFill>
        </w:rPr>
        <w:t>3</w:t>
      </w:r>
      <w:r>
        <w:rPr>
          <w:rFonts w:hint="eastAsia" w:ascii="宋体" w:hAnsi="宋体" w:eastAsia="宋体" w:cs="宋体"/>
          <w:b w:val="0"/>
          <w:bCs/>
          <w:color w:val="000000" w:themeColor="text1"/>
          <w:kern w:val="0"/>
          <w:sz w:val="28"/>
          <w:szCs w:val="28"/>
          <w14:textFill>
            <w14:solidFill>
              <w14:schemeClr w14:val="tx1"/>
            </w14:solidFill>
          </w14:textFill>
        </w:rPr>
        <w:t>、项目齐全：满足医院的临床需求以及科研需求，能开展项目包括叶酸、氯吡格雷、 糖皮质激素 、癫痫类、 抗精神类、别嘌醇等，开展项目≥15个项目。</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4</w:t>
      </w:r>
      <w:r>
        <w:rPr>
          <w:rFonts w:hint="eastAsia" w:ascii="宋体" w:hAnsi="宋体" w:eastAsia="宋体" w:cs="宋体"/>
          <w:b w:val="0"/>
          <w:bCs/>
          <w:color w:val="000000" w:themeColor="text1"/>
          <w:kern w:val="0"/>
          <w:sz w:val="28"/>
          <w:szCs w:val="28"/>
          <w14:textFill>
            <w14:solidFill>
              <w14:schemeClr w14:val="tx1"/>
            </w14:solidFill>
          </w14:textFill>
        </w:rPr>
        <w:t>、有效期：大于等于10个月.</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5、报告部分： 能提供数据库，数据库能提供自动化分析报告平台，给予结果有理有据的分析报告，可实现在线查看，并可自行打印报告，能提供中文版，数据库拥有国内外专利，有ISO认证，并能实时更新。</w:t>
      </w:r>
    </w:p>
    <w:p>
      <w:pPr>
        <w:autoSpaceDE w:val="0"/>
        <w:autoSpaceDN w:val="0"/>
        <w:adjustRightInd w:val="0"/>
        <w:spacing w:before="156" w:beforeLines="50" w:line="380" w:lineRule="exact"/>
        <w:ind w:firstLine="280" w:firstLineChars="100"/>
        <w:jc w:val="left"/>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★6、投标方要完成该仪器与院方LIS系统连接，并承担接口费用，保证能正常使用。</w:t>
      </w:r>
    </w:p>
    <w:p>
      <w:pPr>
        <w:pStyle w:val="2"/>
        <w:ind w:firstLine="280" w:firstLineChars="100"/>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★7、需提供配套耗材报价表目录及价格。</w:t>
      </w:r>
    </w:p>
    <w:p>
      <w:pPr>
        <w:pStyle w:val="2"/>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t xml:space="preserve">附件 2：药物基因检测项目（以下为项目类别，未来可根据临床检测需求研发增加新的检测项目，提供单项或多项组合套餐） </w:t>
      </w:r>
    </w:p>
    <w:tbl>
      <w:tblPr>
        <w:tblStyle w:val="8"/>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1653"/>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t>医嘱名称</w:t>
            </w:r>
          </w:p>
        </w:tc>
        <w:tc>
          <w:tcPr>
            <w:tcW w:w="1653" w:type="dxa"/>
            <w:vAlign w:val="center"/>
          </w:tcPr>
          <w:p>
            <w:pPr>
              <w:jc w:val="center"/>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t>药物分类</w:t>
            </w:r>
          </w:p>
        </w:tc>
        <w:tc>
          <w:tcPr>
            <w:tcW w:w="4710" w:type="dxa"/>
            <w:vAlign w:val="center"/>
          </w:tcPr>
          <w:p>
            <w:pPr>
              <w:jc w:val="center"/>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t>药物名称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阿司匹林药物基因检测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心脑血管</w:t>
            </w:r>
          </w:p>
        </w:tc>
        <w:tc>
          <w:tcPr>
            <w:tcW w:w="4710"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阿司匹林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氯吡格雷药物基因检测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心脑血管</w:t>
            </w:r>
          </w:p>
        </w:tc>
        <w:tc>
          <w:tcPr>
            <w:tcW w:w="4710"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氯吡格雷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他汀药物基因检测</w:t>
            </w: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心脑血管</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普伐他汀、阿托伐他汀、辛伐他汀、氟伐他汀、瑞舒伐他汀、洛伐他汀、匹伐他汀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氯吡格雷+阿司匹林+</w:t>
            </w:r>
          </w:p>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他汀类(套餐）</w:t>
            </w: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心脑血管</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氯吡格雷、阿司匹林、普伐他汀、阿托伐他汀、辛伐他汀、氟伐他汀、瑞舒伐他汀、洛伐他汀、匹伐他汀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叶酸药物基因检测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心脑血管</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华法林药物基因检测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心脑血管</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华法林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氟尿嘧啶药物基因检测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抗肿瘤</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氟尿嘧啶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伊立替康药物基因检测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抗肿瘤</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伊立替康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铂类化合物药物基因检测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抗肿瘤</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卡铂、奥沙利铂、顺铂、洛铂、奈达铂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甲氨蝶呤药物基因检测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抗肿瘤</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甲氨蝶呤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环磷酰胺药物基因检测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抗肿瘤</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环磷酰胺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舍曲林药物基因检测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精神类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舍曲林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伏立康唑药物基因检测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抗真菌</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伏立康唑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糖皮质激素药物基因检测</w:t>
            </w: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糖皮质激素</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氢化可的松、可的松、泼尼松、泼尼松龙、甲基泼尼松龙、地塞米松、倍他米松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他克莫司药物基因检测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免疫抑制剂</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他克莫司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硫唑嘌呤药物基因检测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免疫抑制剂</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硫唑嘌呤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质子泵抑制剂基因检测</w:t>
            </w: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质子泵抑制剂</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奥美拉唑、兰索拉唑、雷贝拉唑、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泮托拉唑、埃索美拉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15" w:type="dxa"/>
            <w:vMerge w:val="restart"/>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降糖类药物</w:t>
            </w:r>
          </w:p>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基因检测套餐</w:t>
            </w: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磺脲类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格列本脲，格列吡嗪，格列齐特，</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格列喹酮，格列美脲，甲磺丁脲，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胰岛素抵抗</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胰岛素类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双胍类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二甲双胍，苯乙双胍，丁双胍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噻唑烷二酮类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吡格列酮，罗格列酮，曲格列酮，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环格列酮，恩格列酮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22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α-葡萄糖苷酶抑制剂</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阿卡波糖，伏格列波糖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315" w:type="dxa"/>
            <w:vMerge w:val="restart"/>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抗高血压药物</w:t>
            </w:r>
          </w:p>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基因检测套餐</w:t>
            </w:r>
          </w:p>
        </w:tc>
        <w:tc>
          <w:tcPr>
            <w:tcW w:w="1653" w:type="dxa"/>
            <w:vAlign w:val="center"/>
          </w:tcPr>
          <w:p>
            <w:pPr>
              <w:widowControl/>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ACE-I类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卡托普利、依那普利、西拉普利、苯那普利、培垛普利、雷米普利、赖诺普利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widowControl/>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ARB类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氯沙坦、厄贝沙坦、缬沙坦、替米沙坦、坎地沙坦、伊贝沙坦、洛沙坦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widowControl/>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β受体阻滞剂</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阿替洛尔、美托洛尔、卡维地洛、索他洛尔、贝凡洛尔、比索洛尔、艾司洛尔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widowControl/>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钙离子拮抗剂</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硝苯地平、氨氯地平、地尔硫卓、尼卡地平、尼莫地平、尼群地平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widowControl/>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利尿剂</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氢氯噻嗪、氯噻嗪、布美他尼、呋塞米、托拉塞米、吲达帕胺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widowControl/>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H型高血压风险</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315" w:type="dxa"/>
            <w:vMerge w:val="restart"/>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抗肿瘤化药物</w:t>
            </w:r>
          </w:p>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基因检测套餐</w:t>
            </w:r>
          </w:p>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铂类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顺铂、卡铂、奥沙利铂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氟尿嘧啶类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氟尿嘧啶、卡培他滨、替加氟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紫杉醇类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紫杉醇、多西他赛、卡巴他赛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伊立替康</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伊立替康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阿霉素类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多柔比星、表柔比星、伊达比星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酰胺类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环磷酰胺、异环磷酰胺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甲氨蝶呤</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甲氨蝶呤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长春新碱</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长春新碱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依托泊苷</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依托泊苷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巯嘌呤</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巯嘌呤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叶酸</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四氢叶酸、亚叶酸钙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3315" w:type="dxa"/>
            <w:vMerge w:val="restart"/>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儿童安全用药</w:t>
            </w:r>
          </w:p>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基因检测套餐</w:t>
            </w: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解热镇痛类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布洛芬，双氯芬酸，咖啡因，舒马曲坦，萘普生，阿司匹林， 对乙酰氨基酚，羟考酮，曲马多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抗感染类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青霉素类、头孢菌素类、罗红霉素、红霉素、氟康唑、伏立康唑、庆大霉素、克林霉素、阿米卡星、克拉霉素、阿奇霉素、阿莫西林、利巴韦林、阿昔洛韦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止咳平喘类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曲安奈德，布地奈德，丙酸氟替卡松，茶碱，右美沙芬、孟鲁司特、可待因、地塞米松、泼尼松、甲基泼尼松龙，氢化可的松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抗过敏类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氯雷他定，地氯雷他定，氟替卡松丙酸酯，氟替卡松 ，非索非那定，异丙嗪，强的松，曲安奈德鼻喷雾剂、布地奈德、丙酸氟替卡松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癫痫类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苯妥英、磷苯妥英、卡马西平、拉莫三嗪、奥卡西平，丙戊酸，左乙拉西坦、地西泮、氯硝西泮、氧异安定、苯巴比妥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肠胃不适类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奥美拉唑，泮托拉唑，埃索美拉唑，法莫替丁，甲氧氯普胺，雷贝拉唑，兰索拉唑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镇静安神药物</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阿托西汀，苯巴比妥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315" w:type="dxa"/>
            <w:vMerge w:val="restart"/>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抗细菌类药物基因检测</w:t>
            </w: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磺胺类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磺胺甲恶唑等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嘧啶类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甲氧苄啶等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青霉素类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阿莫西林等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大环内酯类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阿奇霉素、红霉素、克拉霉素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氨基糖苷类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庆大霉素、妥布霉素、阿米卡星、奈替米星、卡那霉素、异帕米星、小诺米星、链霉素、依替米星、新霉素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抗结核类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异烟肼、利福平、链霉素</w:t>
            </w:r>
          </w:p>
        </w:tc>
      </w:tr>
    </w:tbl>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337"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 xml:space="preserve">商务条款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1、服务范围：医院“</w:t>
      </w:r>
      <w:r>
        <w:rPr>
          <w:rFonts w:hint="eastAsia" w:ascii="宋体" w:hAnsi="宋体" w:cs="宋体"/>
          <w:color w:val="0000FF"/>
          <w:sz w:val="28"/>
          <w:szCs w:val="28"/>
          <w:highlight w:val="none"/>
          <w:lang w:eastAsia="zh-CN"/>
        </w:rPr>
        <w:t>药物基因检测服务项目</w:t>
      </w:r>
      <w:r>
        <w:rPr>
          <w:rFonts w:hint="eastAsia" w:ascii="宋体" w:hAnsi="宋体" w:eastAsia="宋体" w:cs="宋体"/>
          <w:color w:val="000000" w:themeColor="text1"/>
          <w:sz w:val="28"/>
          <w:szCs w:val="28"/>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、核算的唯一标准是广西壮族自治区医疗服务行业物价收费标准。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、合约期： 3 年。</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、风险责任：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.1、在合同期内，如遇收费标准变化或遇国家政策性因素变化，院方不承担因收费标准、成本变化而造成的损失，具体双方友好协商。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.2、合同期内物价收费标准的调整：当地物价部门规定的收费标准发生变动时，根据物价收费调整，按调整后的收费标准×服务费收费比例执行；如物价收费标准下降，按下降后的收费标准×服务费收费比例执行。</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、服务承诺：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.1、服务合同期内，采购人因业务发展，需要对设备进行更新或升级的，中标方应无条件配合。</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2、中标方需提供设备运行维护人员，应在两个工作日之内解决实验室内设备运行的故障，确保检测业务的正常运行。如果不能在规定时间内完成的，院方可以自行联系维修，期间中标人需解决标本的检测问题；如不能解决，院方可以自行外送检测，所有费用在结算技术服务费时从中扣除。</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投标人为独立法人，并具备统一社会信用代码。</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被列入我院投标人黑名单（在我院招投标活动中存在2次违规行为）未满3年的投标人将被拒绝其参与本次招投标活动。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本项目不接收联合体投标。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10.投标产品资格要求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10.1本项目支持创新产品、节能优化产品、环境标识产品、中小企业发展等政府采购政策。</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10.2</w:t>
      </w:r>
      <w:r>
        <w:rPr>
          <w:rFonts w:hint="eastAsia" w:ascii="宋体" w:hAnsi="宋体" w:eastAsia="宋体" w:cs="宋体"/>
          <w:color w:val="000000" w:themeColor="text1"/>
          <w:sz w:val="28"/>
          <w:szCs w:val="28"/>
          <w14:textFill>
            <w14:solidFill>
              <w14:schemeClr w14:val="tx1"/>
            </w14:solidFill>
          </w14:textFill>
        </w:rPr>
        <w:t>投标人所投产品要求包含以下相关证件：投标公司的</w:t>
      </w:r>
      <w:r>
        <w:rPr>
          <w:rFonts w:hint="eastAsia" w:ascii="宋体" w:hAnsi="宋体" w:eastAsia="宋体" w:cs="宋体"/>
          <w:color w:val="000000" w:themeColor="text1"/>
          <w:sz w:val="28"/>
          <w:szCs w:val="28"/>
          <w:lang w:eastAsia="zh-CN"/>
          <w14:textFill>
            <w14:solidFill>
              <w14:schemeClr w14:val="tx1"/>
            </w14:solidFill>
          </w14:textFill>
        </w:rPr>
        <w:t>《营业执照》、</w:t>
      </w:r>
      <w:r>
        <w:rPr>
          <w:rFonts w:hint="eastAsia" w:ascii="宋体" w:hAnsi="宋体" w:eastAsia="宋体" w:cs="宋体"/>
          <w:color w:val="000000" w:themeColor="text1"/>
          <w:sz w:val="28"/>
          <w:szCs w:val="28"/>
          <w14:textFill>
            <w14:solidFill>
              <w14:schemeClr w14:val="tx1"/>
            </w14:solidFill>
          </w14:textFill>
        </w:rPr>
        <w:t>《医疗器械经营许可证》、生产厂家的《医疗器械生产许可证》、器械的《中华人民共和国医疗器械注册证》</w:t>
      </w:r>
      <w:r>
        <w:rPr>
          <w:rFonts w:hint="eastAsia" w:ascii="宋体" w:hAnsi="宋体" w:eastAsia="宋体" w:cs="宋体"/>
          <w:color w:val="000000" w:themeColor="text1"/>
          <w:sz w:val="28"/>
          <w:szCs w:val="28"/>
          <w:lang w:eastAsia="zh-CN"/>
          <w14:textFill>
            <w14:solidFill>
              <w14:schemeClr w14:val="tx1"/>
            </w14:solidFill>
          </w14:textFill>
        </w:rPr>
        <w:t>、以及</w:t>
      </w:r>
      <w:r>
        <w:rPr>
          <w:rFonts w:hint="eastAsia" w:ascii="宋体" w:hAnsi="宋体" w:eastAsia="宋体" w:cs="宋体"/>
          <w:color w:val="000000" w:themeColor="text1"/>
          <w:sz w:val="28"/>
          <w:szCs w:val="28"/>
          <w14:textFill>
            <w14:solidFill>
              <w14:schemeClr w14:val="tx1"/>
            </w14:solidFill>
          </w14:textFill>
        </w:rPr>
        <w:t>单位法人证书、执业许可证、自然人身份证等，否则作无效投标处理</w:t>
      </w:r>
      <w:r>
        <w:rPr>
          <w:rFonts w:hint="eastAsia" w:ascii="宋体" w:hAnsi="宋体" w:eastAsia="宋体" w:cs="宋体"/>
          <w:color w:val="000000" w:themeColor="text1"/>
          <w:sz w:val="28"/>
          <w:szCs w:val="28"/>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质保期：设备安装完毕通过验收投入使用之日起不少于1年。</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故障处理：厂家须设有24小时免费服务电话，中标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签订合同后，</w:t>
      </w:r>
      <w:r>
        <w:rPr>
          <w:rFonts w:hint="eastAsia" w:ascii="宋体" w:hAnsi="宋体" w:eastAsia="宋体" w:cs="宋体"/>
          <w:color w:val="000000" w:themeColor="text1"/>
          <w:sz w:val="28"/>
          <w:szCs w:val="28"/>
          <w:lang w:val="en-US" w:eastAsia="zh-CN"/>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天内仪器设备安装调试结束并交付使用。投标人予以特别注意：如出现未能到期供货的情况，采购人有权单方终止合同的执行，所有的经济损失由逾期供货商单方承担。</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14.</w:t>
      </w:r>
      <w:r>
        <w:rPr>
          <w:rFonts w:hint="eastAsia" w:ascii="宋体" w:hAnsi="宋体" w:eastAsia="宋体" w:cs="宋体"/>
          <w:color w:val="000000" w:themeColor="text1"/>
          <w:sz w:val="28"/>
          <w:szCs w:val="28"/>
          <w14:textFill>
            <w14:solidFill>
              <w14:schemeClr w14:val="tx1"/>
            </w14:solidFill>
          </w14:textFill>
        </w:rPr>
        <w:t xml:space="preserve">交货地点为：广西壮族自治区桂东人民医院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15.付款条件（进度和方式）：（1）低于20万或（2）高于20万   二选一</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15.1.</w:t>
      </w:r>
      <w:r>
        <w:rPr>
          <w:rFonts w:hint="eastAsia" w:ascii="宋体" w:hAnsi="宋体" w:eastAsia="宋体" w:cs="宋体"/>
          <w:color w:val="000000" w:themeColor="text1"/>
          <w:sz w:val="28"/>
          <w:szCs w:val="28"/>
          <w14:textFill>
            <w14:solidFill>
              <w14:schemeClr w14:val="tx1"/>
            </w14:solidFill>
          </w14:textFill>
        </w:rPr>
        <w:t>签订合同后，全部货物到达指定地点、安装调试并验收合格后，凭双方签署验收合格证，乙方开具全额发票给甲方，甲方自收到发票之日起30日内支付总合同金额的</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0%，12个月后支付合同总金额的10%（不计利息）。</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15.2.</w:t>
      </w:r>
      <w:r>
        <w:rPr>
          <w:rFonts w:hint="eastAsia" w:ascii="宋体" w:hAnsi="宋体" w:eastAsia="宋体" w:cs="宋体"/>
          <w:color w:val="000000" w:themeColor="text1"/>
          <w:sz w:val="28"/>
          <w:szCs w:val="28"/>
          <w:lang w:eastAsia="zh-CN"/>
          <w14:textFill>
            <w14:solidFill>
              <w14:schemeClr w14:val="tx1"/>
            </w14:solidFill>
          </w14:textFill>
        </w:rPr>
        <w:t>所用检测所需的试剂耗材。</w:t>
      </w:r>
      <w:r>
        <w:rPr>
          <w:rFonts w:hint="eastAsia" w:ascii="宋体" w:hAnsi="宋体" w:eastAsia="宋体" w:cs="宋体"/>
          <w:color w:val="000000" w:themeColor="text1"/>
          <w:sz w:val="28"/>
          <w:szCs w:val="28"/>
          <w14:textFill>
            <w14:solidFill>
              <w14:schemeClr w14:val="tx1"/>
            </w14:solidFill>
          </w14:textFill>
        </w:rPr>
        <w:t>按照合同约定的时间支付货款（不计利息），货款结算方式为转账，从交货验收合格到付款的时间为180天。</w:t>
      </w:r>
    </w:p>
    <w:p>
      <w:pPr>
        <w:keepNext w:val="0"/>
        <w:keepLines w:val="0"/>
        <w:pageBreakBefore w:val="0"/>
        <w:widowControl/>
        <w:kinsoku/>
        <w:wordWrap/>
        <w:overflowPunct/>
        <w:topLinePunct w:val="0"/>
        <w:bidi w:val="0"/>
        <w:snapToGrid/>
        <w:spacing w:line="500" w:lineRule="exact"/>
        <w:ind w:firstLine="560" w:firstLineChars="200"/>
        <w:jc w:val="left"/>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如验收不合格以及发现伪劣产品等，招标人将视情形采取退货、拒付款、终止合同、索赔等措施，直至通过有关部门，依法维权。</w:t>
      </w:r>
    </w:p>
    <w:p>
      <w:pPr>
        <w:pStyle w:val="2"/>
        <w:keepNext w:val="0"/>
        <w:keepLines w:val="0"/>
        <w:pageBreakBefore w:val="0"/>
        <w:kinsoku/>
        <w:wordWrap/>
        <w:overflowPunct/>
        <w:topLinePunct w:val="0"/>
        <w:bidi w:val="0"/>
        <w:snapToGrid/>
        <w:spacing w:line="500" w:lineRule="exact"/>
        <w:ind w:left="-708" w:leftChars="-337"/>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rPr>
        <w:t>五</w:t>
      </w:r>
      <w:r>
        <w:rPr>
          <w:rFonts w:hint="eastAsia" w:ascii="宋体" w:hAnsi="宋体" w:eastAsia="宋体" w:cs="宋体"/>
          <w:b/>
          <w:bCs/>
          <w:kern w:val="0"/>
          <w:sz w:val="32"/>
          <w:szCs w:val="32"/>
        </w:rPr>
        <w:t>、合同签订</w:t>
      </w:r>
    </w:p>
    <w:p>
      <w:pPr>
        <w:keepNext w:val="0"/>
        <w:keepLines w:val="0"/>
        <w:pageBreakBefore w:val="0"/>
        <w:widowControl/>
        <w:kinsoku/>
        <w:wordWrap/>
        <w:overflowPunct/>
        <w:topLinePunct w:val="0"/>
        <w:bidi w:val="0"/>
        <w:snapToGrid/>
        <w:spacing w:line="50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招标人和中标人应当自公示结束后</w:t>
      </w:r>
      <w:sdt>
        <w:sdtPr>
          <w:rPr>
            <w:rFonts w:hint="eastAsia" w:ascii="宋体" w:hAnsi="宋体" w:eastAsia="宋体" w:cs="宋体"/>
            <w:kern w:val="0"/>
            <w:sz w:val="28"/>
            <w:szCs w:val="28"/>
          </w:rPr>
          <w:alias w:val="无特殊情况不建议修改"/>
          <w:tag w:val="无特殊情况不建议修改"/>
          <w:id w:val="-183904816"/>
          <w:placeholder>
            <w:docPart w:val="DefaultPlaceholder_-1854013440"/>
          </w:placeholder>
          <w15:color w:val="FF0000"/>
        </w:sdtPr>
        <w:sdtEndPr>
          <w:rPr>
            <w:rFonts w:hint="eastAsia" w:ascii="宋体" w:hAnsi="宋体" w:eastAsia="宋体" w:cs="宋体"/>
            <w:color w:val="FF0000"/>
            <w:kern w:val="0"/>
            <w:sz w:val="28"/>
            <w:szCs w:val="28"/>
            <w:u w:val="single"/>
          </w:rPr>
        </w:sdtEndPr>
        <w:sdtContent>
          <w:r>
            <w:rPr>
              <w:rFonts w:hint="eastAsia" w:ascii="宋体" w:hAnsi="宋体" w:eastAsia="宋体" w:cs="宋体"/>
              <w:color w:val="FF0000"/>
              <w:kern w:val="0"/>
              <w:sz w:val="28"/>
              <w:szCs w:val="28"/>
              <w:u w:val="single"/>
              <w:lang w:val="en-US" w:eastAsia="zh-CN"/>
            </w:rPr>
            <w:t>7个</w:t>
          </w:r>
        </w:sdtContent>
      </w:sdt>
      <w:r>
        <w:rPr>
          <w:rFonts w:hint="eastAsia" w:ascii="宋体" w:hAnsi="宋体" w:eastAsia="宋体" w:cs="宋体"/>
          <w:kern w:val="0"/>
          <w:sz w:val="28"/>
          <w:szCs w:val="28"/>
          <w:lang w:val="en-US" w:eastAsia="zh-CN"/>
        </w:rPr>
        <w:t>工作日</w:t>
      </w:r>
      <w:r>
        <w:rPr>
          <w:rFonts w:hint="eastAsia" w:ascii="宋体" w:hAnsi="宋体" w:eastAsia="宋体" w:cs="宋体"/>
          <w:kern w:val="0"/>
          <w:sz w:val="28"/>
          <w:szCs w:val="28"/>
        </w:rPr>
        <w:t>内签订采购合同。</w:t>
      </w:r>
    </w:p>
    <w:p>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sz w:val="32"/>
          <w:szCs w:val="32"/>
        </w:rPr>
      </w:pPr>
      <w:r>
        <w:rPr>
          <w:rFonts w:hint="eastAsia" w:ascii="宋体" w:hAnsi="宋体" w:eastAsia="宋体" w:cs="宋体"/>
          <w:b/>
          <w:bCs/>
          <w:kern w:val="0"/>
          <w:sz w:val="32"/>
          <w:szCs w:val="32"/>
          <w:lang w:val="en-US" w:eastAsia="zh-CN"/>
        </w:rPr>
        <w:t>六、其他</w:t>
      </w:r>
    </w:p>
    <w:p>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rPr>
        <w:t>七</w:t>
      </w:r>
      <w:r>
        <w:rPr>
          <w:rFonts w:hint="eastAsia" w:ascii="宋体" w:hAnsi="宋体" w:eastAsia="宋体" w:cs="宋体"/>
          <w:b/>
          <w:bCs/>
          <w:kern w:val="0"/>
          <w:sz w:val="32"/>
          <w:szCs w:val="32"/>
        </w:rPr>
        <w:t>、特别说明</w:t>
      </w:r>
    </w:p>
    <w:p>
      <w:pPr>
        <w:keepNext w:val="0"/>
        <w:keepLines w:val="0"/>
        <w:pageBreakBefore w:val="0"/>
        <w:widowControl/>
        <w:kinsoku/>
        <w:wordWrap/>
        <w:overflowPunct/>
        <w:topLinePunct w:val="0"/>
        <w:bidi w:val="0"/>
        <w:snapToGrid/>
        <w:spacing w:line="50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ascii="仿宋" w:hAnsi="仿宋" w:eastAsia="仿宋" w:cs="宋体"/>
          <w:b/>
          <w:bCs w:val="0"/>
          <w:color w:val="0000FF"/>
          <w:kern w:val="0"/>
          <w:sz w:val="28"/>
          <w:szCs w:val="28"/>
          <w:u w:val="single"/>
          <w:lang w:val="en-US" w:eastAsia="zh-CN" w:bidi="ar-SA"/>
        </w:rPr>
        <w:t xml:space="preserve">综合评分法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1"/>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hint="eastAsia" w:cs="宋体"/>
          <w:kern w:val="0"/>
          <w:sz w:val="24"/>
          <w:szCs w:val="24"/>
          <w:lang w:val="en-US" w:eastAsia="zh-CN"/>
        </w:rPr>
        <w:t>20</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2"/>
        <w:ind w:firstLine="480" w:firstLineChars="200"/>
      </w:pPr>
      <w:r>
        <w:t>投标报价得分=（评标基准价÷投标报价）×</w:t>
      </w:r>
      <w:r>
        <w:rPr>
          <w:rFonts w:hint="eastAsia" w:cs="宋体"/>
          <w:color w:val="auto"/>
          <w:lang w:val="en-US" w:eastAsia="zh-CN"/>
        </w:rPr>
        <w:t>20</w:t>
      </w:r>
      <w:r>
        <w:t>（计算结果四舍五入，保留两位小数）</w:t>
      </w:r>
    </w:p>
    <w:p>
      <w:pPr>
        <w:pStyle w:val="2"/>
        <w:ind w:firstLine="480" w:firstLineChars="200"/>
      </w:pPr>
      <w:r>
        <w:rPr>
          <w:rFonts w:hint="eastAsia"/>
        </w:rPr>
        <w:t>1.4货物类报价分区间为30-60分</w:t>
      </w:r>
    </w:p>
    <w:p>
      <w:pPr>
        <w:pStyle w:val="2"/>
        <w:ind w:firstLine="480" w:firstLineChars="200"/>
      </w:pPr>
      <w:r>
        <w:rPr>
          <w:rFonts w:hint="eastAsia"/>
        </w:rPr>
        <w:t>1.5服务类报价分区间为10-30分</w:t>
      </w:r>
    </w:p>
    <w:p>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hint="eastAsia" w:cs="宋体"/>
          <w:kern w:val="0"/>
          <w:sz w:val="24"/>
          <w:szCs w:val="24"/>
          <w:lang w:val="en-US" w:eastAsia="zh-CN"/>
        </w:rPr>
        <w:t>20</w:t>
      </w:r>
      <w:r>
        <w:rPr>
          <w:rFonts w:hint="eastAsia" w:cs="宋体"/>
          <w:b/>
          <w:bCs/>
          <w:kern w:val="0"/>
          <w:sz w:val="24"/>
          <w:szCs w:val="24"/>
        </w:rPr>
        <w:t>分）</w:t>
      </w:r>
    </w:p>
    <w:p>
      <w:pPr>
        <w:pStyle w:val="2"/>
      </w:pPr>
      <w:r>
        <w:rPr>
          <w:rFonts w:hint="eastAsia"/>
        </w:rPr>
        <w:t xml:space="preserve"> </w:t>
      </w:r>
      <w:r>
        <w:t xml:space="preserve">   </w:t>
      </w:r>
      <w:r>
        <w:rPr>
          <w:rFonts w:hint="eastAsia"/>
        </w:rPr>
        <w:t>2.1考察投标人产品技术参数、性能要求、功能特性等响应及偏离情况</w:t>
      </w:r>
    </w:p>
    <w:p>
      <w:pPr>
        <w:pStyle w:val="2"/>
        <w:ind w:firstLine="480" w:firstLineChars="200"/>
      </w:pPr>
      <w:r>
        <w:rPr>
          <w:rFonts w:hint="eastAsia"/>
        </w:rPr>
        <w:t>2.2区间为20-30分</w:t>
      </w:r>
    </w:p>
    <w:p>
      <w:pPr>
        <w:widowControl/>
        <w:spacing w:line="360" w:lineRule="auto"/>
        <w:ind w:firstLine="482" w:firstLineChars="200"/>
        <w:jc w:val="left"/>
        <w:rPr>
          <w:rFonts w:cs="宋体"/>
          <w:b/>
          <w:bCs/>
          <w:kern w:val="0"/>
          <w:sz w:val="24"/>
          <w:szCs w:val="24"/>
        </w:rPr>
      </w:pPr>
      <w:r>
        <w:rPr>
          <w:b/>
          <w:bCs/>
          <w:kern w:val="0"/>
          <w:sz w:val="24"/>
          <w:szCs w:val="24"/>
        </w:rPr>
        <w:t xml:space="preserve">3. </w:t>
      </w:r>
      <w:r>
        <w:rPr>
          <w:rFonts w:hint="eastAsia" w:cs="宋体"/>
          <w:b/>
          <w:bCs/>
          <w:kern w:val="0"/>
          <w:sz w:val="24"/>
          <w:szCs w:val="24"/>
        </w:rPr>
        <w:t>售后服务分</w:t>
      </w:r>
    </w:p>
    <w:p>
      <w:pPr>
        <w:pStyle w:val="2"/>
        <w:ind w:firstLine="480" w:firstLineChars="200"/>
      </w:pPr>
      <w:r>
        <w:rPr>
          <w:rFonts w:hint="eastAsia"/>
        </w:rPr>
        <w:t>3.1考察投标人的服务方案、售后服务承诺、投入人员、更长保修期等情况</w:t>
      </w:r>
    </w:p>
    <w:p>
      <w:pPr>
        <w:pStyle w:val="2"/>
        <w:ind w:firstLine="480" w:firstLineChars="200"/>
      </w:pPr>
      <w:r>
        <w:rPr>
          <w:rFonts w:hint="eastAsia"/>
        </w:rPr>
        <w:t>3.2区间为10-20分</w:t>
      </w:r>
    </w:p>
    <w:p>
      <w:pPr>
        <w:pStyle w:val="2"/>
        <w:ind w:firstLine="482" w:firstLineChars="200"/>
        <w:rPr>
          <w:b/>
          <w:bCs/>
        </w:rPr>
      </w:pPr>
      <w:r>
        <w:rPr>
          <w:rFonts w:hint="eastAsia"/>
          <w:b/>
          <w:bCs/>
        </w:rPr>
        <w:t>4.履约能力分</w:t>
      </w:r>
    </w:p>
    <w:p>
      <w:pPr>
        <w:pStyle w:val="2"/>
        <w:ind w:firstLine="480" w:firstLineChars="200"/>
      </w:pPr>
      <w:r>
        <w:rPr>
          <w:rFonts w:hint="eastAsia"/>
        </w:rPr>
        <w:t>4.1考察投标人的信誉业绩、相关资质、认证证书等情况</w:t>
      </w:r>
    </w:p>
    <w:p>
      <w:pPr>
        <w:pStyle w:val="2"/>
        <w:ind w:firstLine="480" w:firstLineChars="200"/>
      </w:pPr>
      <w:r>
        <w:rPr>
          <w:rFonts w:hint="eastAsia"/>
        </w:rPr>
        <w:t>4.2区间5-15分</w:t>
      </w:r>
    </w:p>
    <w:p>
      <w:pPr>
        <w:pStyle w:val="2"/>
        <w:ind w:firstLine="482" w:firstLineChars="200"/>
        <w:rPr>
          <w:b/>
          <w:bCs/>
        </w:rPr>
      </w:pPr>
      <w:r>
        <w:rPr>
          <w:rFonts w:hint="eastAsia"/>
          <w:b/>
          <w:bCs/>
        </w:rPr>
        <w:t>5.产品特性分</w:t>
      </w:r>
    </w:p>
    <w:p>
      <w:pPr>
        <w:pStyle w:val="2"/>
        <w:ind w:firstLine="480" w:firstLineChars="200"/>
      </w:pPr>
      <w:r>
        <w:rPr>
          <w:rFonts w:hint="eastAsia"/>
        </w:rPr>
        <w:t>5.1主要考察投标人产品的节能环保认证等情况</w:t>
      </w:r>
    </w:p>
    <w:p>
      <w:pPr>
        <w:pStyle w:val="2"/>
        <w:ind w:firstLine="480" w:firstLineChars="200"/>
      </w:pPr>
      <w:r>
        <w:rPr>
          <w:rFonts w:hint="eastAsia"/>
        </w:rPr>
        <w:t>5.2区间1-3分</w:t>
      </w:r>
    </w:p>
    <w:p>
      <w:pPr>
        <w:pStyle w:val="2"/>
        <w:ind w:firstLine="482" w:firstLineChars="200"/>
        <w:rPr>
          <w:b/>
          <w:bCs/>
        </w:rPr>
      </w:pPr>
      <w:r>
        <w:rPr>
          <w:rFonts w:hint="eastAsia"/>
          <w:b/>
          <w:bCs/>
        </w:rPr>
        <w:t>6.其他分值</w:t>
      </w:r>
    </w:p>
    <w:p>
      <w:pPr>
        <w:pStyle w:val="2"/>
        <w:ind w:firstLine="480" w:firstLineChars="200"/>
      </w:pPr>
      <w:r>
        <w:rPr>
          <w:rFonts w:hint="eastAsia"/>
        </w:rPr>
        <w:t>6.1包括演示、样品或招标人认为需要的其他评分项目</w:t>
      </w:r>
    </w:p>
    <w:p>
      <w:pPr>
        <w:pStyle w:val="2"/>
        <w:ind w:firstLine="480" w:firstLineChars="200"/>
      </w:pPr>
      <w:r>
        <w:rPr>
          <w:rFonts w:hint="eastAsia"/>
        </w:rPr>
        <w:t>6.2区间10-15分</w:t>
      </w:r>
    </w:p>
    <w:p>
      <w:pPr>
        <w:pStyle w:val="2"/>
        <w:ind w:firstLine="480" w:firstLineChars="200"/>
      </w:pPr>
      <w:r>
        <w:rPr>
          <w:rFonts w:hint="eastAsia" w:cs="宋体"/>
        </w:rPr>
        <w:t>附件：评分模板</w:t>
      </w:r>
    </w:p>
    <w:sdt>
      <w:sdtPr>
        <w:rPr>
          <w:rFonts w:hint="eastAsia" w:ascii="宋体" w:hAnsi="宋体" w:cs="宋体"/>
          <w:color w:val="000000"/>
          <w:kern w:val="0"/>
          <w:sz w:val="24"/>
          <w:szCs w:val="24"/>
        </w:rPr>
        <w:id w:val="2068989185"/>
        <w:placeholder>
          <w:docPart w:val="DefaultPlaceholder_-1854013440"/>
        </w:placeholder>
      </w:sdtPr>
      <w:sdtEndPr>
        <w:rPr>
          <w:rFonts w:hint="default" w:ascii="Times New Roman" w:hAnsi="Times New Roman" w:cs="Times New Roman"/>
          <w:color w:val="000000"/>
          <w:kern w:val="0"/>
          <w:sz w:val="24"/>
          <w:szCs w:val="24"/>
        </w:rPr>
      </w:sdtEndPr>
      <w:sdtContent>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40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09" w:type="dxa"/>
                <w:vAlign w:val="center"/>
              </w:tcPr>
              <w:p>
                <w:pPr>
                  <w:spacing w:line="280" w:lineRule="exact"/>
                  <w:rPr>
                    <w:rFonts w:ascii="宋体" w:hAnsi="宋体" w:cs="宋体"/>
                  </w:rPr>
                </w:pPr>
                <w:r>
                  <w:rPr>
                    <w:rFonts w:hint="eastAsia" w:ascii="宋体" w:hAnsi="宋体" w:cs="宋体"/>
                  </w:rPr>
                  <w:t>序号</w:t>
                </w:r>
              </w:p>
            </w:tc>
            <w:tc>
              <w:tcPr>
                <w:tcW w:w="1418" w:type="dxa"/>
                <w:vAlign w:val="center"/>
              </w:tcPr>
              <w:p>
                <w:pPr>
                  <w:spacing w:line="280" w:lineRule="exact"/>
                  <w:rPr>
                    <w:rFonts w:ascii="宋体" w:hAnsi="宋体" w:cs="宋体"/>
                  </w:rPr>
                </w:pPr>
                <w:r>
                  <w:rPr>
                    <w:rFonts w:hint="eastAsia" w:ascii="宋体" w:hAnsi="宋体" w:cs="宋体"/>
                  </w:rPr>
                  <w:t>评分内容</w:t>
                </w:r>
              </w:p>
            </w:tc>
            <w:tc>
              <w:tcPr>
                <w:tcW w:w="6409" w:type="dxa"/>
                <w:vAlign w:val="center"/>
              </w:tcPr>
              <w:p>
                <w:pPr>
                  <w:spacing w:line="280" w:lineRule="exact"/>
                  <w:rPr>
                    <w:rFonts w:ascii="宋体" w:hAnsi="宋体" w:cs="宋体"/>
                  </w:rPr>
                </w:pPr>
                <w:r>
                  <w:rPr>
                    <w:rFonts w:hint="eastAsia" w:ascii="宋体" w:hAnsi="宋体" w:cs="宋体"/>
                  </w:rPr>
                  <w:t>评分标准</w:t>
                </w:r>
              </w:p>
            </w:tc>
            <w:tc>
              <w:tcPr>
                <w:tcW w:w="1088" w:type="dxa"/>
                <w:vAlign w:val="center"/>
              </w:tcPr>
              <w:p>
                <w:pPr>
                  <w:spacing w:line="280" w:lineRule="exact"/>
                  <w:rPr>
                    <w:rFonts w:ascii="宋体" w:hAnsi="宋体" w:cs="宋体"/>
                  </w:rPr>
                </w:pPr>
                <w:r>
                  <w:rPr>
                    <w:rFonts w:hint="eastAsia" w:ascii="宋体" w:hAnsi="宋体" w:cs="宋体"/>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09" w:type="dxa"/>
                <w:vAlign w:val="center"/>
              </w:tcPr>
              <w:p>
                <w:pPr>
                  <w:spacing w:line="280" w:lineRule="exact"/>
                  <w:rPr>
                    <w:rFonts w:ascii="宋体" w:hAnsi="宋体" w:cs="宋体"/>
                  </w:rPr>
                </w:pPr>
                <w:r>
                  <w:rPr>
                    <w:rFonts w:hint="eastAsia" w:ascii="宋体" w:hAnsi="宋体" w:cs="宋体"/>
                  </w:rPr>
                  <w:t>一</w:t>
                </w:r>
              </w:p>
            </w:tc>
            <w:tc>
              <w:tcPr>
                <w:tcW w:w="1418" w:type="dxa"/>
                <w:vAlign w:val="center"/>
              </w:tcPr>
              <w:p>
                <w:pPr>
                  <w:spacing w:line="280" w:lineRule="exact"/>
                  <w:rPr>
                    <w:rFonts w:ascii="宋体" w:hAnsi="宋体" w:cs="宋体"/>
                  </w:rPr>
                </w:pPr>
                <w:r>
                  <w:rPr>
                    <w:rFonts w:hint="eastAsia" w:ascii="宋体" w:hAnsi="宋体" w:cs="宋体"/>
                  </w:rPr>
                  <w:t>投标报价分</w:t>
                </w:r>
              </w:p>
              <w:p>
                <w:pPr>
                  <w:pStyle w:val="2"/>
                </w:pPr>
                <w:r>
                  <w:rPr>
                    <w:rFonts w:hint="eastAsia"/>
                  </w:rPr>
                  <w:t>（</w:t>
                </w:r>
                <w:r>
                  <w:rPr>
                    <w:rFonts w:hint="eastAsia"/>
                    <w:color w:val="FF0000"/>
                    <w:u w:val="single"/>
                    <w:lang w:val="en-US" w:eastAsia="zh-CN"/>
                  </w:rPr>
                  <w:t>20</w:t>
                </w:r>
                <w:r>
                  <w:rPr>
                    <w:rFonts w:hint="eastAsia"/>
                  </w:rPr>
                  <w:t>分）</w:t>
                </w:r>
              </w:p>
            </w:tc>
            <w:tc>
              <w:tcPr>
                <w:tcW w:w="6409" w:type="dxa"/>
                <w:vAlign w:val="center"/>
              </w:tcPr>
              <w:p>
                <w:pPr>
                  <w:snapToGrid w:val="0"/>
                  <w:spacing w:line="240" w:lineRule="atLeast"/>
                  <w:rPr>
                    <w:rFonts w:hAnsi="宋体"/>
                    <w:bCs/>
                  </w:rPr>
                </w:pPr>
                <w:r>
                  <w:rPr>
                    <w:rFonts w:hint="eastAsia" w:hAnsi="宋体"/>
                    <w:bCs/>
                    <w:lang w:val="en-US" w:eastAsia="zh-CN"/>
                  </w:rPr>
                  <w:t>1.</w:t>
                </w:r>
                <w:r>
                  <w:rPr>
                    <w:rFonts w:hint="eastAsia" w:hAnsi="宋体"/>
                    <w:bCs/>
                  </w:rPr>
                  <w:t>评标价为投标人的投标报价进行政策性扣除后的价格，评标价只是作为评标时使用。最终中标人的中标金额＝投标报价。</w:t>
                </w:r>
              </w:p>
              <w:p>
                <w:pPr>
                  <w:pStyle w:val="4"/>
                  <w:spacing w:line="400" w:lineRule="exact"/>
                  <w:outlineLvl w:val="0"/>
                  <w:rPr>
                    <w:rFonts w:ascii="新宋体" w:hAnsi="新宋体" w:eastAsia="新宋体" w:cs="新宋体"/>
                    <w:color w:val="000000"/>
                  </w:rPr>
                </w:pPr>
                <w:r>
                  <w:rPr>
                    <w:rFonts w:hint="eastAsia" w:hAnsi="宋体" w:eastAsia="新宋体"/>
                    <w:bCs/>
                    <w:lang w:val="en-US" w:eastAsia="zh-CN"/>
                  </w:rPr>
                  <w:t>2.</w:t>
                </w:r>
                <w:r>
                  <w:rPr>
                    <w:rStyle w:val="17"/>
                    <w:rFonts w:hint="default" w:ascii="新宋体" w:hAnsi="新宋体" w:eastAsia="新宋体" w:cs="新宋体"/>
                  </w:rPr>
                  <w:t>价格分应当采用低价优先法计算，即满足磋商</w:t>
                </w:r>
                <w:bookmarkStart w:id="0" w:name="_Toc3729"/>
                <w:bookmarkStart w:id="1" w:name="_Toc24090"/>
                <w:r>
                  <w:rPr>
                    <w:rStyle w:val="17"/>
                    <w:rFonts w:hint="default" w:ascii="新宋体" w:hAnsi="新宋体" w:eastAsia="新宋体" w:cs="新宋体"/>
                  </w:rPr>
                  <w:t>文件要求且磋商价格最低的磋商报价为评标基价，其价格分为满分。其他投标人的价格分统一按照下列公示计算：</w:t>
                </w:r>
                <w:bookmarkEnd w:id="0"/>
                <w:bookmarkEnd w:id="1"/>
              </w:p>
              <w:p>
                <w:pPr>
                  <w:pStyle w:val="4"/>
                  <w:spacing w:line="400" w:lineRule="exact"/>
                  <w:ind w:left="241" w:hanging="241" w:hangingChars="100"/>
                  <w:outlineLvl w:val="0"/>
                  <w:rPr>
                    <w:rFonts w:hAnsi="宋体" w:cs="宋体"/>
                  </w:rPr>
                </w:pPr>
                <w:bookmarkStart w:id="2" w:name="_Toc19127"/>
                <w:bookmarkStart w:id="3" w:name="_Toc18720"/>
                <w:r>
                  <w:rPr>
                    <w:rStyle w:val="17"/>
                    <w:rFonts w:hint="default" w:ascii="新宋体" w:hAnsi="新宋体" w:eastAsia="新宋体" w:cs="新宋体"/>
                    <w:b/>
                  </w:rPr>
                  <w:t>磋商报价得分=（评标基准价/磋商报价）×</w:t>
                </w:r>
                <w:bookmarkEnd w:id="2"/>
                <w:bookmarkEnd w:id="3"/>
                <w:r>
                  <w:rPr>
                    <w:rStyle w:val="17"/>
                    <w:rFonts w:hint="default" w:ascii="新宋体" w:hAnsi="新宋体" w:eastAsia="新宋体" w:cs="新宋体"/>
                    <w:b/>
                    <w:highlight w:val="yellow"/>
                  </w:rPr>
                  <w:t>投标报价分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09" w:type="dxa"/>
                <w:vAlign w:val="center"/>
              </w:tcPr>
              <w:p>
                <w:pPr>
                  <w:spacing w:line="280" w:lineRule="exact"/>
                  <w:rPr>
                    <w:rFonts w:ascii="宋体" w:hAnsi="宋体" w:cs="宋体"/>
                  </w:rPr>
                </w:pPr>
                <w:r>
                  <w:rPr>
                    <w:rFonts w:hint="eastAsia" w:ascii="宋体" w:hAnsi="宋体" w:cs="宋体"/>
                  </w:rPr>
                  <w:t>二</w:t>
                </w:r>
              </w:p>
            </w:tc>
            <w:tc>
              <w:tcPr>
                <w:tcW w:w="1418" w:type="dxa"/>
                <w:vAlign w:val="center"/>
              </w:tcPr>
              <w:p>
                <w:pPr>
                  <w:spacing w:line="280" w:lineRule="exact"/>
                  <w:rPr>
                    <w:rFonts w:ascii="宋体" w:hAnsi="宋体" w:cs="宋体"/>
                  </w:rPr>
                </w:pPr>
                <w:r>
                  <w:rPr>
                    <w:rFonts w:hint="eastAsia" w:ascii="宋体" w:hAnsi="宋体" w:cs="宋体"/>
                  </w:rPr>
                  <w:t>技术质量分（</w:t>
                </w:r>
                <w:r>
                  <w:rPr>
                    <w:rFonts w:hint="eastAsia" w:ascii="宋体" w:hAnsi="宋体" w:cs="宋体"/>
                    <w:color w:val="FF0000"/>
                    <w:u w:val="single"/>
                    <w:lang w:val="en-US" w:eastAsia="zh-CN"/>
                  </w:rPr>
                  <w:t>20</w:t>
                </w:r>
                <w:r>
                  <w:rPr>
                    <w:rFonts w:hint="eastAsia" w:ascii="宋体" w:hAnsi="宋体" w:cs="宋体"/>
                  </w:rPr>
                  <w:t>分）</w:t>
                </w:r>
              </w:p>
            </w:tc>
            <w:tc>
              <w:tcPr>
                <w:tcW w:w="6409" w:type="dxa"/>
                <w:vAlign w:val="center"/>
              </w:tcPr>
              <w:p>
                <w:pPr>
                  <w:spacing w:line="280" w:lineRule="exact"/>
                  <w:rPr>
                    <w:rFonts w:ascii="宋体" w:hAnsi="宋体" w:cs="宋体"/>
                    <w:color w:val="auto"/>
                    <w:sz w:val="21"/>
                    <w:szCs w:val="21"/>
                  </w:rPr>
                </w:pPr>
                <w:r>
                  <w:rPr>
                    <w:rFonts w:hint="eastAsia" w:ascii="宋体" w:hAnsi="宋体" w:cs="宋体"/>
                    <w:color w:val="auto"/>
                    <w:sz w:val="21"/>
                    <w:szCs w:val="21"/>
                  </w:rPr>
                  <w:t>完全符合采购文件技术要求无负偏离得</w:t>
                </w:r>
                <w:r>
                  <w:rPr>
                    <w:rFonts w:hint="eastAsia" w:ascii="宋体" w:hAnsi="宋体" w:cs="宋体"/>
                    <w:color w:val="auto"/>
                    <w:sz w:val="21"/>
                    <w:szCs w:val="21"/>
                    <w:u w:val="single"/>
                    <w:lang w:val="en-US" w:eastAsia="zh-CN"/>
                  </w:rPr>
                  <w:t>20</w:t>
                </w:r>
                <w:r>
                  <w:rPr>
                    <w:rFonts w:hint="eastAsia" w:ascii="宋体" w:hAnsi="宋体" w:cs="宋体"/>
                    <w:color w:val="auto"/>
                    <w:sz w:val="21"/>
                    <w:szCs w:val="21"/>
                    <w:u w:val="single"/>
                  </w:rPr>
                  <w:t xml:space="preserve"> </w:t>
                </w:r>
                <w:r>
                  <w:rPr>
                    <w:rFonts w:hint="eastAsia" w:ascii="宋体" w:hAnsi="宋体" w:cs="宋体"/>
                    <w:color w:val="auto"/>
                    <w:sz w:val="21"/>
                    <w:szCs w:val="21"/>
                  </w:rPr>
                  <w:t>分。 打★号重要参数不得有负偏离，如有，则废标；</w:t>
                </w:r>
              </w:p>
              <w:p>
                <w:pPr>
                  <w:spacing w:line="280" w:lineRule="exact"/>
                  <w:rPr>
                    <w:rFonts w:hint="eastAsia" w:ascii="宋体" w:hAnsi="宋体" w:cs="宋体"/>
                    <w:sz w:val="21"/>
                    <w:szCs w:val="21"/>
                  </w:rPr>
                </w:pPr>
                <w:r>
                  <w:rPr>
                    <w:rFonts w:hint="eastAsia" w:ascii="宋体" w:hAnsi="宋体" w:cs="宋体"/>
                    <w:sz w:val="21"/>
                    <w:szCs w:val="21"/>
                  </w:rPr>
                  <w:t>1. 对应于招标文件第</w:t>
                </w:r>
                <w:r>
                  <w:rPr>
                    <w:rFonts w:hint="eastAsia" w:ascii="宋体" w:hAnsi="宋体" w:cs="宋体"/>
                    <w:sz w:val="21"/>
                    <w:szCs w:val="21"/>
                    <w:lang w:eastAsia="zh-CN"/>
                  </w:rPr>
                  <w:t>三</w:t>
                </w:r>
                <w:r>
                  <w:rPr>
                    <w:rFonts w:hint="eastAsia" w:ascii="宋体" w:hAnsi="宋体" w:cs="宋体"/>
                    <w:sz w:val="21"/>
                    <w:szCs w:val="21"/>
                  </w:rPr>
                  <w:t>章采购需求，“二、服务内容”的响应符合度，</w:t>
                </w:r>
              </w:p>
              <w:p>
                <w:pPr>
                  <w:spacing w:line="280" w:lineRule="exact"/>
                  <w:rPr>
                    <w:rFonts w:hint="eastAsia" w:ascii="宋体" w:hAnsi="宋体" w:cs="宋体"/>
                    <w:sz w:val="21"/>
                    <w:szCs w:val="21"/>
                  </w:rPr>
                </w:pPr>
                <w:r>
                  <w:rPr>
                    <w:rFonts w:hint="eastAsia" w:ascii="宋体" w:hAnsi="宋体" w:cs="宋体"/>
                    <w:sz w:val="21"/>
                    <w:szCs w:val="21"/>
                  </w:rPr>
                  <w:t>全部符合得 10 分，其中▲不允许有负偏离，不带▲的每有一项负偏离扣 2 分，扣完为止。</w:t>
                </w:r>
              </w:p>
              <w:p>
                <w:pPr>
                  <w:pStyle w:val="2"/>
                  <w:numPr>
                    <w:ilvl w:val="0"/>
                    <w:numId w:val="0"/>
                  </w:numPr>
                  <w:rPr>
                    <w:rFonts w:ascii="宋体" w:hAnsi="宋体" w:cs="宋体"/>
                  </w:rPr>
                </w:pPr>
                <w:r>
                  <w:rPr>
                    <w:rFonts w:hint="eastAsia" w:ascii="宋体" w:hAnsi="宋体" w:cs="宋体"/>
                    <w:sz w:val="21"/>
                    <w:szCs w:val="21"/>
                  </w:rPr>
                  <w:t>2.对应于招标文件第</w:t>
                </w:r>
                <w:r>
                  <w:rPr>
                    <w:rFonts w:hint="eastAsia" w:ascii="宋体" w:hAnsi="宋体" w:cs="宋体"/>
                    <w:sz w:val="21"/>
                    <w:szCs w:val="21"/>
                    <w:lang w:eastAsia="zh-CN"/>
                  </w:rPr>
                  <w:t>三</w:t>
                </w:r>
                <w:r>
                  <w:rPr>
                    <w:rFonts w:hint="eastAsia" w:ascii="宋体" w:hAnsi="宋体" w:cs="宋体"/>
                    <w:sz w:val="21"/>
                    <w:szCs w:val="21"/>
                  </w:rPr>
                  <w:t>章采购需求，“附件 1：须投入的仪器设备清单与主要设备技术要求”的响应符合度，全部符合得 1</w:t>
                </w:r>
                <w:r>
                  <w:rPr>
                    <w:rFonts w:hint="eastAsia" w:ascii="宋体" w:hAnsi="宋体" w:cs="宋体"/>
                    <w:sz w:val="21"/>
                    <w:szCs w:val="21"/>
                    <w:lang w:val="en-US" w:eastAsia="zh-CN"/>
                  </w:rPr>
                  <w:t>0</w:t>
                </w:r>
                <w:r>
                  <w:rPr>
                    <w:rFonts w:hint="eastAsia" w:ascii="宋体" w:hAnsi="宋体" w:cs="宋体"/>
                    <w:sz w:val="21"/>
                    <w:szCs w:val="21"/>
                  </w:rPr>
                  <w:t xml:space="preserve"> 分，其中▲不允许有负偏离，不带▲的每有一项负偏离扣 2 分，扣完为止。</w:t>
                </w:r>
              </w:p>
            </w:tc>
            <w:tc>
              <w:tcPr>
                <w:tcW w:w="1088" w:type="dxa"/>
                <w:vAlign w:val="center"/>
              </w:tcPr>
              <w:p>
                <w:pPr>
                  <w:tabs>
                    <w:tab w:val="left" w:pos="624"/>
                    <w:tab w:val="left" w:pos="1361"/>
                    <w:tab w:val="left" w:pos="2041"/>
                  </w:tabs>
                  <w:spacing w:after="120"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709" w:type="dxa"/>
                <w:vAlign w:val="center"/>
              </w:tcPr>
              <w:p>
                <w:pPr>
                  <w:spacing w:line="280" w:lineRule="exact"/>
                  <w:rPr>
                    <w:rFonts w:ascii="宋体" w:hAnsi="宋体" w:cs="宋体"/>
                  </w:rPr>
                </w:pPr>
                <w:r>
                  <w:rPr>
                    <w:rFonts w:hint="eastAsia" w:ascii="宋体" w:hAnsi="宋体" w:cs="宋体"/>
                  </w:rPr>
                  <w:t>三</w:t>
                </w:r>
              </w:p>
            </w:tc>
            <w:tc>
              <w:tcPr>
                <w:tcW w:w="1418" w:type="dxa"/>
                <w:vAlign w:val="center"/>
              </w:tcPr>
              <w:p>
                <w:pPr>
                  <w:jc w:val="left"/>
                  <w:rPr>
                    <w:rFonts w:ascii="宋体" w:hAnsi="宋体" w:cs="宋体"/>
                    <w:bCs/>
                    <w:color w:val="000000"/>
                    <w:spacing w:val="10"/>
                    <w:kern w:val="0"/>
                  </w:rPr>
                </w:pPr>
                <w:r>
                  <w:rPr>
                    <w:rFonts w:hint="eastAsia"/>
                    <w:bCs/>
                    <w:color w:val="000000"/>
                  </w:rPr>
                  <w:t>服务承诺 分（</w:t>
                </w:r>
                <w:r>
                  <w:rPr>
                    <w:rFonts w:hint="eastAsia" w:hAnsi="宋体"/>
                    <w:color w:val="FF0000"/>
                    <w:u w:val="single"/>
                    <w:lang w:val="en-US" w:eastAsia="zh-CN"/>
                  </w:rPr>
                  <w:t>10</w:t>
                </w:r>
                <w:r>
                  <w:rPr>
                    <w:rFonts w:hAnsi="宋体"/>
                    <w:color w:val="FF0000"/>
                    <w:u w:val="single"/>
                  </w:rPr>
                  <w:t xml:space="preserve"> </w:t>
                </w:r>
                <w:r>
                  <w:rPr>
                    <w:rFonts w:hint="eastAsia" w:hAnsi="宋体"/>
                    <w:color w:val="000000"/>
                  </w:rPr>
                  <w:t>分</w:t>
                </w:r>
                <w:r>
                  <w:rPr>
                    <w:rFonts w:hint="eastAsia"/>
                    <w:bCs/>
                    <w:color w:val="000000"/>
                  </w:rPr>
                  <w:t>）</w:t>
                </w:r>
              </w:p>
            </w:tc>
            <w:tc>
              <w:tcPr>
                <w:tcW w:w="6409" w:type="dxa"/>
                <w:vAlign w:val="center"/>
              </w:tcPr>
              <w:p>
                <w:pPr>
                  <w:adjustRightInd w:val="0"/>
                  <w:spacing w:line="360" w:lineRule="exact"/>
                  <w:ind w:firstLine="420" w:firstLineChars="200"/>
                  <w:textAlignment w:val="baseline"/>
                  <w:rPr>
                    <w:rFonts w:hint="eastAsia" w:ascii="宋体" w:hAnsi="宋体" w:cs="宋体"/>
                  </w:rPr>
                </w:pPr>
                <w:r>
                  <w:rPr>
                    <w:rFonts w:hint="eastAsia" w:ascii="宋体" w:hAnsi="宋体" w:cs="宋体"/>
                  </w:rPr>
                  <w:t>由评委根据投标人针对招标人招标条件作出的承诺内容进行综合评定。（满分</w:t>
                </w:r>
                <w:r>
                  <w:rPr>
                    <w:rFonts w:hint="eastAsia" w:ascii="宋体" w:hAnsi="宋体" w:cs="宋体"/>
                    <w:lang w:val="en-US" w:eastAsia="zh-CN"/>
                  </w:rPr>
                  <w:t>10</w:t>
                </w:r>
                <w:r>
                  <w:rPr>
                    <w:rFonts w:hint="eastAsia" w:ascii="宋体" w:hAnsi="宋体" w:cs="宋体"/>
                  </w:rPr>
                  <w:t xml:space="preserve"> 分）</w:t>
                </w:r>
              </w:p>
              <w:p>
                <w:pPr>
                  <w:adjustRightInd w:val="0"/>
                  <w:spacing w:line="360" w:lineRule="exact"/>
                  <w:ind w:firstLine="420" w:firstLineChars="200"/>
                  <w:textAlignment w:val="baseline"/>
                  <w:rPr>
                    <w:rFonts w:hint="eastAsia" w:ascii="宋体" w:hAnsi="宋体" w:cs="宋体"/>
                  </w:rPr>
                </w:pPr>
                <w:r>
                  <w:rPr>
                    <w:rFonts w:hint="eastAsia" w:ascii="宋体" w:hAnsi="宋体" w:cs="宋体"/>
                  </w:rPr>
                  <w:t>一档（4 分）：投标人售后服务方案基本满足招标要求。</w:t>
                </w:r>
              </w:p>
              <w:p>
                <w:pPr>
                  <w:adjustRightInd w:val="0"/>
                  <w:spacing w:line="360" w:lineRule="exact"/>
                  <w:ind w:firstLine="420" w:firstLineChars="200"/>
                  <w:textAlignment w:val="baseline"/>
                  <w:rPr>
                    <w:rFonts w:hint="eastAsia" w:ascii="宋体" w:hAnsi="宋体" w:cs="宋体"/>
                  </w:rPr>
                </w:pPr>
                <w:r>
                  <w:rPr>
                    <w:rFonts w:hint="eastAsia" w:ascii="宋体" w:hAnsi="宋体" w:cs="宋体"/>
                  </w:rPr>
                  <w:t>二档（</w:t>
                </w:r>
                <w:r>
                  <w:rPr>
                    <w:rFonts w:hint="eastAsia" w:ascii="宋体" w:hAnsi="宋体" w:cs="宋体"/>
                    <w:lang w:val="en-US" w:eastAsia="zh-CN"/>
                  </w:rPr>
                  <w:t>7</w:t>
                </w:r>
                <w:r>
                  <w:rPr>
                    <w:rFonts w:hint="eastAsia" w:ascii="宋体" w:hAnsi="宋体" w:cs="宋体"/>
                  </w:rPr>
                  <w:t xml:space="preserve"> 分）：投标人服务方案良好，服务承诺、本项目实验平台与检测相关的主要仪器设备、实验室技术服务与管理支持方案、服务质量控制方案与标准、各项服务保障措施、应急措施等内容满足招标文件要求。</w:t>
                </w:r>
              </w:p>
              <w:p>
                <w:pPr>
                  <w:adjustRightInd w:val="0"/>
                  <w:spacing w:line="360" w:lineRule="exact"/>
                  <w:ind w:firstLine="420" w:firstLineChars="200"/>
                  <w:textAlignment w:val="baseline"/>
                  <w:rPr>
                    <w:rFonts w:ascii="宋体" w:hAnsi="宋体" w:cs="宋体"/>
                  </w:rPr>
                </w:pPr>
                <w:r>
                  <w:rPr>
                    <w:rFonts w:hint="eastAsia" w:ascii="宋体" w:hAnsi="宋体" w:cs="宋体"/>
                  </w:rPr>
                  <w:t>三档（1</w:t>
                </w:r>
                <w:r>
                  <w:rPr>
                    <w:rFonts w:hint="eastAsia" w:ascii="宋体" w:hAnsi="宋体" w:cs="宋体"/>
                    <w:lang w:val="en-US" w:eastAsia="zh-CN"/>
                  </w:rPr>
                  <w:t>0</w:t>
                </w:r>
                <w:r>
                  <w:rPr>
                    <w:rFonts w:hint="eastAsia" w:ascii="宋体" w:hAnsi="宋体" w:cs="宋体"/>
                  </w:rPr>
                  <w:t xml:space="preserve"> 分）：投标人服务方案优秀，根据项目需求的理解与分析的结论，提供整个项目的服务，实施流程，时间与人员安排工作、本项目实验平台与检测相关的主要仪器设备，提供设备的品牌、型号、具体性能参数，以保障项目正常运行要求、实验室技术服务与管理支持方案，协助科室的日常运营管理工作、服务质量控制方案与标准、各项服务保障措施、应急措施、售后服务方案（售后服务响应时间在 1 小时内），包括售后支持团队，故障解决方案（一般故障排除时间 12 小时内，严重故障一般不超过 48 小时），有效地解决采购人的问题和需求等内容完全满足招标文件要求</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709" w:type="dxa"/>
                <w:vAlign w:val="center"/>
              </w:tcPr>
              <w:p>
                <w:pPr>
                  <w:spacing w:line="280" w:lineRule="exact"/>
                  <w:rPr>
                    <w:rFonts w:hint="eastAsia" w:ascii="宋体" w:hAnsi="宋体" w:eastAsia="宋体" w:cs="宋体"/>
                    <w:lang w:eastAsia="zh-CN"/>
                  </w:rPr>
                </w:pPr>
                <w:r>
                  <w:rPr>
                    <w:rFonts w:hint="eastAsia" w:ascii="宋体" w:hAnsi="宋体" w:cs="宋体"/>
                    <w:lang w:eastAsia="zh-CN"/>
                  </w:rPr>
                  <w:t>四</w:t>
                </w:r>
              </w:p>
            </w:tc>
            <w:tc>
              <w:tcPr>
                <w:tcW w:w="1418" w:type="dxa"/>
                <w:vAlign w:val="center"/>
              </w:tcPr>
              <w:p>
                <w:pPr>
                  <w:jc w:val="left"/>
                  <w:rPr>
                    <w:rFonts w:hint="eastAsia"/>
                    <w:bCs/>
                    <w:color w:val="000000"/>
                  </w:rPr>
                </w:pPr>
                <w:r>
                  <w:rPr>
                    <w:rFonts w:hint="eastAsia"/>
                    <w:bCs/>
                    <w:color w:val="000000"/>
                    <w:lang w:eastAsia="zh-CN"/>
                  </w:rPr>
                  <w:t>学</w:t>
                </w:r>
                <w:r>
                  <w:rPr>
                    <w:rFonts w:hint="eastAsia"/>
                    <w:bCs/>
                    <w:color w:val="000000"/>
                  </w:rPr>
                  <w:t>科建设</w:t>
                </w:r>
                <w:r>
                  <w:rPr>
                    <w:rFonts w:hint="eastAsia"/>
                    <w:bCs/>
                    <w:color w:val="000000"/>
                    <w:lang w:eastAsia="zh-CN"/>
                  </w:rPr>
                  <w:t>分</w:t>
                </w:r>
                <w:r>
                  <w:rPr>
                    <w:rFonts w:hint="eastAsia"/>
                    <w:bCs/>
                    <w:color w:val="000000"/>
                  </w:rPr>
                  <w:t>（</w:t>
                </w:r>
                <w:r>
                  <w:rPr>
                    <w:rFonts w:hint="eastAsia"/>
                    <w:bCs/>
                    <w:color w:val="FF0000"/>
                    <w:shd w:val="clear"/>
                  </w:rPr>
                  <w:t>1</w:t>
                </w:r>
                <w:r>
                  <w:rPr>
                    <w:rFonts w:hint="eastAsia"/>
                    <w:bCs/>
                    <w:color w:val="FF0000"/>
                    <w:shd w:val="clear"/>
                    <w:lang w:val="en-US" w:eastAsia="zh-CN"/>
                  </w:rPr>
                  <w:t>0</w:t>
                </w:r>
                <w:r>
                  <w:rPr>
                    <w:rFonts w:hint="eastAsia"/>
                    <w:bCs/>
                    <w:color w:val="FF0000"/>
                    <w:shd w:val="clear"/>
                  </w:rPr>
                  <w:t xml:space="preserve"> </w:t>
                </w:r>
                <w:r>
                  <w:rPr>
                    <w:rFonts w:hint="eastAsia"/>
                    <w:bCs/>
                    <w:color w:val="000000"/>
                  </w:rPr>
                  <w:t>分）</w:t>
                </w:r>
              </w:p>
              <w:p>
                <w:pPr>
                  <w:jc w:val="left"/>
                  <w:rPr>
                    <w:rFonts w:hint="eastAsia"/>
                    <w:bCs/>
                    <w:color w:val="000000"/>
                  </w:rPr>
                </w:pPr>
              </w:p>
            </w:tc>
            <w:tc>
              <w:tcPr>
                <w:tcW w:w="6409" w:type="dxa"/>
                <w:vAlign w:val="center"/>
              </w:tcPr>
              <w:p>
                <w:pPr>
                  <w:adjustRightInd w:val="0"/>
                  <w:spacing w:line="360" w:lineRule="exact"/>
                  <w:textAlignment w:val="baseline"/>
                  <w:rPr>
                    <w:rFonts w:hint="eastAsia" w:ascii="宋体" w:hAnsi="宋体" w:cs="宋体"/>
                  </w:rPr>
                </w:pPr>
                <w:r>
                  <w:rPr>
                    <w:rFonts w:hint="eastAsia" w:ascii="宋体" w:hAnsi="宋体" w:cs="宋体"/>
                    <w:lang w:val="en-US" w:eastAsia="zh-CN"/>
                  </w:rPr>
                  <w:t>1.</w:t>
                </w:r>
                <w:r>
                  <w:rPr>
                    <w:rFonts w:hint="eastAsia" w:ascii="宋体" w:hAnsi="宋体" w:cs="宋体"/>
                  </w:rPr>
                  <w:t>学科建设方案</w:t>
                </w:r>
                <w:r>
                  <w:rPr>
                    <w:rFonts w:hint="eastAsia" w:ascii="宋体" w:hAnsi="宋体" w:cs="宋体"/>
                    <w:lang w:eastAsia="zh-CN"/>
                  </w:rPr>
                  <w:t>得分</w:t>
                </w:r>
                <w:r>
                  <w:rPr>
                    <w:rFonts w:hint="eastAsia" w:ascii="宋体" w:hAnsi="宋体" w:cs="宋体"/>
                  </w:rPr>
                  <w:t xml:space="preserve">，（满分 </w:t>
                </w:r>
                <w:r>
                  <w:rPr>
                    <w:rFonts w:hint="eastAsia" w:ascii="宋体" w:hAnsi="宋体" w:cs="宋体"/>
                    <w:lang w:val="en-US" w:eastAsia="zh-CN"/>
                  </w:rPr>
                  <w:t>10</w:t>
                </w:r>
                <w:r>
                  <w:rPr>
                    <w:rFonts w:hint="eastAsia" w:ascii="宋体" w:hAnsi="宋体" w:cs="宋体"/>
                  </w:rPr>
                  <w:t xml:space="preserve"> 分）。</w:t>
                </w:r>
              </w:p>
              <w:p>
                <w:pPr>
                  <w:adjustRightInd w:val="0"/>
                  <w:spacing w:line="360" w:lineRule="exact"/>
                  <w:textAlignment w:val="baseline"/>
                  <w:rPr>
                    <w:rFonts w:hint="eastAsia" w:ascii="宋体" w:hAnsi="宋体" w:cs="宋体"/>
                  </w:rPr>
                </w:pPr>
                <w:r>
                  <w:rPr>
                    <w:rFonts w:hint="eastAsia" w:ascii="宋体" w:hAnsi="宋体" w:cs="宋体"/>
                  </w:rPr>
                  <w:t>一档（</w:t>
                </w:r>
                <w:r>
                  <w:rPr>
                    <w:rFonts w:hint="eastAsia" w:ascii="宋体" w:hAnsi="宋体" w:cs="宋体"/>
                    <w:lang w:val="en-US" w:eastAsia="zh-CN"/>
                  </w:rPr>
                  <w:t>2</w:t>
                </w:r>
                <w:r>
                  <w:rPr>
                    <w:rFonts w:hint="eastAsia" w:ascii="宋体" w:hAnsi="宋体" w:cs="宋体"/>
                  </w:rPr>
                  <w:t xml:space="preserve"> 分）：提供临床药学学科建设</w:t>
                </w:r>
                <w:r>
                  <w:rPr>
                    <w:rFonts w:hint="eastAsia" w:ascii="宋体" w:hAnsi="宋体" w:cs="宋体"/>
                    <w:lang w:eastAsia="zh-CN"/>
                  </w:rPr>
                  <w:t>（</w:t>
                </w:r>
                <w:r>
                  <w:rPr>
                    <w:rFonts w:hint="eastAsia" w:ascii="宋体" w:hAnsi="宋体" w:cs="宋体"/>
                  </w:rPr>
                  <w:t>包括学科建设、人才培养、科研合作方案</w:t>
                </w:r>
                <w:r>
                  <w:rPr>
                    <w:rFonts w:hint="eastAsia" w:ascii="宋体" w:hAnsi="宋体" w:cs="宋体"/>
                    <w:lang w:eastAsia="zh-CN"/>
                  </w:rPr>
                  <w:t>）</w:t>
                </w:r>
                <w:r>
                  <w:rPr>
                    <w:rFonts w:hint="eastAsia" w:ascii="宋体" w:hAnsi="宋体" w:cs="宋体"/>
                  </w:rPr>
                  <w:t>，方案描述完整简单，基本满足项目需求；</w:t>
                </w:r>
              </w:p>
              <w:p>
                <w:pPr>
                  <w:adjustRightInd w:val="0"/>
                  <w:spacing w:line="360" w:lineRule="exact"/>
                  <w:textAlignment w:val="baseline"/>
                  <w:rPr>
                    <w:rFonts w:hint="eastAsia" w:ascii="宋体" w:hAnsi="宋体" w:cs="宋体"/>
                  </w:rPr>
                </w:pPr>
                <w:r>
                  <w:rPr>
                    <w:rFonts w:hint="eastAsia" w:ascii="宋体" w:hAnsi="宋体" w:cs="宋体"/>
                  </w:rPr>
                  <w:t>二档（</w:t>
                </w:r>
                <w:r>
                  <w:rPr>
                    <w:rFonts w:hint="eastAsia" w:ascii="宋体" w:hAnsi="宋体" w:cs="宋体"/>
                    <w:lang w:val="en-US" w:eastAsia="zh-CN"/>
                  </w:rPr>
                  <w:t>6</w:t>
                </w:r>
                <w:r>
                  <w:rPr>
                    <w:rFonts w:hint="eastAsia" w:ascii="宋体" w:hAnsi="宋体" w:cs="宋体"/>
                  </w:rPr>
                  <w:t xml:space="preserve"> 分）：提供临床药学学科建设</w:t>
                </w:r>
                <w:r>
                  <w:rPr>
                    <w:rFonts w:hint="eastAsia" w:ascii="宋体" w:hAnsi="宋体" w:cs="宋体"/>
                    <w:lang w:eastAsia="zh-CN"/>
                  </w:rPr>
                  <w:t>（</w:t>
                </w:r>
                <w:r>
                  <w:rPr>
                    <w:rFonts w:hint="eastAsia" w:ascii="宋体" w:hAnsi="宋体" w:cs="宋体"/>
                  </w:rPr>
                  <w:t>包括学科建设、人才培养、科研合作方案、临床试验项目</w:t>
                </w:r>
                <w:r>
                  <w:rPr>
                    <w:rFonts w:hint="eastAsia" w:ascii="宋体" w:hAnsi="宋体" w:cs="宋体"/>
                    <w:lang w:eastAsia="zh-CN"/>
                  </w:rPr>
                  <w:t>）</w:t>
                </w:r>
                <w:r>
                  <w:rPr>
                    <w:rFonts w:hint="eastAsia" w:ascii="宋体" w:hAnsi="宋体" w:cs="宋体"/>
                  </w:rPr>
                  <w:t>，方案较完整详细，能满足项目需求且方案较为可行；</w:t>
                </w:r>
              </w:p>
              <w:p>
                <w:pPr>
                  <w:adjustRightInd w:val="0"/>
                  <w:spacing w:line="360" w:lineRule="exact"/>
                  <w:textAlignment w:val="baseline"/>
                  <w:rPr>
                    <w:rFonts w:hint="eastAsia" w:ascii="宋体" w:hAnsi="宋体" w:cs="宋体"/>
                  </w:rPr>
                </w:pPr>
                <w:r>
                  <w:rPr>
                    <w:rFonts w:hint="eastAsia" w:ascii="宋体" w:hAnsi="宋体" w:cs="宋体"/>
                  </w:rPr>
                  <w:t>三档（</w:t>
                </w:r>
                <w:r>
                  <w:rPr>
                    <w:rFonts w:hint="eastAsia" w:ascii="宋体" w:hAnsi="宋体" w:cs="宋体"/>
                    <w:lang w:val="en-US" w:eastAsia="zh-CN"/>
                  </w:rPr>
                  <w:t>10</w:t>
                </w:r>
                <w:r>
                  <w:rPr>
                    <w:rFonts w:hint="eastAsia" w:ascii="宋体" w:hAnsi="宋体" w:cs="宋体"/>
                  </w:rPr>
                  <w:t>分）：提供临床药学学科建设</w:t>
                </w:r>
                <w:r>
                  <w:rPr>
                    <w:rFonts w:hint="eastAsia" w:ascii="宋体" w:hAnsi="宋体" w:cs="宋体"/>
                    <w:lang w:eastAsia="zh-CN"/>
                  </w:rPr>
                  <w:t>（</w:t>
                </w:r>
                <w:r>
                  <w:rPr>
                    <w:rFonts w:hint="eastAsia" w:ascii="宋体" w:hAnsi="宋体" w:cs="宋体"/>
                  </w:rPr>
                  <w:t>学科建设、人才培养、科研合作方案、临床试验项目、培训基地</w:t>
                </w:r>
                <w:r>
                  <w:rPr>
                    <w:rFonts w:hint="eastAsia" w:ascii="宋体" w:hAnsi="宋体" w:cs="宋体"/>
                    <w:lang w:eastAsia="zh-CN"/>
                  </w:rPr>
                  <w:t>）</w:t>
                </w:r>
                <w:r>
                  <w:rPr>
                    <w:rFonts w:hint="eastAsia" w:ascii="宋体" w:hAnsi="宋体" w:cs="宋体"/>
                  </w:rPr>
                  <w:t>，方案描述完整详细，有针对性，完全满足项目需求且方案可行性强</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709" w:type="dxa"/>
                <w:vAlign w:val="center"/>
              </w:tcPr>
              <w:p>
                <w:pPr>
                  <w:spacing w:line="280" w:lineRule="exact"/>
                  <w:rPr>
                    <w:rFonts w:hint="eastAsia" w:ascii="宋体" w:hAnsi="宋体" w:eastAsia="宋体" w:cs="宋体"/>
                    <w:lang w:eastAsia="zh-CN"/>
                  </w:rPr>
                </w:pPr>
                <w:r>
                  <w:rPr>
                    <w:rFonts w:hint="eastAsia" w:ascii="宋体" w:hAnsi="宋体" w:cs="宋体"/>
                    <w:lang w:eastAsia="zh-CN"/>
                  </w:rPr>
                  <w:t>五</w:t>
                </w:r>
              </w:p>
            </w:tc>
            <w:tc>
              <w:tcPr>
                <w:tcW w:w="1418" w:type="dxa"/>
                <w:vAlign w:val="center"/>
              </w:tcPr>
              <w:p>
                <w:pPr>
                  <w:jc w:val="left"/>
                  <w:rPr>
                    <w:bCs/>
                    <w:color w:val="000000"/>
                  </w:rPr>
                </w:pPr>
                <w:r>
                  <w:rPr>
                    <w:rFonts w:hint="eastAsia"/>
                    <w:bCs/>
                    <w:color w:val="000000"/>
                  </w:rPr>
                  <w:t>商务分（</w:t>
                </w:r>
                <w:r>
                  <w:rPr>
                    <w:rFonts w:hint="eastAsia"/>
                    <w:bCs/>
                    <w:color w:val="FF0000"/>
                    <w:u w:val="single"/>
                    <w:lang w:val="en-US" w:eastAsia="zh-CN"/>
                  </w:rPr>
                  <w:t>10</w:t>
                </w:r>
                <w:r>
                  <w:rPr>
                    <w:bCs/>
                    <w:color w:val="FF0000"/>
                    <w:u w:val="single"/>
                  </w:rPr>
                  <w:t xml:space="preserve"> </w:t>
                </w:r>
                <w:r>
                  <w:rPr>
                    <w:rFonts w:hint="eastAsia"/>
                    <w:bCs/>
                    <w:color w:val="000000"/>
                  </w:rPr>
                  <w:t>分）</w:t>
                </w:r>
              </w:p>
            </w:tc>
            <w:tc>
              <w:tcPr>
                <w:tcW w:w="6409" w:type="dxa"/>
                <w:vAlign w:val="center"/>
              </w:tcPr>
              <w:p>
                <w:pPr>
                  <w:adjustRightInd w:val="0"/>
                  <w:spacing w:line="360" w:lineRule="exact"/>
                  <w:textAlignment w:val="baseline"/>
                  <w:rPr>
                    <w:rFonts w:hint="eastAsia"/>
                    <w:color w:val="000000"/>
                  </w:rPr>
                </w:pPr>
                <w:r>
                  <w:rPr>
                    <w:rFonts w:hint="eastAsia"/>
                    <w:color w:val="000000"/>
                    <w:lang w:val="en-US" w:eastAsia="zh-CN"/>
                  </w:rPr>
                  <w:t>1.</w:t>
                </w:r>
                <w:r>
                  <w:rPr>
                    <w:rFonts w:hint="eastAsia"/>
                    <w:color w:val="000000"/>
                  </w:rPr>
                  <w:t>能力要求</w:t>
                </w:r>
                <w:r>
                  <w:rPr>
                    <w:rFonts w:hint="eastAsia"/>
                    <w:color w:val="000000"/>
                    <w:lang w:eastAsia="zh-CN"/>
                  </w:rPr>
                  <w:t>：</w:t>
                </w:r>
                <w:r>
                  <w:rPr>
                    <w:rFonts w:hint="eastAsia"/>
                    <w:color w:val="000000"/>
                  </w:rPr>
                  <w:t xml:space="preserve"> 投标人负责本项目实验室室间质评认证：提供自 202</w:t>
                </w:r>
                <w:r>
                  <w:rPr>
                    <w:rFonts w:hint="eastAsia"/>
                    <w:color w:val="000000"/>
                    <w:lang w:val="en-US" w:eastAsia="zh-CN"/>
                  </w:rPr>
                  <w:t>2</w:t>
                </w:r>
                <w:r>
                  <w:rPr>
                    <w:rFonts w:hint="eastAsia"/>
                    <w:color w:val="000000"/>
                  </w:rPr>
                  <w:t xml:space="preserve"> 年以来获得省级及以上卫健委临检中心颁发的室间质评认可证书或省级及以上临检中心能力验证证书的，每提供 1 份证书得 </w:t>
                </w:r>
                <w:r>
                  <w:rPr>
                    <w:rFonts w:hint="eastAsia"/>
                    <w:color w:val="000000"/>
                    <w:lang w:val="en-US" w:eastAsia="zh-CN"/>
                  </w:rPr>
                  <w:t>2</w:t>
                </w:r>
                <w:r>
                  <w:rPr>
                    <w:rFonts w:hint="eastAsia"/>
                    <w:color w:val="000000"/>
                  </w:rPr>
                  <w:t xml:space="preserve"> 分，提供证明材料。本项最多</w:t>
                </w:r>
                <w:r>
                  <w:rPr>
                    <w:rFonts w:hint="eastAsia"/>
                    <w:b/>
                    <w:bCs/>
                    <w:color w:val="000000"/>
                  </w:rPr>
                  <w:t>得</w:t>
                </w:r>
                <w:r>
                  <w:rPr>
                    <w:rFonts w:hint="eastAsia"/>
                    <w:b/>
                    <w:bCs/>
                    <w:color w:val="000000"/>
                    <w:lang w:val="en-US" w:eastAsia="zh-CN"/>
                  </w:rPr>
                  <w:t>4</w:t>
                </w:r>
                <w:r>
                  <w:rPr>
                    <w:rFonts w:hint="eastAsia"/>
                    <w:b/>
                    <w:bCs/>
                    <w:color w:val="000000"/>
                  </w:rPr>
                  <w:t>分</w:t>
                </w:r>
              </w:p>
              <w:p>
                <w:pPr>
                  <w:adjustRightInd w:val="0"/>
                  <w:spacing w:line="360" w:lineRule="exact"/>
                  <w:textAlignment w:val="baseline"/>
                  <w:rPr>
                    <w:rFonts w:hint="eastAsia"/>
                    <w:color w:val="000000"/>
                  </w:rPr>
                </w:pPr>
                <w:r>
                  <w:rPr>
                    <w:rFonts w:hint="eastAsia"/>
                    <w:color w:val="000000"/>
                    <w:lang w:val="en-US" w:eastAsia="zh-CN"/>
                  </w:rPr>
                  <w:t>2</w:t>
                </w:r>
                <w:r>
                  <w:rPr>
                    <w:rFonts w:hint="eastAsia"/>
                    <w:color w:val="000000"/>
                  </w:rPr>
                  <w:t>.业绩分</w:t>
                </w:r>
                <w:r>
                  <w:rPr>
                    <w:rFonts w:hint="eastAsia"/>
                    <w:color w:val="000000"/>
                    <w:lang w:eastAsia="zh-CN"/>
                  </w:rPr>
                  <w:t>：（</w:t>
                </w:r>
                <w:r>
                  <w:rPr>
                    <w:rFonts w:hint="eastAsia"/>
                    <w:color w:val="000000"/>
                    <w:lang w:val="en-US" w:eastAsia="zh-CN"/>
                  </w:rPr>
                  <w:t>1）</w:t>
                </w:r>
                <w:r>
                  <w:rPr>
                    <w:rFonts w:hint="eastAsia"/>
                    <w:color w:val="000000"/>
                  </w:rPr>
                  <w:t>投标人应具有一定的药学实验室建设与药学技术服务经验，自 202</w:t>
                </w:r>
                <w:r>
                  <w:rPr>
                    <w:rFonts w:hint="eastAsia"/>
                    <w:color w:val="000000"/>
                    <w:lang w:val="en-US" w:eastAsia="zh-CN"/>
                  </w:rPr>
                  <w:t>2</w:t>
                </w:r>
                <w:r>
                  <w:rPr>
                    <w:rFonts w:hint="eastAsia"/>
                    <w:color w:val="000000"/>
                  </w:rPr>
                  <w:t xml:space="preserve">年以来具有同类项目成功业绩，每提供一个合同得 </w:t>
                </w:r>
                <w:r>
                  <w:rPr>
                    <w:rFonts w:hint="eastAsia"/>
                    <w:color w:val="000000"/>
                    <w:lang w:val="en-US" w:eastAsia="zh-CN"/>
                  </w:rPr>
                  <w:t>1</w:t>
                </w:r>
                <w:r>
                  <w:rPr>
                    <w:rFonts w:hint="eastAsia"/>
                    <w:color w:val="000000"/>
                  </w:rPr>
                  <w:t xml:space="preserve"> 分，满分</w:t>
                </w:r>
                <w:r>
                  <w:rPr>
                    <w:rFonts w:hint="eastAsia"/>
                    <w:b/>
                    <w:bCs/>
                    <w:color w:val="000000"/>
                  </w:rPr>
                  <w:t xml:space="preserve"> </w:t>
                </w:r>
                <w:r>
                  <w:rPr>
                    <w:rFonts w:hint="eastAsia"/>
                    <w:b/>
                    <w:bCs/>
                    <w:color w:val="000000"/>
                    <w:lang w:val="en-US" w:eastAsia="zh-CN"/>
                  </w:rPr>
                  <w:t>2</w:t>
                </w:r>
                <w:r>
                  <w:rPr>
                    <w:rFonts w:hint="eastAsia"/>
                    <w:b/>
                    <w:bCs/>
                    <w:color w:val="000000"/>
                  </w:rPr>
                  <w:t xml:space="preserve"> 分</w:t>
                </w:r>
                <w:r>
                  <w:rPr>
                    <w:rFonts w:hint="eastAsia"/>
                    <w:color w:val="000000"/>
                  </w:rPr>
                  <w:t>。</w:t>
                </w:r>
                <w:r>
                  <w:rPr>
                    <w:rFonts w:hint="eastAsia"/>
                    <w:color w:val="000000"/>
                    <w:lang w:eastAsia="zh-CN"/>
                  </w:rPr>
                  <w:t>（</w:t>
                </w:r>
                <w:r>
                  <w:rPr>
                    <w:rFonts w:hint="eastAsia"/>
                    <w:color w:val="000000"/>
                  </w:rPr>
                  <w:t>2</w:t>
                </w:r>
                <w:r>
                  <w:rPr>
                    <w:rFonts w:hint="eastAsia"/>
                    <w:color w:val="000000"/>
                    <w:lang w:eastAsia="zh-CN"/>
                  </w:rPr>
                  <w:t>）</w:t>
                </w:r>
                <w:r>
                  <w:rPr>
                    <w:rFonts w:hint="eastAsia"/>
                    <w:color w:val="000000"/>
                  </w:rPr>
                  <w:t>.投标人有与省级及以上科研机构（研究院）合作共建临床精准用药研究中心相关案例，提供 1 家合同得</w:t>
                </w:r>
                <w:r>
                  <w:rPr>
                    <w:rFonts w:hint="eastAsia"/>
                    <w:b/>
                    <w:bCs/>
                    <w:color w:val="000000"/>
                  </w:rPr>
                  <w:t xml:space="preserve"> </w:t>
                </w:r>
                <w:r>
                  <w:rPr>
                    <w:rFonts w:hint="eastAsia"/>
                    <w:b/>
                    <w:bCs/>
                    <w:color w:val="000000"/>
                    <w:lang w:val="en-US" w:eastAsia="zh-CN"/>
                  </w:rPr>
                  <w:t>2</w:t>
                </w:r>
                <w:r>
                  <w:rPr>
                    <w:rFonts w:hint="eastAsia"/>
                    <w:b/>
                    <w:bCs/>
                    <w:color w:val="000000"/>
                  </w:rPr>
                  <w:t xml:space="preserve"> 分</w:t>
                </w:r>
                <w:r>
                  <w:rPr>
                    <w:rFonts w:hint="eastAsia"/>
                    <w:color w:val="000000"/>
                  </w:rPr>
                  <w:t>。</w:t>
                </w:r>
              </w:p>
              <w:p>
                <w:pPr>
                  <w:adjustRightInd w:val="0"/>
                  <w:spacing w:line="360" w:lineRule="exact"/>
                  <w:textAlignment w:val="baseline"/>
                  <w:rPr>
                    <w:rFonts w:hint="eastAsia"/>
                    <w:color w:val="000000"/>
                  </w:rPr>
                </w:pPr>
                <w:r>
                  <w:rPr>
                    <w:rFonts w:hint="eastAsia"/>
                    <w:color w:val="000000"/>
                  </w:rPr>
                  <w:t>（投标文件中提供有效的项目合同原件扫描件为准，并加盖投标人单位公章）</w:t>
                </w:r>
              </w:p>
              <w:p>
                <w:pPr>
                  <w:adjustRightInd w:val="0"/>
                  <w:spacing w:line="360" w:lineRule="exact"/>
                  <w:textAlignment w:val="baseline"/>
                  <w:rPr>
                    <w:rFonts w:hint="eastAsia"/>
                    <w:b/>
                    <w:bCs/>
                    <w:color w:val="000000"/>
                  </w:rPr>
                </w:pPr>
                <w:r>
                  <w:rPr>
                    <w:rFonts w:hint="eastAsia"/>
                    <w:color w:val="000000"/>
                    <w:lang w:val="en-US" w:eastAsia="zh-CN"/>
                  </w:rPr>
                  <w:t>3.</w:t>
                </w:r>
                <w:r>
                  <w:rPr>
                    <w:rFonts w:hint="eastAsia"/>
                    <w:color w:val="000000"/>
                  </w:rPr>
                  <w:t>人员配备</w:t>
                </w:r>
                <w:r>
                  <w:rPr>
                    <w:rFonts w:hint="eastAsia"/>
                    <w:color w:val="000000"/>
                    <w:lang w:eastAsia="zh-CN"/>
                  </w:rPr>
                  <w:t>：</w:t>
                </w:r>
                <w:r>
                  <w:rPr>
                    <w:rFonts w:hint="eastAsia"/>
                    <w:color w:val="000000"/>
                  </w:rPr>
                  <w:t xml:space="preserve">投标人符合招标文件中要求，项目团队配备每增加 1 人得 </w:t>
                </w:r>
                <w:r>
                  <w:rPr>
                    <w:rFonts w:hint="eastAsia"/>
                    <w:color w:val="000000"/>
                    <w:lang w:val="en-US" w:eastAsia="zh-CN"/>
                  </w:rPr>
                  <w:t>1</w:t>
                </w:r>
                <w:r>
                  <w:rPr>
                    <w:rFonts w:hint="eastAsia"/>
                    <w:color w:val="000000"/>
                  </w:rPr>
                  <w:t xml:space="preserve"> 分，满分 </w:t>
                </w:r>
                <w:r>
                  <w:rPr>
                    <w:rFonts w:hint="eastAsia"/>
                    <w:b/>
                    <w:bCs/>
                    <w:color w:val="000000"/>
                    <w:lang w:val="en-US" w:eastAsia="zh-CN"/>
                  </w:rPr>
                  <w:t>2</w:t>
                </w:r>
                <w:r>
                  <w:rPr>
                    <w:rFonts w:hint="eastAsia"/>
                    <w:b/>
                    <w:bCs/>
                    <w:color w:val="000000"/>
                  </w:rPr>
                  <w:t>分</w:t>
                </w:r>
                <w:r>
                  <w:rPr>
                    <w:rFonts w:hint="eastAsia"/>
                    <w:color w:val="000000"/>
                  </w:rPr>
                  <w:t>。</w:t>
                </w:r>
              </w:p>
              <w:p>
                <w:pPr>
                  <w:adjustRightInd w:val="0"/>
                  <w:spacing w:line="360" w:lineRule="exact"/>
                  <w:textAlignment w:val="baseline"/>
                  <w:rPr>
                    <w:sz w:val="21"/>
                    <w:szCs w:val="21"/>
                  </w:rPr>
                </w:pPr>
                <w:r>
                  <w:rPr>
                    <w:rFonts w:hint="eastAsia"/>
                    <w:color w:val="000000"/>
                  </w:rPr>
                  <w:t>注：提供项目人员近半年任意连续三个月本单位社保缴纳记录或合同证明，并加盖投标人公章。否则评审时不予认可</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09" w:type="dxa"/>
                <w:vAlign w:val="center"/>
              </w:tcPr>
              <w:p>
                <w:pPr>
                  <w:spacing w:line="280" w:lineRule="exact"/>
                  <w:rPr>
                    <w:rFonts w:hint="eastAsia" w:ascii="宋体" w:hAnsi="宋体" w:eastAsia="宋体" w:cs="宋体"/>
                    <w:lang w:eastAsia="zh-CN"/>
                  </w:rPr>
                </w:pPr>
                <w:r>
                  <w:rPr>
                    <w:rFonts w:hint="eastAsia" w:ascii="宋体" w:hAnsi="宋体" w:cs="宋体"/>
                    <w:lang w:eastAsia="zh-CN"/>
                  </w:rPr>
                  <w:t>六</w:t>
                </w:r>
              </w:p>
            </w:tc>
            <w:tc>
              <w:tcPr>
                <w:tcW w:w="1418" w:type="dxa"/>
                <w:vAlign w:val="center"/>
              </w:tcPr>
              <w:p>
                <w:pPr>
                  <w:jc w:val="left"/>
                  <w:rPr>
                    <w:bCs/>
                    <w:color w:val="000000"/>
                  </w:rPr>
                </w:pPr>
                <w:r>
                  <w:rPr>
                    <w:rFonts w:hint="eastAsia"/>
                    <w:bCs/>
                    <w:color w:val="000000"/>
                  </w:rPr>
                  <w:t>其他</w:t>
                </w:r>
              </w:p>
              <w:p>
                <w:pPr>
                  <w:pStyle w:val="2"/>
                </w:pPr>
                <w:r>
                  <w:rPr>
                    <w:rFonts w:hint="eastAsia"/>
                  </w:rPr>
                  <w:t>（</w:t>
                </w:r>
                <w:r>
                  <w:rPr>
                    <w:rFonts w:hint="eastAsia"/>
                    <w:color w:val="FF0000"/>
                    <w:u w:val="single"/>
                    <w:lang w:val="en-US" w:eastAsia="zh-CN"/>
                  </w:rPr>
                  <w:t>30</w:t>
                </w:r>
                <w:r>
                  <w:rPr>
                    <w:rFonts w:hint="eastAsia"/>
                  </w:rPr>
                  <w:t>分）</w:t>
                </w:r>
              </w:p>
            </w:tc>
            <w:tc>
              <w:tcPr>
                <w:tcW w:w="6409" w:type="dxa"/>
                <w:vAlign w:val="center"/>
              </w:tcPr>
              <w:p>
                <w:pPr>
                  <w:adjustRightInd w:val="0"/>
                  <w:spacing w:line="360" w:lineRule="exact"/>
                  <w:textAlignment w:val="baseline"/>
                  <w:rPr>
                    <w:rFonts w:hint="eastAsia" w:ascii="宋体" w:hAnsi="宋体" w:cs="宋体"/>
                    <w:color w:val="auto"/>
                  </w:rPr>
                </w:pPr>
                <w:r>
                  <w:rPr>
                    <w:rFonts w:hint="eastAsia"/>
                    <w:color w:val="auto"/>
                    <w:lang w:eastAsia="zh-CN"/>
                  </w:rPr>
                  <w:t>测序反应通用试剂盒的得分。</w:t>
                </w:r>
                <w:r>
                  <w:rPr>
                    <w:rFonts w:hint="eastAsia" w:ascii="宋体" w:hAnsi="宋体" w:cs="宋体"/>
                    <w:color w:val="auto"/>
                  </w:rPr>
                  <w:t>（满分</w:t>
                </w:r>
                <w:r>
                  <w:rPr>
                    <w:rFonts w:hint="eastAsia" w:ascii="宋体" w:hAnsi="宋体" w:cs="宋体"/>
                    <w:color w:val="auto"/>
                    <w:u w:val="single"/>
                    <w:lang w:val="en-US" w:eastAsia="zh-CN"/>
                  </w:rPr>
                  <w:t>30</w:t>
                </w:r>
                <w:r>
                  <w:rPr>
                    <w:rFonts w:hint="eastAsia" w:ascii="宋体" w:hAnsi="宋体" w:cs="宋体"/>
                    <w:color w:val="auto"/>
                  </w:rPr>
                  <w:t>分）</w:t>
                </w:r>
              </w:p>
              <w:p>
                <w:pPr>
                  <w:adjustRightInd w:val="0"/>
                  <w:spacing w:line="360" w:lineRule="exact"/>
                  <w:textAlignment w:val="baseline"/>
                  <w:rPr>
                    <w:color w:val="auto"/>
                    <w:kern w:val="0"/>
                    <w:sz w:val="24"/>
                  </w:rPr>
                </w:pPr>
                <w:r>
                  <w:rPr>
                    <w:rFonts w:hint="eastAsia"/>
                    <w:color w:val="auto"/>
                    <w:kern w:val="0"/>
                    <w:sz w:val="24"/>
                    <w:lang w:val="en-US" w:eastAsia="zh-CN"/>
                  </w:rPr>
                  <w:t>1.</w:t>
                </w:r>
                <w:r>
                  <w:rPr>
                    <w:color w:val="auto"/>
                    <w:kern w:val="0"/>
                    <w:sz w:val="24"/>
                  </w:rPr>
                  <w:t>以</w:t>
                </w:r>
                <w:r>
                  <w:rPr>
                    <w:rFonts w:hint="eastAsia"/>
                    <w:color w:val="auto"/>
                    <w:kern w:val="0"/>
                    <w:sz w:val="24"/>
                    <w:lang w:eastAsia="zh-CN"/>
                  </w:rPr>
                  <w:t>医保采购平台</w:t>
                </w:r>
                <w:r>
                  <w:rPr>
                    <w:color w:val="auto"/>
                    <w:kern w:val="0"/>
                    <w:sz w:val="24"/>
                  </w:rPr>
                  <w:t>有效中最低的报价为评标基准价，其价格分为</w:t>
                </w:r>
                <w:r>
                  <w:rPr>
                    <w:rFonts w:hint="eastAsia"/>
                    <w:color w:val="auto"/>
                    <w:kern w:val="0"/>
                    <w:sz w:val="24"/>
                    <w:lang w:val="en-US" w:eastAsia="zh-CN"/>
                  </w:rPr>
                  <w:t>10</w:t>
                </w:r>
                <w:r>
                  <w:rPr>
                    <w:color w:val="auto"/>
                    <w:kern w:val="0"/>
                    <w:sz w:val="24"/>
                  </w:rPr>
                  <w:t>分。</w:t>
                </w:r>
              </w:p>
              <w:p>
                <w:pPr>
                  <w:adjustRightInd w:val="0"/>
                  <w:spacing w:line="360" w:lineRule="exact"/>
                  <w:textAlignment w:val="baseline"/>
                  <w:rPr>
                    <w:rFonts w:hint="eastAsia" w:eastAsia="宋体"/>
                    <w:color w:val="000000"/>
                    <w:lang w:val="en-US" w:eastAsia="zh-CN"/>
                  </w:rPr>
                </w:pPr>
                <w:r>
                  <w:rPr>
                    <w:rFonts w:hint="eastAsia"/>
                    <w:color w:val="auto"/>
                    <w:kern w:val="0"/>
                    <w:sz w:val="24"/>
                    <w:lang w:val="en-US" w:eastAsia="zh-CN"/>
                  </w:rPr>
                  <w:t>2.</w:t>
                </w:r>
                <w:r>
                  <w:rPr>
                    <w:rFonts w:hint="eastAsia"/>
                    <w:color w:val="auto"/>
                    <w:kern w:val="0"/>
                    <w:sz w:val="24"/>
                    <w:lang w:eastAsia="zh-CN"/>
                  </w:rPr>
                  <w:t>价格每降</w:t>
                </w:r>
                <w:r>
                  <w:rPr>
                    <w:rFonts w:hint="eastAsia"/>
                    <w:color w:val="auto"/>
                    <w:kern w:val="0"/>
                    <w:sz w:val="24"/>
                    <w:lang w:val="en-US" w:eastAsia="zh-CN"/>
                  </w:rPr>
                  <w:t>1%加1分，</w:t>
                </w:r>
                <w:r>
                  <w:rPr>
                    <w:rFonts w:hint="eastAsia" w:ascii="宋体" w:hAnsi="宋体" w:cs="宋体"/>
                    <w:color w:val="auto"/>
                  </w:rPr>
                  <w:t>满分</w:t>
                </w:r>
                <w:r>
                  <w:rPr>
                    <w:rFonts w:hint="eastAsia" w:ascii="宋体" w:hAnsi="宋体" w:cs="宋体"/>
                    <w:color w:val="auto"/>
                    <w:u w:val="single"/>
                    <w:lang w:val="en-US" w:eastAsia="zh-CN"/>
                  </w:rPr>
                  <w:t>20</w:t>
                </w:r>
                <w:r>
                  <w:rPr>
                    <w:rFonts w:hint="eastAsia" w:ascii="宋体" w:hAnsi="宋体" w:cs="宋体"/>
                    <w:color w:val="auto"/>
                  </w:rPr>
                  <w:t>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09" w:type="dxa"/>
                <w:vAlign w:val="center"/>
              </w:tcPr>
              <w:p>
                <w:pPr>
                  <w:spacing w:line="280" w:lineRule="exact"/>
                  <w:rPr>
                    <w:rFonts w:hint="eastAsia" w:ascii="宋体" w:hAnsi="宋体" w:eastAsia="宋体" w:cs="宋体"/>
                    <w:lang w:eastAsia="zh-CN"/>
                  </w:rPr>
                </w:pPr>
                <w:r>
                  <w:rPr>
                    <w:rFonts w:hint="eastAsia" w:ascii="宋体" w:hAnsi="宋体" w:cs="宋体"/>
                    <w:lang w:eastAsia="zh-CN"/>
                  </w:rPr>
                  <w:t>七</w:t>
                </w:r>
              </w:p>
            </w:tc>
            <w:tc>
              <w:tcPr>
                <w:tcW w:w="1418" w:type="dxa"/>
                <w:vAlign w:val="center"/>
              </w:tcPr>
              <w:p>
                <w:pPr>
                  <w:spacing w:line="280" w:lineRule="exact"/>
                  <w:ind w:firstLine="420" w:firstLineChars="200"/>
                  <w:rPr>
                    <w:rFonts w:ascii="宋体" w:hAnsi="宋体" w:cs="宋体"/>
                  </w:rPr>
                </w:pPr>
                <w:r>
                  <w:rPr>
                    <w:rFonts w:hint="eastAsia" w:ascii="宋体" w:hAnsi="宋体" w:cs="宋体"/>
                  </w:rPr>
                  <w:t>总分</w:t>
                </w:r>
              </w:p>
              <w:p>
                <w:pPr>
                  <w:spacing w:line="280" w:lineRule="exact"/>
                  <w:rPr>
                    <w:rFonts w:ascii="宋体" w:hAnsi="宋体" w:cs="宋体"/>
                  </w:rPr>
                </w:pPr>
                <w:r>
                  <w:rPr>
                    <w:rFonts w:hint="eastAsia" w:ascii="宋体" w:hAnsi="宋体" w:cs="宋体"/>
                  </w:rPr>
                  <w:t xml:space="preserve">（最后得分） </w:t>
                </w:r>
              </w:p>
            </w:tc>
            <w:tc>
              <w:tcPr>
                <w:tcW w:w="7497" w:type="dxa"/>
                <w:gridSpan w:val="2"/>
                <w:vAlign w:val="center"/>
              </w:tcPr>
              <w:p>
                <w:pPr>
                  <w:pStyle w:val="2"/>
                </w:pPr>
                <w:r>
                  <w:rPr>
                    <w:rFonts w:hint="eastAsia" w:cs="Times New Roman"/>
                    <w:color w:val="000000"/>
                    <w:kern w:val="0"/>
                    <w:sz w:val="24"/>
                    <w:szCs w:val="24"/>
                    <w:lang w:val="en-US" w:eastAsia="zh-CN"/>
                  </w:rPr>
                  <w:t>100分</w:t>
                </w:r>
              </w:p>
            </w:tc>
          </w:tr>
        </w:tbl>
      </w:sdtContent>
    </w:sdt>
    <w:p>
      <w:pPr>
        <w:pStyle w:val="2"/>
      </w:pPr>
    </w:p>
    <w:p>
      <w:pPr>
        <w:pStyle w:val="2"/>
      </w:pPr>
    </w:p>
    <w:sectPr>
      <w:pgSz w:w="11906" w:h="16838"/>
      <w:pgMar w:top="1440" w:right="1179"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0F106"/>
    <w:multiLevelType w:val="singleLevel"/>
    <w:tmpl w:val="59C0F10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yOTJlZTc4YjVhZTA5ZWI2MjY4MTE4ZjYwNDc2Yjg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3B11C0"/>
    <w:rsid w:val="01CB43E2"/>
    <w:rsid w:val="02615DF0"/>
    <w:rsid w:val="03B56736"/>
    <w:rsid w:val="041B15AF"/>
    <w:rsid w:val="063A4783"/>
    <w:rsid w:val="09187C60"/>
    <w:rsid w:val="0A795D65"/>
    <w:rsid w:val="0CC05EEA"/>
    <w:rsid w:val="0CF448BC"/>
    <w:rsid w:val="0F3B15E0"/>
    <w:rsid w:val="10C97A40"/>
    <w:rsid w:val="122B15C9"/>
    <w:rsid w:val="12C97D37"/>
    <w:rsid w:val="157A4BA3"/>
    <w:rsid w:val="1759391E"/>
    <w:rsid w:val="199E42B5"/>
    <w:rsid w:val="21B710F4"/>
    <w:rsid w:val="21DC4D83"/>
    <w:rsid w:val="2218153E"/>
    <w:rsid w:val="23BD54A8"/>
    <w:rsid w:val="25773183"/>
    <w:rsid w:val="26431704"/>
    <w:rsid w:val="26CD4569"/>
    <w:rsid w:val="27D01D3D"/>
    <w:rsid w:val="28110468"/>
    <w:rsid w:val="2BF61232"/>
    <w:rsid w:val="2C6379E9"/>
    <w:rsid w:val="2E44559E"/>
    <w:rsid w:val="3078584A"/>
    <w:rsid w:val="311834AF"/>
    <w:rsid w:val="318469E5"/>
    <w:rsid w:val="3194337D"/>
    <w:rsid w:val="34007279"/>
    <w:rsid w:val="3737378F"/>
    <w:rsid w:val="3806606D"/>
    <w:rsid w:val="397701BE"/>
    <w:rsid w:val="3B3F109C"/>
    <w:rsid w:val="3B4E33D7"/>
    <w:rsid w:val="3B546CEC"/>
    <w:rsid w:val="3BCD356D"/>
    <w:rsid w:val="3E367AEB"/>
    <w:rsid w:val="3F8769CB"/>
    <w:rsid w:val="4120207B"/>
    <w:rsid w:val="41366ED0"/>
    <w:rsid w:val="430E1E07"/>
    <w:rsid w:val="45080E12"/>
    <w:rsid w:val="47EF335F"/>
    <w:rsid w:val="4810496B"/>
    <w:rsid w:val="48A24146"/>
    <w:rsid w:val="48D85C25"/>
    <w:rsid w:val="499B387A"/>
    <w:rsid w:val="4A937390"/>
    <w:rsid w:val="4A972BD1"/>
    <w:rsid w:val="4C1C5576"/>
    <w:rsid w:val="4D442BFB"/>
    <w:rsid w:val="4D781BD4"/>
    <w:rsid w:val="4D782049"/>
    <w:rsid w:val="4DA009DA"/>
    <w:rsid w:val="4DA97E72"/>
    <w:rsid w:val="4DB9683E"/>
    <w:rsid w:val="50217B54"/>
    <w:rsid w:val="50502E0F"/>
    <w:rsid w:val="55F13238"/>
    <w:rsid w:val="589150FF"/>
    <w:rsid w:val="5A2207B4"/>
    <w:rsid w:val="5BC35A5F"/>
    <w:rsid w:val="5D1A4465"/>
    <w:rsid w:val="61A30FEA"/>
    <w:rsid w:val="62E54759"/>
    <w:rsid w:val="63E1383D"/>
    <w:rsid w:val="653F3B28"/>
    <w:rsid w:val="659A2365"/>
    <w:rsid w:val="66CC55FC"/>
    <w:rsid w:val="677E6582"/>
    <w:rsid w:val="67EF0C5A"/>
    <w:rsid w:val="6A513DD5"/>
    <w:rsid w:val="6BF540D9"/>
    <w:rsid w:val="6DD0797D"/>
    <w:rsid w:val="6E9E6068"/>
    <w:rsid w:val="6F423A12"/>
    <w:rsid w:val="70030C16"/>
    <w:rsid w:val="71754026"/>
    <w:rsid w:val="72ED5A30"/>
    <w:rsid w:val="74B5471E"/>
    <w:rsid w:val="74C23A26"/>
    <w:rsid w:val="77E41C8F"/>
    <w:rsid w:val="77FF632E"/>
    <w:rsid w:val="78582CF0"/>
    <w:rsid w:val="7B036868"/>
    <w:rsid w:val="7BFE7FD4"/>
    <w:rsid w:val="7CA915F3"/>
    <w:rsid w:val="7D34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3"/>
    <w:qFormat/>
    <w:uiPriority w:val="99"/>
    <w:pPr>
      <w:jc w:val="left"/>
    </w:pPr>
  </w:style>
  <w:style w:type="paragraph" w:styleId="4">
    <w:name w:val="Plain Text"/>
    <w:basedOn w:val="1"/>
    <w:link w:val="15"/>
    <w:qFormat/>
    <w:uiPriority w:val="99"/>
    <w:rPr>
      <w:rFonts w:ascii="宋体" w:hAnsi="Courier New"/>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character" w:customStyle="1" w:styleId="12">
    <w:name w:val="批注文字 字符"/>
    <w:basedOn w:val="10"/>
    <w:qFormat/>
    <w:uiPriority w:val="99"/>
    <w:rPr>
      <w:rFonts w:ascii="Times New Roman" w:hAnsi="Times New Roman" w:eastAsia="宋体" w:cs="Times New Roman"/>
      <w:szCs w:val="21"/>
    </w:rPr>
  </w:style>
  <w:style w:type="character" w:customStyle="1" w:styleId="13">
    <w:name w:val="批注文字 字符1"/>
    <w:link w:val="3"/>
    <w:semiHidden/>
    <w:qFormat/>
    <w:uiPriority w:val="99"/>
    <w:rPr>
      <w:rFonts w:ascii="Times New Roman" w:hAnsi="Times New Roman" w:eastAsia="宋体" w:cs="Times New Roman"/>
      <w:szCs w:val="21"/>
    </w:rPr>
  </w:style>
  <w:style w:type="character" w:customStyle="1" w:styleId="14">
    <w:name w:val="批注主题 字符"/>
    <w:basedOn w:val="13"/>
    <w:link w:val="7"/>
    <w:semiHidden/>
    <w:qFormat/>
    <w:uiPriority w:val="99"/>
    <w:rPr>
      <w:rFonts w:ascii="Times New Roman" w:hAnsi="Times New Roman" w:eastAsia="宋体" w:cs="Times New Roman"/>
      <w:b/>
      <w:bCs/>
      <w:szCs w:val="21"/>
    </w:rPr>
  </w:style>
  <w:style w:type="character" w:customStyle="1" w:styleId="15">
    <w:name w:val="纯文本 字符"/>
    <w:basedOn w:val="10"/>
    <w:link w:val="4"/>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页脚 字符"/>
    <w:basedOn w:val="10"/>
    <w:link w:val="5"/>
    <w:qFormat/>
    <w:uiPriority w:val="99"/>
    <w:rPr>
      <w:rFonts w:ascii="Times New Roman" w:hAnsi="Times New Roman" w:eastAsia="宋体" w:cs="Times New Roman"/>
      <w:sz w:val="18"/>
      <w:szCs w:val="18"/>
    </w:rPr>
  </w:style>
  <w:style w:type="character" w:styleId="20">
    <w:name w:val="Placeholder Text"/>
    <w:basedOn w:val="10"/>
    <w:semiHidden/>
    <w:qFormat/>
    <w:uiPriority w:val="99"/>
    <w:rPr>
      <w:color w:val="808080"/>
    </w:rPr>
  </w:style>
  <w:style w:type="paragraph" w:customStyle="1" w:styleId="21">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6840</Words>
  <Characters>7180</Characters>
  <Lines>26</Lines>
  <Paragraphs>7</Paragraphs>
  <TotalTime>171</TotalTime>
  <ScaleCrop>false</ScaleCrop>
  <LinksUpToDate>false</LinksUpToDate>
  <CharactersWithSpaces>7299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Yeahann</cp:lastModifiedBy>
  <cp:lastPrinted>2021-01-18T07:59:00Z</cp:lastPrinted>
  <dcterms:modified xsi:type="dcterms:W3CDTF">2025-01-06T13:15:28Z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BC6B623858AD4EF6B8932C9852D63447</vt:lpwstr>
  </property>
  <property fmtid="{D5CDD505-2E9C-101B-9397-08002B2CF9AE}" pid="4" name="KSOTemplateDocerSaveRecord">
    <vt:lpwstr>eyJoZGlkIjoiMWEyYmY4MjA0MzAxNjIyZGNjMDk1MmY5N2E0MzMwOWEiLCJ1c2VySWQiOiI1OTI0NDY0NDUifQ==</vt:lpwstr>
  </property>
</Properties>
</file>