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7F7D4">
      <w:pPr>
        <w:pStyle w:val="179"/>
        <w:tabs>
          <w:tab w:val="left" w:pos="801"/>
        </w:tabs>
        <w:ind w:firstLine="0"/>
        <w:jc w:val="both"/>
        <w:rPr>
          <w:rFonts w:hint="default" w:eastAsia="宋体"/>
          <w:b/>
          <w:color w:val="auto"/>
          <w:sz w:val="56"/>
          <w:szCs w:val="56"/>
          <w:lang w:val="en-US" w:eastAsia="zh-CN"/>
        </w:rPr>
      </w:pPr>
    </w:p>
    <w:p w14:paraId="5255123F">
      <w:pPr>
        <w:pStyle w:val="179"/>
        <w:tabs>
          <w:tab w:val="left" w:pos="801"/>
        </w:tabs>
        <w:ind w:firstLine="0"/>
        <w:jc w:val="center"/>
        <w:rPr>
          <w:rFonts w:hint="eastAsia"/>
          <w:b/>
          <w:color w:val="auto"/>
          <w:sz w:val="56"/>
          <w:szCs w:val="56"/>
          <w:lang w:val="en-US"/>
        </w:rPr>
      </w:pPr>
      <w:r>
        <w:rPr>
          <w:rFonts w:hint="eastAsia"/>
          <w:b/>
          <w:color w:val="auto"/>
          <w:sz w:val="56"/>
          <w:szCs w:val="56"/>
        </w:rPr>
        <w:t>广西壮族自治区桂东人民医院</w:t>
      </w:r>
      <w:r>
        <w:rPr>
          <w:rFonts w:hint="eastAsia"/>
          <w:b/>
          <w:color w:val="auto"/>
          <w:sz w:val="56"/>
          <w:szCs w:val="56"/>
          <w:lang w:val="en-US" w:eastAsia="zh-CN"/>
        </w:rPr>
        <w:t>**工程</w:t>
      </w:r>
    </w:p>
    <w:p w14:paraId="070E76BF">
      <w:pPr>
        <w:pStyle w:val="179"/>
        <w:tabs>
          <w:tab w:val="left" w:pos="801"/>
        </w:tabs>
        <w:ind w:firstLine="0"/>
        <w:jc w:val="left"/>
        <w:rPr>
          <w:color w:val="auto"/>
          <w:sz w:val="24"/>
          <w:lang w:val="en-US"/>
        </w:rPr>
      </w:pPr>
    </w:p>
    <w:p w14:paraId="5DF85546">
      <w:pPr>
        <w:pStyle w:val="179"/>
        <w:tabs>
          <w:tab w:val="left" w:pos="801"/>
        </w:tabs>
        <w:ind w:firstLine="0"/>
        <w:jc w:val="left"/>
        <w:rPr>
          <w:color w:val="auto"/>
          <w:sz w:val="24"/>
          <w:lang w:val="en-US"/>
        </w:rPr>
      </w:pPr>
    </w:p>
    <w:p w14:paraId="190E961A">
      <w:pPr>
        <w:pStyle w:val="179"/>
        <w:tabs>
          <w:tab w:val="left" w:pos="801"/>
        </w:tabs>
        <w:ind w:firstLine="0"/>
        <w:jc w:val="left"/>
        <w:rPr>
          <w:color w:val="auto"/>
          <w:sz w:val="36"/>
          <w:szCs w:val="24"/>
          <w:lang w:val="en-US"/>
        </w:rPr>
      </w:pPr>
    </w:p>
    <w:p w14:paraId="57C18E9A">
      <w:pPr>
        <w:pStyle w:val="179"/>
        <w:tabs>
          <w:tab w:val="left" w:pos="801"/>
        </w:tabs>
        <w:ind w:firstLine="0"/>
        <w:jc w:val="left"/>
        <w:rPr>
          <w:color w:val="auto"/>
          <w:sz w:val="36"/>
          <w:szCs w:val="24"/>
          <w:lang w:val="en-US"/>
        </w:rPr>
      </w:pPr>
    </w:p>
    <w:p w14:paraId="14E873DD">
      <w:pPr>
        <w:pStyle w:val="179"/>
        <w:tabs>
          <w:tab w:val="left" w:pos="801"/>
        </w:tabs>
        <w:ind w:firstLine="0"/>
        <w:jc w:val="left"/>
        <w:rPr>
          <w:color w:val="auto"/>
          <w:sz w:val="36"/>
          <w:szCs w:val="24"/>
          <w:lang w:val="en-US"/>
        </w:rPr>
      </w:pPr>
    </w:p>
    <w:p w14:paraId="79DDBAB1">
      <w:pPr>
        <w:pStyle w:val="179"/>
        <w:tabs>
          <w:tab w:val="left" w:pos="801"/>
        </w:tabs>
        <w:ind w:firstLine="0"/>
        <w:jc w:val="center"/>
        <w:rPr>
          <w:b/>
          <w:color w:val="auto"/>
          <w:sz w:val="56"/>
          <w:szCs w:val="56"/>
          <w:lang w:val="en-US"/>
        </w:rPr>
      </w:pPr>
      <w:bookmarkStart w:id="0" w:name="_Toc122424486"/>
      <w:bookmarkStart w:id="1" w:name="_Toc24988"/>
      <w:bookmarkStart w:id="2" w:name="_Toc16394"/>
      <w:bookmarkStart w:id="3" w:name="_Toc122424237"/>
      <w:r>
        <w:rPr>
          <w:rFonts w:hint="eastAsia"/>
          <w:b/>
          <w:color w:val="auto"/>
          <w:sz w:val="56"/>
          <w:szCs w:val="56"/>
        </w:rPr>
        <w:t>施工合同</w:t>
      </w:r>
    </w:p>
    <w:bookmarkEnd w:id="0"/>
    <w:bookmarkEnd w:id="1"/>
    <w:bookmarkEnd w:id="2"/>
    <w:bookmarkEnd w:id="3"/>
    <w:p w14:paraId="5D636263">
      <w:pPr>
        <w:pStyle w:val="2"/>
        <w:keepNext/>
        <w:keepLines/>
        <w:pageBreakBefore w:val="0"/>
        <w:widowControl w:val="0"/>
        <w:kinsoku/>
        <w:wordWrap/>
        <w:overflowPunct/>
        <w:topLinePunct w:val="0"/>
        <w:autoSpaceDE/>
        <w:autoSpaceDN/>
        <w:bidi w:val="0"/>
        <w:adjustRightInd/>
        <w:snapToGrid/>
        <w:spacing w:before="820" w:after="570" w:line="360" w:lineRule="exact"/>
        <w:jc w:val="center"/>
        <w:textAlignment w:val="auto"/>
        <w:rPr>
          <w:rFonts w:hint="eastAsia" w:cs="黑体"/>
          <w:color w:val="auto"/>
          <w:sz w:val="32"/>
          <w:szCs w:val="40"/>
        </w:rPr>
      </w:pPr>
    </w:p>
    <w:p w14:paraId="628E6BC1">
      <w:pPr>
        <w:rPr>
          <w:rFonts w:hint="eastAsia" w:cs="黑体"/>
          <w:color w:val="auto"/>
          <w:sz w:val="32"/>
          <w:szCs w:val="40"/>
        </w:rPr>
      </w:pPr>
    </w:p>
    <w:p w14:paraId="41828E98">
      <w:pPr>
        <w:rPr>
          <w:rFonts w:hint="eastAsia" w:cs="黑体"/>
          <w:color w:val="auto"/>
          <w:sz w:val="32"/>
          <w:szCs w:val="40"/>
        </w:rPr>
      </w:pPr>
    </w:p>
    <w:p w14:paraId="503660D1">
      <w:pPr>
        <w:rPr>
          <w:rFonts w:hint="eastAsia" w:cs="黑体"/>
          <w:color w:val="auto"/>
          <w:sz w:val="32"/>
          <w:szCs w:val="40"/>
        </w:rPr>
      </w:pPr>
    </w:p>
    <w:p w14:paraId="1AE07B4E">
      <w:pPr>
        <w:rPr>
          <w:rFonts w:hint="eastAsia" w:cs="黑体"/>
          <w:color w:val="auto"/>
          <w:sz w:val="32"/>
          <w:szCs w:val="40"/>
        </w:rPr>
      </w:pPr>
    </w:p>
    <w:p w14:paraId="66C47B69">
      <w:pPr>
        <w:rPr>
          <w:rFonts w:hint="eastAsia" w:cs="黑体"/>
          <w:color w:val="auto"/>
          <w:sz w:val="32"/>
          <w:szCs w:val="40"/>
        </w:rPr>
      </w:pPr>
    </w:p>
    <w:p w14:paraId="5EEA595D">
      <w:pPr>
        <w:ind w:firstLine="1920" w:firstLineChars="600"/>
        <w:jc w:val="both"/>
        <w:rPr>
          <w:rFonts w:hint="eastAsia" w:eastAsia="宋体" w:cs="黑体"/>
          <w:color w:val="auto"/>
          <w:sz w:val="32"/>
          <w:szCs w:val="40"/>
          <w:lang w:val="en-US" w:eastAsia="zh-CN"/>
        </w:rPr>
        <w:sectPr>
          <w:headerReference r:id="rId3" w:type="first"/>
          <w:pgSz w:w="11906" w:h="16838"/>
          <w:pgMar w:top="1240" w:right="1440" w:bottom="1440" w:left="1587" w:header="851" w:footer="992" w:gutter="0"/>
          <w:cols w:space="720" w:num="1"/>
          <w:titlePg/>
          <w:docGrid w:type="lines" w:linePitch="312" w:charSpace="0"/>
        </w:sectPr>
      </w:pPr>
      <w:r>
        <w:rPr>
          <w:rFonts w:hint="eastAsia" w:cs="黑体"/>
          <w:color w:val="auto"/>
          <w:sz w:val="32"/>
          <w:szCs w:val="40"/>
          <w:lang w:val="en-US" w:eastAsia="zh-CN"/>
        </w:rPr>
        <w:t>编号：</w:t>
      </w:r>
    </w:p>
    <w:p w14:paraId="210072D0">
      <w:pPr>
        <w:pStyle w:val="2"/>
        <w:keepNext/>
        <w:keepLines/>
        <w:pageBreakBefore w:val="0"/>
        <w:widowControl w:val="0"/>
        <w:kinsoku/>
        <w:wordWrap/>
        <w:overflowPunct/>
        <w:topLinePunct w:val="0"/>
        <w:autoSpaceDE/>
        <w:autoSpaceDN/>
        <w:bidi w:val="0"/>
        <w:adjustRightInd/>
        <w:snapToGrid/>
        <w:spacing w:before="500" w:after="570" w:line="360" w:lineRule="exact"/>
        <w:jc w:val="center"/>
        <w:textAlignment w:val="auto"/>
        <w:rPr>
          <w:color w:val="auto"/>
          <w:sz w:val="32"/>
          <w:szCs w:val="40"/>
        </w:rPr>
      </w:pPr>
      <w:r>
        <w:rPr>
          <w:rFonts w:hint="eastAsia" w:cs="黑体"/>
          <w:color w:val="auto"/>
          <w:sz w:val="32"/>
          <w:szCs w:val="40"/>
        </w:rPr>
        <w:t>第一部分</w:t>
      </w:r>
      <w:r>
        <w:rPr>
          <w:color w:val="auto"/>
          <w:sz w:val="32"/>
          <w:szCs w:val="40"/>
        </w:rPr>
        <w:t xml:space="preserve"> </w:t>
      </w:r>
      <w:r>
        <w:rPr>
          <w:rFonts w:hint="eastAsia" w:cs="黑体"/>
          <w:color w:val="auto"/>
          <w:sz w:val="32"/>
          <w:szCs w:val="40"/>
        </w:rPr>
        <w:t>合同协议书</w:t>
      </w:r>
    </w:p>
    <w:p w14:paraId="574D49AA">
      <w:pPr>
        <w:spacing w:line="360" w:lineRule="exact"/>
        <w:rPr>
          <w:color w:val="auto"/>
          <w:u w:val="single"/>
        </w:rPr>
      </w:pPr>
      <w:r>
        <w:rPr>
          <w:rFonts w:hint="eastAsia" w:hAnsi="宋体" w:cs="宋体"/>
          <w:color w:val="auto"/>
        </w:rPr>
        <w:t>发包人（全称）：</w:t>
      </w:r>
      <w:r>
        <w:rPr>
          <w:rFonts w:hint="eastAsia" w:ascii="宋体" w:hAnsi="宋体" w:cs="宋体"/>
          <w:color w:val="auto"/>
          <w:kern w:val="1"/>
          <w:szCs w:val="21"/>
          <w:u w:val="single"/>
        </w:rPr>
        <w:t>广西壮族自治区桂东人民医院</w:t>
      </w:r>
      <w:r>
        <w:rPr>
          <w:rFonts w:hAnsi="宋体"/>
          <w:color w:val="auto"/>
          <w:u w:val="single"/>
        </w:rPr>
        <w:t xml:space="preserve"> </w:t>
      </w:r>
    </w:p>
    <w:p w14:paraId="56B9335C">
      <w:pPr>
        <w:spacing w:line="360" w:lineRule="exact"/>
        <w:rPr>
          <w:rFonts w:hint="default" w:eastAsia="宋体"/>
          <w:color w:val="auto"/>
          <w:u w:val="single"/>
          <w:lang w:val="en-US" w:eastAsia="zh-CN"/>
        </w:rPr>
      </w:pPr>
      <w:r>
        <w:rPr>
          <w:rFonts w:hint="eastAsia" w:hAnsi="宋体" w:cs="宋体"/>
          <w:color w:val="auto"/>
        </w:rPr>
        <w:t>承包人（全称）：</w:t>
      </w:r>
      <w:r>
        <w:rPr>
          <w:rFonts w:hAnsi="宋体"/>
          <w:color w:val="auto"/>
          <w:u w:val="single"/>
        </w:rPr>
        <w:t xml:space="preserve"> </w:t>
      </w:r>
      <w:r>
        <w:rPr>
          <w:rFonts w:hint="eastAsia" w:hAnsi="宋体"/>
          <w:color w:val="auto"/>
          <w:u w:val="single"/>
          <w:lang w:val="en-US" w:eastAsia="zh-CN"/>
        </w:rPr>
        <w:t xml:space="preserve">  </w:t>
      </w:r>
    </w:p>
    <w:p w14:paraId="5DDDD839">
      <w:pPr>
        <w:spacing w:line="360" w:lineRule="exact"/>
        <w:ind w:firstLine="420" w:firstLineChars="200"/>
        <w:rPr>
          <w:rFonts w:hAnsi="宋体"/>
          <w:color w:val="auto"/>
        </w:rPr>
      </w:pPr>
      <w:r>
        <w:rPr>
          <w:rFonts w:hint="eastAsia" w:hAnsi="宋体" w:cs="宋体"/>
          <w:color w:val="auto"/>
        </w:rPr>
        <w:t>依据《中华人民共和国民法典》、《中华人民共和国建筑法》及有关法律规定，遵循平等、自愿、公平和诚实信用的原则，双方就</w:t>
      </w:r>
      <w:r>
        <w:rPr>
          <w:rFonts w:hint="eastAsia"/>
          <w:color w:val="auto"/>
          <w:u w:val="single"/>
        </w:rPr>
        <w:t>广西壮族自治区桂东人民医院</w:t>
      </w:r>
      <w:r>
        <w:rPr>
          <w:rFonts w:hint="eastAsia"/>
          <w:color w:val="auto"/>
          <w:u w:val="single"/>
          <w:lang w:val="en-US" w:eastAsia="zh-CN"/>
        </w:rPr>
        <w:t>**工程</w:t>
      </w:r>
      <w:r>
        <w:rPr>
          <w:rFonts w:hint="eastAsia" w:hAnsi="宋体" w:cs="宋体"/>
          <w:color w:val="auto"/>
        </w:rPr>
        <w:t>施工及有关事项，根据发包人竞争性磋商文件及承包人响应文件，共同达成如下协议：</w:t>
      </w:r>
      <w:bookmarkStart w:id="4" w:name="_Toc351203481"/>
    </w:p>
    <w:p w14:paraId="3B5DA621">
      <w:pPr>
        <w:spacing w:line="360" w:lineRule="exact"/>
        <w:ind w:firstLine="422" w:firstLineChars="200"/>
        <w:outlineLvl w:val="0"/>
        <w:rPr>
          <w:b/>
          <w:bCs/>
          <w:color w:val="auto"/>
        </w:rPr>
      </w:pPr>
      <w:r>
        <w:rPr>
          <w:rFonts w:hint="eastAsia" w:hAnsi="宋体" w:cs="宋体"/>
          <w:b/>
          <w:bCs/>
          <w:color w:val="auto"/>
        </w:rPr>
        <w:t>一、工程概况</w:t>
      </w:r>
      <w:bookmarkEnd w:id="4"/>
    </w:p>
    <w:p w14:paraId="20E50160">
      <w:pPr>
        <w:spacing w:line="360" w:lineRule="exact"/>
        <w:ind w:firstLine="411" w:firstLineChars="196"/>
        <w:rPr>
          <w:color w:val="auto"/>
          <w:u w:val="single"/>
        </w:rPr>
      </w:pPr>
      <w:r>
        <w:rPr>
          <w:color w:val="auto"/>
        </w:rPr>
        <w:t xml:space="preserve">1. </w:t>
      </w:r>
      <w:r>
        <w:rPr>
          <w:rFonts w:hint="eastAsia" w:hAnsi="宋体" w:cs="宋体"/>
          <w:color w:val="auto"/>
        </w:rPr>
        <w:t>工程名称：</w:t>
      </w:r>
      <w:r>
        <w:rPr>
          <w:rFonts w:hint="eastAsia"/>
          <w:color w:val="auto"/>
          <w:u w:val="single"/>
        </w:rPr>
        <w:t>广西壮族自治区桂东人民医院</w:t>
      </w:r>
      <w:r>
        <w:rPr>
          <w:rFonts w:hint="eastAsia"/>
          <w:color w:val="auto"/>
          <w:u w:val="single"/>
          <w:lang w:val="en-US" w:eastAsia="zh-CN"/>
        </w:rPr>
        <w:t>**工程</w:t>
      </w:r>
      <w:r>
        <w:rPr>
          <w:color w:val="auto"/>
          <w:u w:val="single"/>
        </w:rPr>
        <w:t xml:space="preserve"> </w:t>
      </w:r>
      <w:r>
        <w:rPr>
          <w:rFonts w:hint="eastAsia" w:hAnsi="宋体" w:cs="宋体"/>
          <w:color w:val="auto"/>
        </w:rPr>
        <w:t>。</w:t>
      </w:r>
    </w:p>
    <w:p w14:paraId="066D2B81">
      <w:pPr>
        <w:spacing w:line="360" w:lineRule="exact"/>
        <w:ind w:firstLine="411" w:firstLineChars="196"/>
        <w:rPr>
          <w:color w:val="auto"/>
        </w:rPr>
      </w:pPr>
      <w:r>
        <w:rPr>
          <w:color w:val="auto"/>
        </w:rPr>
        <w:t xml:space="preserve">2. </w:t>
      </w:r>
      <w:r>
        <w:rPr>
          <w:rFonts w:hint="eastAsia" w:hAnsi="宋体" w:cs="宋体"/>
          <w:color w:val="auto"/>
        </w:rPr>
        <w:t>工程地点：</w:t>
      </w:r>
      <w:r>
        <w:rPr>
          <w:color w:val="auto"/>
          <w:u w:val="single"/>
        </w:rPr>
        <w:t xml:space="preserve">  </w:t>
      </w:r>
      <w:r>
        <w:rPr>
          <w:rFonts w:hint="eastAsia"/>
          <w:color w:val="auto"/>
          <w:u w:val="single"/>
        </w:rPr>
        <w:t>广西壮族自治区梧州市万秀区西江四路金鸡冲1号</w:t>
      </w:r>
      <w:r>
        <w:rPr>
          <w:color w:val="auto"/>
          <w:u w:val="single"/>
        </w:rPr>
        <w:t xml:space="preserve">   </w:t>
      </w:r>
      <w:r>
        <w:rPr>
          <w:rFonts w:hint="eastAsia" w:hAnsi="宋体" w:cs="宋体"/>
          <w:color w:val="auto"/>
        </w:rPr>
        <w:t>。</w:t>
      </w:r>
    </w:p>
    <w:p w14:paraId="7A88600E">
      <w:pPr>
        <w:spacing w:line="360" w:lineRule="exact"/>
        <w:ind w:firstLine="411" w:firstLineChars="196"/>
        <w:rPr>
          <w:color w:val="auto"/>
        </w:rPr>
      </w:pPr>
      <w:r>
        <w:rPr>
          <w:color w:val="auto"/>
        </w:rPr>
        <w:t xml:space="preserve">3. </w:t>
      </w:r>
      <w:r>
        <w:rPr>
          <w:rFonts w:hint="eastAsia" w:hAnsi="宋体" w:cs="宋体"/>
          <w:color w:val="auto"/>
        </w:rPr>
        <w:t>工程立项批准文号：</w:t>
      </w:r>
      <w:r>
        <w:rPr>
          <w:color w:val="auto"/>
          <w:u w:val="single"/>
        </w:rPr>
        <w:t xml:space="preserve">   </w:t>
      </w:r>
      <w:r>
        <w:rPr>
          <w:rFonts w:hint="eastAsia"/>
          <w:color w:val="auto"/>
          <w:u w:val="single"/>
        </w:rPr>
        <w:t xml:space="preserve">    </w:t>
      </w:r>
      <w:r>
        <w:rPr>
          <w:color w:val="auto"/>
          <w:u w:val="single"/>
        </w:rPr>
        <w:t>/</w:t>
      </w:r>
      <w:r>
        <w:rPr>
          <w:rFonts w:hint="eastAsia"/>
          <w:color w:val="auto"/>
          <w:u w:val="single"/>
        </w:rPr>
        <w:t xml:space="preserve">                        </w:t>
      </w:r>
      <w:r>
        <w:rPr>
          <w:color w:val="auto"/>
          <w:u w:val="single"/>
        </w:rPr>
        <w:t xml:space="preserve">    </w:t>
      </w:r>
      <w:r>
        <w:rPr>
          <w:rFonts w:hint="eastAsia" w:hAnsi="宋体" w:cs="宋体"/>
          <w:color w:val="auto"/>
        </w:rPr>
        <w:t>。</w:t>
      </w:r>
    </w:p>
    <w:p w14:paraId="53E127B8">
      <w:pPr>
        <w:spacing w:line="360" w:lineRule="exact"/>
        <w:ind w:firstLine="411" w:firstLineChars="196"/>
        <w:rPr>
          <w:color w:val="auto"/>
        </w:rPr>
      </w:pPr>
      <w:r>
        <w:rPr>
          <w:color w:val="auto"/>
        </w:rPr>
        <w:t xml:space="preserve">4. </w:t>
      </w:r>
      <w:r>
        <w:rPr>
          <w:rFonts w:hint="eastAsia" w:hAnsi="宋体" w:cs="宋体"/>
          <w:color w:val="auto"/>
        </w:rPr>
        <w:t>资金来源：</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rFonts w:hint="eastAsia"/>
          <w:color w:val="auto"/>
          <w:u w:val="single"/>
          <w:lang w:val="en-US" w:eastAsia="zh-CN"/>
        </w:rPr>
        <w:t>单位自筹</w:t>
      </w:r>
      <w:r>
        <w:rPr>
          <w:rFonts w:hint="eastAsia"/>
          <w:color w:val="auto"/>
          <w:u w:val="single"/>
        </w:rPr>
        <w:t xml:space="preserve">                            </w:t>
      </w:r>
      <w:r>
        <w:rPr>
          <w:color w:val="auto"/>
          <w:u w:val="single"/>
        </w:rPr>
        <w:t xml:space="preserve">   </w:t>
      </w:r>
      <w:r>
        <w:rPr>
          <w:rFonts w:hint="eastAsia" w:hAnsi="宋体" w:cs="宋体"/>
          <w:color w:val="auto"/>
        </w:rPr>
        <w:t>。</w:t>
      </w:r>
    </w:p>
    <w:p w14:paraId="19D4BDF1">
      <w:pPr>
        <w:spacing w:line="360" w:lineRule="exact"/>
        <w:ind w:firstLine="411" w:firstLineChars="196"/>
        <w:rPr>
          <w:color w:val="auto"/>
        </w:rPr>
      </w:pPr>
      <w:r>
        <w:rPr>
          <w:color w:val="auto"/>
        </w:rPr>
        <w:t xml:space="preserve">5. </w:t>
      </w:r>
      <w:r>
        <w:rPr>
          <w:rFonts w:hint="eastAsia" w:hAnsi="宋体" w:cs="宋体"/>
          <w:color w:val="auto"/>
        </w:rPr>
        <w:t>工程内容：</w:t>
      </w:r>
      <w:r>
        <w:rPr>
          <w:rFonts w:hint="eastAsia"/>
          <w:color w:val="auto"/>
          <w:u w:val="single"/>
        </w:rPr>
        <w:t>广西壮族自治区桂东人民医院</w:t>
      </w:r>
      <w:r>
        <w:rPr>
          <w:rFonts w:hint="eastAsia"/>
          <w:color w:val="auto"/>
          <w:u w:val="single"/>
          <w:lang w:val="en-US" w:eastAsia="zh-CN"/>
        </w:rPr>
        <w:t>**工程</w:t>
      </w:r>
      <w:r>
        <w:rPr>
          <w:rFonts w:hint="eastAsia"/>
          <w:color w:val="auto"/>
          <w:u w:val="single"/>
        </w:rPr>
        <w:t xml:space="preserve">。具体工程量和各项技术指标以该工程项目施工图设计及工程量清单为准。 </w:t>
      </w:r>
    </w:p>
    <w:p w14:paraId="39F8264E">
      <w:pPr>
        <w:spacing w:line="360" w:lineRule="exact"/>
        <w:ind w:firstLine="411" w:firstLineChars="196"/>
        <w:rPr>
          <w:color w:val="auto"/>
        </w:rPr>
      </w:pPr>
      <w:r>
        <w:rPr>
          <w:color w:val="auto"/>
        </w:rPr>
        <w:t xml:space="preserve">6. </w:t>
      </w:r>
      <w:r>
        <w:rPr>
          <w:rFonts w:hint="eastAsia" w:hAnsi="宋体" w:cs="宋体"/>
          <w:color w:val="auto"/>
        </w:rPr>
        <w:t>工程承包范围：</w:t>
      </w:r>
    </w:p>
    <w:p w14:paraId="2EFFB839">
      <w:pPr>
        <w:spacing w:line="360" w:lineRule="exact"/>
        <w:ind w:firstLine="405" w:firstLineChars="193"/>
        <w:rPr>
          <w:rFonts w:hAnsi="宋体"/>
          <w:color w:val="auto"/>
        </w:rPr>
      </w:pPr>
      <w:r>
        <w:rPr>
          <w:color w:val="auto"/>
          <w:u w:val="single"/>
        </w:rPr>
        <w:t xml:space="preserve">  </w:t>
      </w:r>
      <w:r>
        <w:rPr>
          <w:rFonts w:hint="eastAsia"/>
          <w:color w:val="auto"/>
          <w:u w:val="single"/>
        </w:rPr>
        <w:t xml:space="preserve"> 以工程量和各项技术指标以该工程项目施工图设计及工程量清单为准。</w:t>
      </w:r>
    </w:p>
    <w:p w14:paraId="174AB2F5">
      <w:pPr>
        <w:spacing w:line="360" w:lineRule="exact"/>
        <w:ind w:firstLine="407" w:firstLineChars="193"/>
        <w:outlineLvl w:val="0"/>
        <w:rPr>
          <w:b/>
          <w:bCs/>
          <w:color w:val="auto"/>
        </w:rPr>
      </w:pPr>
      <w:bookmarkStart w:id="5" w:name="_Toc351203482"/>
      <w:r>
        <w:rPr>
          <w:rFonts w:hint="eastAsia" w:hAnsi="宋体" w:cs="宋体"/>
          <w:b/>
          <w:bCs/>
          <w:color w:val="auto"/>
        </w:rPr>
        <w:t>二、合同工期</w:t>
      </w:r>
      <w:bookmarkEnd w:id="5"/>
    </w:p>
    <w:p w14:paraId="1E7F3CA1">
      <w:pPr>
        <w:spacing w:line="360" w:lineRule="exact"/>
        <w:ind w:firstLine="459"/>
        <w:rPr>
          <w:color w:val="auto"/>
        </w:rPr>
      </w:pPr>
      <w:r>
        <w:rPr>
          <w:rFonts w:hint="eastAsia" w:hAnsi="宋体" w:cs="宋体"/>
          <w:color w:val="auto"/>
        </w:rPr>
        <w:t>计划开工日期：</w:t>
      </w:r>
      <w:r>
        <w:rPr>
          <w:rFonts w:hAnsi="宋体"/>
          <w:color w:val="auto"/>
          <w:u w:val="single"/>
        </w:rPr>
        <w:t></w:t>
      </w:r>
      <w:r>
        <w:rPr>
          <w:rFonts w:hint="eastAsia" w:hAnsi="宋体"/>
          <w:color w:val="auto"/>
          <w:u w:val="single"/>
          <w:lang w:val="en-US" w:eastAsia="zh-CN"/>
        </w:rPr>
        <w:t>2024</w:t>
      </w:r>
      <w:r>
        <w:rPr>
          <w:rFonts w:hAnsi="宋体"/>
          <w:color w:val="auto"/>
          <w:u w:val="single"/>
        </w:rPr>
        <w:t></w:t>
      </w:r>
      <w:r>
        <w:rPr>
          <w:rFonts w:hAnsi="宋体"/>
          <w:color w:val="auto"/>
        </w:rPr>
        <w:t>年</w:t>
      </w:r>
      <w:r>
        <w:rPr>
          <w:rFonts w:hAnsi="宋体"/>
          <w:color w:val="auto"/>
          <w:u w:val="single"/>
        </w:rPr>
        <w:t></w:t>
      </w:r>
      <w:r>
        <w:rPr>
          <w:rFonts w:hint="eastAsia" w:hAnsi="宋体"/>
          <w:color w:val="auto"/>
          <w:u w:val="single"/>
          <w:lang w:val="en-US" w:eastAsia="zh-CN"/>
        </w:rPr>
        <w:t xml:space="preserve">  </w:t>
      </w:r>
      <w:r>
        <w:rPr>
          <w:rFonts w:hAnsi="宋体"/>
          <w:color w:val="auto"/>
          <w:u w:val="single"/>
        </w:rPr>
        <w:t></w:t>
      </w:r>
      <w:r>
        <w:rPr>
          <w:rFonts w:hAnsi="宋体"/>
          <w:color w:val="auto"/>
        </w:rPr>
        <w:t>月</w:t>
      </w:r>
      <w:r>
        <w:rPr>
          <w:rFonts w:hAnsi="宋体"/>
          <w:color w:val="auto"/>
          <w:u w:val="single"/>
        </w:rPr>
        <w:t></w:t>
      </w:r>
      <w:r>
        <w:rPr>
          <w:rFonts w:hAnsi="宋体"/>
          <w:color w:val="auto"/>
        </w:rPr>
        <w:t>日。</w:t>
      </w:r>
      <w:r>
        <w:rPr>
          <w:rFonts w:hint="eastAsia" w:hAnsi="宋体" w:cs="宋体"/>
          <w:color w:val="auto"/>
        </w:rPr>
        <w:t>（具体以发包人书面通知为准）</w:t>
      </w:r>
    </w:p>
    <w:p w14:paraId="468A9EF9">
      <w:pPr>
        <w:spacing w:line="360" w:lineRule="exact"/>
        <w:ind w:firstLine="459"/>
        <w:rPr>
          <w:color w:val="auto"/>
        </w:rPr>
      </w:pPr>
      <w:r>
        <w:rPr>
          <w:rFonts w:hint="eastAsia" w:hAnsi="宋体" w:cs="宋体"/>
          <w:color w:val="auto"/>
        </w:rPr>
        <w:t>计划竣工日期：</w:t>
      </w:r>
      <w:r>
        <w:rPr>
          <w:rFonts w:hAnsi="宋体"/>
          <w:color w:val="auto"/>
          <w:u w:val="single"/>
        </w:rPr>
        <w:t></w:t>
      </w:r>
      <w:r>
        <w:rPr>
          <w:rFonts w:hint="eastAsia" w:hAnsi="宋体"/>
          <w:color w:val="auto"/>
          <w:u w:val="single"/>
          <w:lang w:val="en-US" w:eastAsia="zh-CN"/>
        </w:rPr>
        <w:t>2024</w:t>
      </w:r>
      <w:r>
        <w:rPr>
          <w:rFonts w:hAnsi="宋体"/>
          <w:color w:val="auto"/>
          <w:u w:val="single"/>
        </w:rPr>
        <w:t></w:t>
      </w:r>
      <w:r>
        <w:rPr>
          <w:rFonts w:hAnsi="宋体"/>
          <w:color w:val="auto"/>
        </w:rPr>
        <w:t>年</w:t>
      </w:r>
      <w:r>
        <w:rPr>
          <w:rFonts w:hAnsi="宋体"/>
          <w:color w:val="auto"/>
          <w:u w:val="single"/>
        </w:rPr>
        <w:t></w:t>
      </w:r>
      <w:r>
        <w:rPr>
          <w:rFonts w:hAnsi="宋体"/>
          <w:color w:val="auto"/>
        </w:rPr>
        <w:t>月</w:t>
      </w:r>
      <w:r>
        <w:rPr>
          <w:rFonts w:hAnsi="宋体"/>
          <w:color w:val="auto"/>
          <w:u w:val="single"/>
        </w:rPr>
        <w:t></w:t>
      </w:r>
      <w:r>
        <w:rPr>
          <w:rFonts w:hAnsi="宋体"/>
          <w:color w:val="auto"/>
        </w:rPr>
        <w:t>日</w:t>
      </w:r>
      <w:r>
        <w:rPr>
          <w:rFonts w:hint="eastAsia" w:hAnsi="宋体" w:cs="宋体"/>
          <w:color w:val="auto"/>
        </w:rPr>
        <w:t>。</w:t>
      </w:r>
    </w:p>
    <w:p w14:paraId="7E5D6187">
      <w:pPr>
        <w:spacing w:line="360" w:lineRule="exact"/>
        <w:ind w:firstLine="459"/>
        <w:rPr>
          <w:rFonts w:hAnsi="宋体"/>
          <w:color w:val="auto"/>
        </w:rPr>
      </w:pPr>
      <w:r>
        <w:rPr>
          <w:rFonts w:hint="eastAsia" w:hAnsi="宋体" w:cs="宋体"/>
          <w:color w:val="auto"/>
        </w:rPr>
        <w:t>工期总日历天数：</w:t>
      </w:r>
      <w:r>
        <w:rPr>
          <w:rFonts w:hint="eastAsia" w:hAnsi="宋体" w:cs="宋体"/>
          <w:color w:val="auto"/>
          <w:u w:val="single"/>
          <w:lang w:val="en-US" w:eastAsia="zh-CN"/>
        </w:rPr>
        <w:t>15</w:t>
      </w:r>
      <w:r>
        <w:rPr>
          <w:rFonts w:hint="eastAsia" w:hAnsi="宋体" w:cs="宋体"/>
          <w:color w:val="auto"/>
          <w:u w:val="single"/>
        </w:rPr>
        <w:t xml:space="preserve"> </w:t>
      </w:r>
      <w:r>
        <w:rPr>
          <w:rFonts w:hint="eastAsia" w:hAnsi="宋体" w:cs="宋体"/>
          <w:color w:val="auto"/>
        </w:rPr>
        <w:t>天。工期总日历天数与根据前述计划开竣工日期计算的工期天数不一致的，以工期总日历天数为准。</w:t>
      </w:r>
    </w:p>
    <w:p w14:paraId="479E6738">
      <w:pPr>
        <w:spacing w:line="360" w:lineRule="exact"/>
        <w:ind w:firstLine="459"/>
        <w:outlineLvl w:val="0"/>
        <w:rPr>
          <w:b/>
          <w:bCs/>
          <w:color w:val="auto"/>
        </w:rPr>
      </w:pPr>
      <w:bookmarkStart w:id="6" w:name="_Toc351203483"/>
      <w:r>
        <w:rPr>
          <w:rFonts w:hint="eastAsia" w:hAnsi="宋体" w:cs="宋体"/>
          <w:b/>
          <w:bCs/>
          <w:color w:val="auto"/>
        </w:rPr>
        <w:t>三、质量标准</w:t>
      </w:r>
      <w:bookmarkEnd w:id="6"/>
    </w:p>
    <w:p w14:paraId="4384258D">
      <w:pPr>
        <w:spacing w:line="360" w:lineRule="exact"/>
        <w:ind w:firstLine="459"/>
        <w:rPr>
          <w:rFonts w:hAnsi="宋体"/>
          <w:color w:val="auto"/>
        </w:rPr>
      </w:pPr>
      <w:r>
        <w:rPr>
          <w:rFonts w:hint="eastAsia" w:hAnsi="宋体" w:cs="宋体"/>
          <w:color w:val="auto"/>
        </w:rPr>
        <w:t>工程质量符合</w:t>
      </w:r>
      <w:r>
        <w:rPr>
          <w:rFonts w:hint="eastAsia" w:hAnsi="宋体" w:cs="宋体"/>
          <w:color w:val="auto"/>
          <w:u w:val="single"/>
        </w:rPr>
        <w:t>合格</w:t>
      </w:r>
      <w:r>
        <w:rPr>
          <w:rFonts w:hint="eastAsia" w:hAnsi="宋体" w:cs="宋体"/>
          <w:color w:val="auto"/>
        </w:rPr>
        <w:t>标准。</w:t>
      </w:r>
    </w:p>
    <w:p w14:paraId="2D503F14">
      <w:pPr>
        <w:spacing w:line="360" w:lineRule="exact"/>
        <w:ind w:firstLine="459"/>
        <w:outlineLvl w:val="0"/>
        <w:rPr>
          <w:rFonts w:hAnsi="宋体"/>
          <w:b/>
          <w:bCs/>
          <w:color w:val="auto"/>
        </w:rPr>
      </w:pPr>
      <w:bookmarkStart w:id="7" w:name="_Toc351203484"/>
      <w:r>
        <w:rPr>
          <w:rFonts w:hint="eastAsia" w:hAnsi="宋体" w:cs="宋体"/>
          <w:b/>
          <w:bCs/>
          <w:color w:val="auto"/>
        </w:rPr>
        <w:t>四、签约合同价与合同价格形式</w:t>
      </w:r>
      <w:bookmarkEnd w:id="7"/>
    </w:p>
    <w:p w14:paraId="18AB2673">
      <w:pPr>
        <w:spacing w:line="360" w:lineRule="exact"/>
        <w:ind w:firstLine="459"/>
        <w:rPr>
          <w:color w:val="auto"/>
        </w:rPr>
      </w:pPr>
      <w:r>
        <w:rPr>
          <w:color w:val="auto"/>
        </w:rPr>
        <w:t xml:space="preserve">1. </w:t>
      </w:r>
      <w:r>
        <w:rPr>
          <w:rFonts w:hint="eastAsia" w:hAnsi="宋体" w:cs="宋体"/>
          <w:color w:val="auto"/>
        </w:rPr>
        <w:t>签约合同价为：</w:t>
      </w:r>
    </w:p>
    <w:p w14:paraId="2F948C59">
      <w:pPr>
        <w:spacing w:line="360" w:lineRule="exact"/>
        <w:ind w:firstLine="525" w:firstLineChars="250"/>
        <w:rPr>
          <w:rFonts w:hAnsi="宋体"/>
          <w:color w:val="auto"/>
        </w:rPr>
      </w:pPr>
      <w:r>
        <w:rPr>
          <w:rFonts w:hint="eastAsia" w:hAnsi="宋体" w:cs="宋体"/>
          <w:color w:val="auto"/>
        </w:rPr>
        <w:t>人民币（大写）</w:t>
      </w:r>
      <w:r>
        <w:rPr>
          <w:color w:val="auto"/>
          <w:u w:val="single"/>
        </w:rPr>
        <w:t xml:space="preserve">  </w:t>
      </w:r>
      <w:r>
        <w:rPr>
          <w:rFonts w:hint="eastAsia" w:cs="宋体"/>
          <w:color w:val="auto"/>
        </w:rPr>
        <w:t>（</w:t>
      </w:r>
      <w:r>
        <w:rPr>
          <w:color w:val="auto"/>
        </w:rPr>
        <w:t>¥</w:t>
      </w:r>
      <w:r>
        <w:rPr>
          <w:color w:val="auto"/>
          <w:u w:val="single"/>
        </w:rPr>
        <w:t xml:space="preserve"> </w:t>
      </w:r>
      <w:r>
        <w:rPr>
          <w:rFonts w:hint="eastAsia" w:hAnsi="宋体" w:cs="宋体"/>
          <w:color w:val="auto"/>
        </w:rPr>
        <w:t>元</w:t>
      </w:r>
      <w:r>
        <w:rPr>
          <w:rFonts w:hint="eastAsia" w:cs="宋体"/>
          <w:color w:val="auto"/>
        </w:rPr>
        <w:t>）</w:t>
      </w:r>
      <w:r>
        <w:rPr>
          <w:rFonts w:hint="eastAsia" w:hAnsi="宋体" w:cs="宋体"/>
          <w:color w:val="auto"/>
        </w:rPr>
        <w:t>；</w:t>
      </w:r>
      <w:r>
        <w:rPr>
          <w:rFonts w:hint="eastAsia"/>
          <w:lang w:val="en-US" w:eastAsia="zh-CN"/>
        </w:rPr>
        <w:t>合同付款方式、第一期在发包人</w:t>
      </w:r>
      <w:bookmarkStart w:id="1290" w:name="_GoBack"/>
      <w:bookmarkEnd w:id="1290"/>
      <w:r>
        <w:rPr>
          <w:rFonts w:hint="eastAsia"/>
          <w:lang w:val="en-US" w:eastAsia="zh-CN"/>
        </w:rPr>
        <w:t>验收合格后付</w:t>
      </w:r>
      <w:r>
        <w:rPr>
          <w:rFonts w:hint="eastAsia"/>
          <w:u w:val="single"/>
          <w:lang w:val="en-US" w:eastAsia="zh-CN"/>
        </w:rPr>
        <w:t>95%（即</w:t>
      </w:r>
      <w:r>
        <w:rPr>
          <w:color w:val="auto"/>
          <w:u w:val="single"/>
        </w:rPr>
        <w:t>¥</w:t>
      </w:r>
      <w:r>
        <w:rPr>
          <w:rFonts w:hint="eastAsia"/>
          <w:color w:val="auto"/>
          <w:u w:val="single"/>
          <w:lang w:val="en-US" w:eastAsia="zh-CN"/>
        </w:rPr>
        <w:t>元</w:t>
      </w:r>
      <w:r>
        <w:rPr>
          <w:rFonts w:hint="eastAsia"/>
          <w:u w:val="single"/>
          <w:lang w:val="en-US" w:eastAsia="zh-CN"/>
        </w:rPr>
        <w:t>）</w:t>
      </w:r>
      <w:r>
        <w:rPr>
          <w:rFonts w:hint="eastAsia"/>
          <w:lang w:val="en-US" w:eastAsia="zh-CN"/>
        </w:rPr>
        <w:t>，第二期在验收合格三年后付</w:t>
      </w:r>
      <w:r>
        <w:rPr>
          <w:rFonts w:hint="eastAsia"/>
          <w:u w:val="single"/>
          <w:lang w:val="en-US" w:eastAsia="zh-CN"/>
        </w:rPr>
        <w:t>5% （即</w:t>
      </w:r>
      <w:r>
        <w:rPr>
          <w:color w:val="auto"/>
        </w:rPr>
        <w:t>¥</w:t>
      </w:r>
      <w:r>
        <w:rPr>
          <w:color w:val="auto"/>
          <w:u w:val="single"/>
        </w:rPr>
        <w:t xml:space="preserve"> </w:t>
      </w:r>
      <w:r>
        <w:rPr>
          <w:rFonts w:hint="eastAsia"/>
          <w:u w:val="single"/>
          <w:lang w:val="en-US" w:eastAsia="zh-CN"/>
        </w:rPr>
        <w:t>元）</w:t>
      </w:r>
      <w:r>
        <w:rPr>
          <w:rFonts w:hint="eastAsia"/>
          <w:u w:val="none"/>
          <w:lang w:val="en-US" w:eastAsia="zh-CN"/>
        </w:rPr>
        <w:t>。</w:t>
      </w:r>
    </w:p>
    <w:p w14:paraId="73939A02">
      <w:pPr>
        <w:numPr>
          <w:ilvl w:val="0"/>
          <w:numId w:val="1"/>
        </w:numPr>
        <w:spacing w:line="360" w:lineRule="exact"/>
        <w:ind w:firstLine="420" w:firstLineChars="200"/>
        <w:rPr>
          <w:rFonts w:hAnsi="宋体" w:cs="宋体"/>
          <w:color w:val="auto"/>
        </w:rPr>
      </w:pPr>
      <w:r>
        <w:rPr>
          <w:rFonts w:hint="eastAsia" w:hAnsi="宋体" w:cs="宋体"/>
          <w:color w:val="auto"/>
        </w:rPr>
        <w:t>合同价格形式：总价合同，工程量清单范围内总价承包。</w:t>
      </w:r>
    </w:p>
    <w:p w14:paraId="6C5865B5">
      <w:pPr>
        <w:spacing w:line="360" w:lineRule="exact"/>
        <w:ind w:firstLine="422" w:firstLineChars="200"/>
        <w:outlineLvl w:val="0"/>
        <w:rPr>
          <w:b/>
          <w:bCs/>
          <w:color w:val="auto"/>
        </w:rPr>
      </w:pPr>
      <w:bookmarkStart w:id="8" w:name="_Toc351203485"/>
      <w:r>
        <w:rPr>
          <w:rFonts w:hint="eastAsia" w:hAnsi="宋体" w:cs="宋体"/>
          <w:b/>
          <w:bCs/>
          <w:color w:val="auto"/>
        </w:rPr>
        <w:t>五、</w:t>
      </w:r>
      <w:bookmarkEnd w:id="8"/>
      <w:r>
        <w:rPr>
          <w:rFonts w:hint="eastAsia" w:hAnsi="宋体" w:cs="宋体"/>
          <w:b/>
          <w:bCs/>
          <w:color w:val="auto"/>
        </w:rPr>
        <w:t>项目经理</w:t>
      </w:r>
    </w:p>
    <w:p w14:paraId="1781DB4B">
      <w:pPr>
        <w:spacing w:line="360" w:lineRule="exact"/>
        <w:ind w:firstLine="420" w:firstLineChars="200"/>
        <w:rPr>
          <w:rFonts w:hAnsi="宋体"/>
          <w:color w:val="auto"/>
        </w:rPr>
      </w:pPr>
      <w:r>
        <w:rPr>
          <w:rFonts w:hint="eastAsia" w:hAnsi="宋体" w:cs="宋体"/>
          <w:color w:val="auto"/>
        </w:rPr>
        <w:t>承包人项目经理：</w:t>
      </w:r>
      <w:r>
        <w:rPr>
          <w:color w:val="auto"/>
          <w:u w:val="single"/>
        </w:rPr>
        <w:t xml:space="preserve">     </w:t>
      </w:r>
      <w:r>
        <w:rPr>
          <w:rFonts w:hint="eastAsia" w:hAnsi="宋体" w:cs="宋体"/>
          <w:color w:val="auto"/>
        </w:rPr>
        <w:t>。</w:t>
      </w:r>
    </w:p>
    <w:p w14:paraId="15636CFA">
      <w:pPr>
        <w:spacing w:line="360" w:lineRule="exact"/>
        <w:ind w:firstLine="422" w:firstLineChars="200"/>
        <w:outlineLvl w:val="0"/>
        <w:rPr>
          <w:b/>
          <w:bCs/>
          <w:color w:val="auto"/>
        </w:rPr>
      </w:pPr>
      <w:bookmarkStart w:id="9" w:name="_Toc351203486"/>
      <w:r>
        <w:rPr>
          <w:rFonts w:hint="eastAsia" w:hAnsi="宋体" w:cs="宋体"/>
          <w:b/>
          <w:bCs/>
          <w:color w:val="auto"/>
        </w:rPr>
        <w:t>六、合同文件构成</w:t>
      </w:r>
      <w:bookmarkEnd w:id="9"/>
    </w:p>
    <w:p w14:paraId="4F25020A">
      <w:pPr>
        <w:spacing w:line="360" w:lineRule="exact"/>
        <w:ind w:firstLine="420" w:firstLineChars="200"/>
        <w:rPr>
          <w:color w:val="auto"/>
        </w:rPr>
      </w:pPr>
      <w:r>
        <w:rPr>
          <w:rFonts w:hint="eastAsia" w:hAnsi="宋体" w:cs="宋体"/>
          <w:color w:val="auto"/>
        </w:rPr>
        <w:t>本协议书与下列文件一起构成合同文件：</w:t>
      </w:r>
    </w:p>
    <w:p w14:paraId="51D9FEEA">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1</w:t>
      </w:r>
      <w:r>
        <w:rPr>
          <w:rFonts w:hint="eastAsia" w:hAnsi="宋体" w:cs="宋体"/>
          <w:color w:val="auto"/>
        </w:rPr>
        <w:t>）成交通知书（如有）；</w:t>
      </w:r>
    </w:p>
    <w:p w14:paraId="03C537F9">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2</w:t>
      </w:r>
      <w:r>
        <w:rPr>
          <w:rFonts w:hint="eastAsia" w:hAnsi="宋体" w:cs="宋体"/>
          <w:color w:val="auto"/>
        </w:rPr>
        <w:t>）投标函及其附录（如有）；</w:t>
      </w:r>
      <w:r>
        <w:rPr>
          <w:color w:val="auto"/>
        </w:rPr>
        <w:t xml:space="preserve"> </w:t>
      </w:r>
    </w:p>
    <w:p w14:paraId="556C2E0F">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3</w:t>
      </w:r>
      <w:r>
        <w:rPr>
          <w:rFonts w:hint="eastAsia" w:hAnsi="宋体" w:cs="宋体"/>
          <w:color w:val="auto"/>
        </w:rPr>
        <w:t>）专用合同条款及其附件；</w:t>
      </w:r>
    </w:p>
    <w:p w14:paraId="2D80808D">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4</w:t>
      </w:r>
      <w:r>
        <w:rPr>
          <w:rFonts w:hint="eastAsia" w:hAnsi="宋体" w:cs="宋体"/>
          <w:color w:val="auto"/>
        </w:rPr>
        <w:t>）通用合同条款；</w:t>
      </w:r>
    </w:p>
    <w:p w14:paraId="285FD10B">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5</w:t>
      </w:r>
      <w:r>
        <w:rPr>
          <w:rFonts w:hint="eastAsia" w:hAnsi="宋体" w:cs="宋体"/>
          <w:color w:val="auto"/>
        </w:rPr>
        <w:t>）</w:t>
      </w:r>
      <w:r>
        <w:rPr>
          <w:rFonts w:ascii="宋体" w:hAnsi="宋体" w:cs="宋体"/>
          <w:color w:val="auto"/>
          <w:kern w:val="1"/>
          <w:szCs w:val="21"/>
        </w:rPr>
        <w:t>技术标准和要求</w:t>
      </w:r>
      <w:r>
        <w:rPr>
          <w:rFonts w:hint="eastAsia" w:hAnsi="宋体" w:cs="宋体"/>
          <w:color w:val="auto"/>
        </w:rPr>
        <w:t>；</w:t>
      </w:r>
    </w:p>
    <w:p w14:paraId="43F51164">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6</w:t>
      </w:r>
      <w:r>
        <w:rPr>
          <w:rFonts w:hint="eastAsia" w:hAnsi="宋体" w:cs="宋体"/>
          <w:color w:val="auto"/>
        </w:rPr>
        <w:t>）</w:t>
      </w:r>
      <w:r>
        <w:rPr>
          <w:rFonts w:ascii="宋体" w:hAnsi="宋体" w:cs="宋体"/>
          <w:color w:val="auto"/>
          <w:kern w:val="1"/>
          <w:szCs w:val="21"/>
        </w:rPr>
        <w:t>已标价工程量清单或预算书</w:t>
      </w:r>
      <w:r>
        <w:rPr>
          <w:rFonts w:hint="eastAsia" w:hAnsi="宋体" w:cs="宋体"/>
          <w:color w:val="auto"/>
        </w:rPr>
        <w:t>；</w:t>
      </w:r>
    </w:p>
    <w:p w14:paraId="65AA4DEA">
      <w:pPr>
        <w:autoSpaceDE w:val="0"/>
        <w:autoSpaceDN w:val="0"/>
        <w:adjustRightInd w:val="0"/>
        <w:spacing w:line="360" w:lineRule="exact"/>
        <w:ind w:firstLine="420" w:firstLineChars="200"/>
        <w:jc w:val="left"/>
        <w:rPr>
          <w:color w:val="auto"/>
        </w:rPr>
      </w:pPr>
      <w:r>
        <w:rPr>
          <w:rFonts w:hint="eastAsia" w:hAnsi="宋体" w:cs="宋体"/>
          <w:color w:val="auto"/>
        </w:rPr>
        <w:t>（</w:t>
      </w:r>
      <w:r>
        <w:rPr>
          <w:color w:val="auto"/>
        </w:rPr>
        <w:t>7</w:t>
      </w:r>
      <w:r>
        <w:rPr>
          <w:rFonts w:hint="eastAsia" w:hAnsi="宋体" w:cs="宋体"/>
          <w:color w:val="auto"/>
        </w:rPr>
        <w:t>）</w:t>
      </w:r>
      <w:r>
        <w:rPr>
          <w:rFonts w:ascii="宋体" w:hAnsi="宋体" w:cs="宋体"/>
          <w:color w:val="auto"/>
          <w:kern w:val="1"/>
          <w:szCs w:val="21"/>
        </w:rPr>
        <w:t>图纸</w:t>
      </w:r>
      <w:r>
        <w:rPr>
          <w:rFonts w:hint="eastAsia" w:hAnsi="宋体" w:cs="宋体"/>
          <w:color w:val="auto"/>
        </w:rPr>
        <w:t>；</w:t>
      </w:r>
    </w:p>
    <w:p w14:paraId="05C95BC4">
      <w:pPr>
        <w:autoSpaceDE w:val="0"/>
        <w:autoSpaceDN w:val="0"/>
        <w:adjustRightInd w:val="0"/>
        <w:spacing w:line="360" w:lineRule="exact"/>
        <w:ind w:firstLine="420" w:firstLineChars="200"/>
        <w:jc w:val="left"/>
        <w:rPr>
          <w:rFonts w:hAnsi="宋体" w:cs="宋体"/>
          <w:color w:val="auto"/>
        </w:rPr>
      </w:pPr>
      <w:r>
        <w:rPr>
          <w:rFonts w:hint="eastAsia" w:hAnsi="宋体" w:cs="宋体"/>
          <w:color w:val="auto"/>
        </w:rPr>
        <w:t>（</w:t>
      </w:r>
      <w:r>
        <w:rPr>
          <w:color w:val="auto"/>
        </w:rPr>
        <w:t>8</w:t>
      </w:r>
      <w:r>
        <w:rPr>
          <w:rFonts w:hint="eastAsia" w:hAnsi="宋体" w:cs="宋体"/>
          <w:color w:val="auto"/>
        </w:rPr>
        <w:t>）其他合同文件：</w:t>
      </w:r>
    </w:p>
    <w:p w14:paraId="479A93D5">
      <w:pPr>
        <w:spacing w:line="360" w:lineRule="exact"/>
        <w:ind w:firstLine="420"/>
        <w:jc w:val="left"/>
        <w:rPr>
          <w:rFonts w:cs="宋体"/>
          <w:color w:val="auto"/>
          <w:kern w:val="1"/>
          <w:szCs w:val="21"/>
        </w:rPr>
      </w:pPr>
      <w:r>
        <w:rPr>
          <w:rFonts w:cs="宋体"/>
          <w:color w:val="auto"/>
          <w:kern w:val="1"/>
          <w:szCs w:val="21"/>
        </w:rPr>
        <w:t>（</w:t>
      </w:r>
      <w:r>
        <w:rPr>
          <w:rFonts w:hint="eastAsia" w:cs="宋体"/>
          <w:color w:val="auto"/>
          <w:kern w:val="1"/>
          <w:szCs w:val="21"/>
        </w:rPr>
        <w:t>9</w:t>
      </w:r>
      <w:r>
        <w:rPr>
          <w:rFonts w:cs="宋体"/>
          <w:color w:val="auto"/>
          <w:kern w:val="1"/>
          <w:szCs w:val="21"/>
        </w:rPr>
        <w:t>）《建设工程工程量清单计价规范（GB5050-2013）》及其广西实施细则及《关于建筑业实施营业税改征增值税后广西壮族自治区建设工程计价依据调整的通知》（桂建标〔2016〕17号）、</w:t>
      </w:r>
      <w:r>
        <w:rPr>
          <w:rFonts w:hint="eastAsia" w:cs="宋体"/>
          <w:color w:val="auto"/>
          <w:kern w:val="1"/>
          <w:szCs w:val="21"/>
        </w:rPr>
        <w:t>《关于调整除税价计算适用增值税税率的通知》(桂造价[2019]10号)、</w:t>
      </w:r>
      <w:r>
        <w:rPr>
          <w:rFonts w:cs="宋体"/>
          <w:color w:val="auto"/>
          <w:kern w:val="1"/>
          <w:szCs w:val="21"/>
        </w:rPr>
        <w:t>《建设工程工程量清单计算规范（GB5854~50862-2013）》及其广西实施细则（修订本）。</w:t>
      </w:r>
    </w:p>
    <w:p w14:paraId="07BABDF8">
      <w:pPr>
        <w:spacing w:line="360" w:lineRule="exact"/>
        <w:ind w:firstLine="420"/>
        <w:jc w:val="left"/>
        <w:rPr>
          <w:rFonts w:ascii="宋体" w:hAnsi="宋体"/>
          <w:color w:val="auto"/>
          <w:kern w:val="1"/>
          <w:szCs w:val="21"/>
        </w:rPr>
      </w:pPr>
      <w:r>
        <w:rPr>
          <w:rFonts w:ascii="宋体" w:hAnsi="宋体" w:cs="宋体"/>
          <w:color w:val="auto"/>
          <w:kern w:val="1"/>
          <w:szCs w:val="21"/>
        </w:rPr>
        <w:t>在合同订立及履行过程中形成的与合同有关的文件均构成合同文件组成部分。</w:t>
      </w:r>
    </w:p>
    <w:p w14:paraId="4B90198B">
      <w:pPr>
        <w:pStyle w:val="19"/>
        <w:spacing w:line="360" w:lineRule="exact"/>
        <w:rPr>
          <w:color w:val="auto"/>
        </w:rPr>
      </w:pPr>
      <w:r>
        <w:rPr>
          <w:rFonts w:ascii="宋体" w:hAnsi="宋体" w:cs="宋体"/>
          <w:color w:val="auto"/>
          <w:kern w:val="1"/>
          <w:szCs w:val="21"/>
        </w:rPr>
        <w:t>上述各项合同文件包括合同当事人就该项合同文件所作出的补充和修改，属于同一类内容的文件，应以最新签署的为准。专用合同条款及其附件须经合同当事人签字或盖章。</w:t>
      </w:r>
    </w:p>
    <w:p w14:paraId="608E65FB">
      <w:pPr>
        <w:autoSpaceDE w:val="0"/>
        <w:autoSpaceDN w:val="0"/>
        <w:adjustRightInd w:val="0"/>
        <w:spacing w:line="360" w:lineRule="exact"/>
        <w:ind w:firstLine="420" w:firstLineChars="200"/>
        <w:jc w:val="left"/>
        <w:rPr>
          <w:rFonts w:hAnsi="宋体"/>
          <w:color w:val="auto"/>
        </w:rPr>
      </w:pPr>
      <w:r>
        <w:rPr>
          <w:rFonts w:hint="eastAsia" w:hAnsi="宋体" w:cs="宋体"/>
          <w:color w:val="auto"/>
        </w:rPr>
        <w:t>上述各项合同文件包括合同当事人就该项合同文件所作出的补充和修改，属于同一类内容的文件，应以最新签署的为准（违反磋商文件</w:t>
      </w:r>
      <w:r>
        <w:rPr>
          <w:rFonts w:hAnsi="宋体" w:cs="宋体"/>
          <w:color w:val="auto"/>
        </w:rPr>
        <w:t>实质性内容的约定除外</w:t>
      </w:r>
      <w:r>
        <w:rPr>
          <w:rFonts w:hint="eastAsia" w:hAnsi="宋体" w:cs="宋体"/>
          <w:color w:val="auto"/>
        </w:rPr>
        <w:t>）。专用合同条款及其附件须经合同当事人签字或盖章。</w:t>
      </w:r>
    </w:p>
    <w:p w14:paraId="4CDC5E6A">
      <w:pPr>
        <w:autoSpaceDE w:val="0"/>
        <w:autoSpaceDN w:val="0"/>
        <w:adjustRightInd w:val="0"/>
        <w:spacing w:line="360" w:lineRule="exact"/>
        <w:ind w:firstLine="422" w:firstLineChars="200"/>
        <w:jc w:val="left"/>
        <w:outlineLvl w:val="0"/>
        <w:rPr>
          <w:b/>
          <w:bCs/>
          <w:color w:val="auto"/>
        </w:rPr>
      </w:pPr>
      <w:bookmarkStart w:id="10" w:name="_Toc351203487"/>
      <w:r>
        <w:rPr>
          <w:rFonts w:hint="eastAsia" w:hAnsi="宋体" w:cs="宋体"/>
          <w:b/>
          <w:bCs/>
          <w:color w:val="auto"/>
        </w:rPr>
        <w:t>七、承诺</w:t>
      </w:r>
      <w:bookmarkEnd w:id="10"/>
    </w:p>
    <w:p w14:paraId="5C10D5A3">
      <w:pPr>
        <w:spacing w:line="360" w:lineRule="exact"/>
        <w:ind w:firstLine="420" w:firstLineChars="200"/>
        <w:rPr>
          <w:color w:val="auto"/>
        </w:rPr>
      </w:pPr>
      <w:r>
        <w:rPr>
          <w:color w:val="auto"/>
        </w:rPr>
        <w:t xml:space="preserve">1. </w:t>
      </w:r>
      <w:r>
        <w:rPr>
          <w:rFonts w:hint="eastAsia" w:hAnsi="宋体" w:cs="宋体"/>
          <w:color w:val="auto"/>
        </w:rPr>
        <w:t>发包人承诺按照法律规定履行项目审批手续、筹集工程建设资金并按照合同约定的期限和方式支付合同价款。</w:t>
      </w:r>
    </w:p>
    <w:p w14:paraId="12DA7A59">
      <w:pPr>
        <w:spacing w:line="360" w:lineRule="exact"/>
        <w:ind w:firstLine="420" w:firstLineChars="200"/>
        <w:rPr>
          <w:color w:val="auto"/>
        </w:rPr>
      </w:pPr>
      <w:r>
        <w:rPr>
          <w:color w:val="auto"/>
        </w:rPr>
        <w:t xml:space="preserve">2. </w:t>
      </w:r>
      <w:r>
        <w:rPr>
          <w:rFonts w:hint="eastAsia" w:hAnsi="宋体" w:cs="宋体"/>
          <w:color w:val="auto"/>
        </w:rPr>
        <w:t>承包人承诺按照法律规定及合同约定组织完成工程施工，确保工程质量和安全，不进行转包及违法分包，并在缺陷责任期及保修期内承担相应的工程维修责任。</w:t>
      </w:r>
    </w:p>
    <w:p w14:paraId="65297F7E">
      <w:pPr>
        <w:spacing w:line="360" w:lineRule="exact"/>
        <w:ind w:firstLine="420" w:firstLineChars="200"/>
        <w:rPr>
          <w:rFonts w:hAnsi="宋体"/>
          <w:color w:val="auto"/>
        </w:rPr>
      </w:pPr>
      <w:r>
        <w:rPr>
          <w:color w:val="auto"/>
        </w:rPr>
        <w:t xml:space="preserve">3. </w:t>
      </w:r>
      <w:r>
        <w:rPr>
          <w:rFonts w:hint="eastAsia" w:hAnsi="宋体" w:cs="宋体"/>
          <w:color w:val="auto"/>
        </w:rPr>
        <w:t>发包人和承包人通过招投标形式签订合同的，双方理解并承诺不再就同一工程另行签订与合同实质性内容相背离的协议。</w:t>
      </w:r>
      <w:bookmarkStart w:id="11" w:name="_Toc351203488"/>
    </w:p>
    <w:p w14:paraId="03121B91">
      <w:pPr>
        <w:spacing w:line="360" w:lineRule="exact"/>
        <w:ind w:firstLine="422" w:firstLineChars="200"/>
        <w:outlineLvl w:val="0"/>
        <w:rPr>
          <w:b/>
          <w:bCs/>
          <w:color w:val="auto"/>
        </w:rPr>
      </w:pPr>
      <w:r>
        <w:rPr>
          <w:rFonts w:hint="eastAsia" w:hAnsi="宋体" w:cs="宋体"/>
          <w:b/>
          <w:bCs/>
          <w:color w:val="auto"/>
        </w:rPr>
        <w:t>八、词语含义</w:t>
      </w:r>
      <w:bookmarkEnd w:id="11"/>
    </w:p>
    <w:p w14:paraId="00766EAF">
      <w:pPr>
        <w:spacing w:line="360" w:lineRule="exact"/>
        <w:ind w:firstLine="420" w:firstLineChars="200"/>
        <w:rPr>
          <w:rFonts w:hAnsi="宋体"/>
          <w:color w:val="auto"/>
        </w:rPr>
      </w:pPr>
      <w:r>
        <w:rPr>
          <w:rFonts w:hint="eastAsia" w:hAnsi="宋体" w:cs="宋体"/>
          <w:color w:val="auto"/>
        </w:rPr>
        <w:t>本协议书中词语含义与第二部分通用合同条款中赋予的含义相同。</w:t>
      </w:r>
    </w:p>
    <w:p w14:paraId="51DEADEE">
      <w:pPr>
        <w:spacing w:line="360" w:lineRule="exact"/>
        <w:ind w:firstLine="422" w:firstLineChars="200"/>
        <w:outlineLvl w:val="0"/>
        <w:rPr>
          <w:b/>
          <w:bCs/>
          <w:color w:val="auto"/>
        </w:rPr>
      </w:pPr>
      <w:bookmarkStart w:id="12" w:name="_Toc351203489"/>
      <w:r>
        <w:rPr>
          <w:rFonts w:hint="eastAsia" w:hAnsi="宋体" w:cs="宋体"/>
          <w:b/>
          <w:bCs/>
          <w:color w:val="auto"/>
        </w:rPr>
        <w:t>九、签订时间</w:t>
      </w:r>
      <w:bookmarkEnd w:id="12"/>
    </w:p>
    <w:p w14:paraId="39A45A80">
      <w:pPr>
        <w:spacing w:line="360" w:lineRule="exact"/>
        <w:ind w:firstLine="420" w:firstLineChars="200"/>
        <w:rPr>
          <w:rFonts w:hAnsi="宋体"/>
          <w:color w:val="auto"/>
        </w:rPr>
      </w:pPr>
      <w:r>
        <w:rPr>
          <w:rFonts w:hint="eastAsia" w:hAnsi="宋体" w:cs="宋体"/>
          <w:color w:val="auto"/>
        </w:rPr>
        <w:t>本合同于</w:t>
      </w:r>
      <w:r>
        <w:rPr>
          <w:color w:val="auto"/>
          <w:u w:val="single"/>
        </w:rPr>
        <w:t xml:space="preserve"> </w:t>
      </w:r>
      <w:r>
        <w:rPr>
          <w:rFonts w:hint="eastAsia"/>
          <w:color w:val="auto"/>
          <w:u w:val="single"/>
          <w:lang w:val="en-US" w:eastAsia="zh-CN"/>
        </w:rPr>
        <w:t>2024</w:t>
      </w:r>
      <w:r>
        <w:rPr>
          <w:color w:val="auto"/>
          <w:u w:val="single"/>
        </w:rPr>
        <w:t xml:space="preserve">   </w:t>
      </w:r>
      <w:r>
        <w:rPr>
          <w:rFonts w:hint="eastAsia" w:hAnsi="宋体" w:cs="宋体"/>
          <w:color w:val="auto"/>
        </w:rPr>
        <w:t>年</w:t>
      </w:r>
      <w:r>
        <w:rPr>
          <w:color w:val="auto"/>
          <w:u w:val="single"/>
        </w:rPr>
        <w:t xml:space="preserve"> </w:t>
      </w:r>
      <w:r>
        <w:rPr>
          <w:rFonts w:hint="eastAsia"/>
          <w:color w:val="auto"/>
          <w:u w:val="single"/>
          <w:lang w:val="en-US" w:eastAsia="zh-CN"/>
        </w:rPr>
        <w:t xml:space="preserve">  </w:t>
      </w:r>
      <w:r>
        <w:rPr>
          <w:color w:val="auto"/>
          <w:u w:val="single"/>
        </w:rPr>
        <w:t xml:space="preserve"> </w:t>
      </w:r>
      <w:r>
        <w:rPr>
          <w:rFonts w:hint="eastAsia" w:hAnsi="宋体" w:cs="宋体"/>
          <w:color w:val="auto"/>
        </w:rPr>
        <w:t>月</w:t>
      </w:r>
      <w:r>
        <w:rPr>
          <w:color w:val="auto"/>
          <w:u w:val="single"/>
        </w:rPr>
        <w:t xml:space="preserve">    </w:t>
      </w:r>
      <w:r>
        <w:rPr>
          <w:rFonts w:hint="eastAsia" w:hAnsi="宋体" w:cs="宋体"/>
          <w:color w:val="auto"/>
        </w:rPr>
        <w:t>日签订。</w:t>
      </w:r>
    </w:p>
    <w:p w14:paraId="585C78CD">
      <w:pPr>
        <w:spacing w:line="360" w:lineRule="exact"/>
        <w:ind w:firstLine="422" w:firstLineChars="200"/>
        <w:outlineLvl w:val="0"/>
        <w:rPr>
          <w:b/>
          <w:bCs/>
          <w:color w:val="auto"/>
        </w:rPr>
      </w:pPr>
      <w:bookmarkStart w:id="13" w:name="_Toc351203490"/>
      <w:r>
        <w:rPr>
          <w:rFonts w:hint="eastAsia" w:hAnsi="宋体" w:cs="宋体"/>
          <w:b/>
          <w:bCs/>
          <w:color w:val="auto"/>
        </w:rPr>
        <w:t>十、签订地点</w:t>
      </w:r>
      <w:bookmarkEnd w:id="13"/>
    </w:p>
    <w:p w14:paraId="6E23F8F1">
      <w:pPr>
        <w:spacing w:line="360" w:lineRule="exact"/>
        <w:ind w:firstLine="420" w:firstLineChars="200"/>
        <w:rPr>
          <w:rFonts w:hAnsi="宋体"/>
          <w:color w:val="auto"/>
        </w:rPr>
      </w:pPr>
      <w:r>
        <w:rPr>
          <w:rFonts w:hint="eastAsia" w:hAnsi="宋体" w:cs="宋体"/>
          <w:color w:val="auto"/>
        </w:rPr>
        <w:t>本合同在</w:t>
      </w:r>
      <w:r>
        <w:rPr>
          <w:color w:val="auto"/>
          <w:u w:val="single"/>
        </w:rPr>
        <w:t xml:space="preserve">  </w:t>
      </w:r>
      <w:r>
        <w:rPr>
          <w:rFonts w:hint="eastAsia"/>
          <w:color w:val="auto"/>
          <w:kern w:val="1"/>
          <w:szCs w:val="21"/>
          <w:u w:val="single"/>
        </w:rPr>
        <w:t xml:space="preserve">广西梧州市 </w:t>
      </w:r>
      <w:r>
        <w:rPr>
          <w:color w:val="auto"/>
          <w:u w:val="single"/>
        </w:rPr>
        <w:t xml:space="preserve"> </w:t>
      </w:r>
      <w:r>
        <w:rPr>
          <w:rFonts w:hint="eastAsia" w:hAnsi="宋体" w:cs="宋体"/>
          <w:color w:val="auto"/>
        </w:rPr>
        <w:t>签订。</w:t>
      </w:r>
    </w:p>
    <w:p w14:paraId="59305633">
      <w:pPr>
        <w:spacing w:line="360" w:lineRule="exact"/>
        <w:ind w:firstLine="422" w:firstLineChars="200"/>
        <w:outlineLvl w:val="0"/>
        <w:rPr>
          <w:b/>
          <w:bCs/>
          <w:color w:val="auto"/>
        </w:rPr>
      </w:pPr>
      <w:bookmarkStart w:id="14" w:name="_Toc351203491"/>
      <w:r>
        <w:rPr>
          <w:rFonts w:hint="eastAsia" w:hAnsi="宋体" w:cs="宋体"/>
          <w:b/>
          <w:bCs/>
          <w:color w:val="auto"/>
        </w:rPr>
        <w:t>十一、补充协议</w:t>
      </w:r>
      <w:bookmarkEnd w:id="14"/>
    </w:p>
    <w:p w14:paraId="17846AF5">
      <w:pPr>
        <w:spacing w:line="360" w:lineRule="exact"/>
        <w:ind w:firstLine="420" w:firstLineChars="200"/>
        <w:rPr>
          <w:rFonts w:hAnsi="宋体"/>
          <w:color w:val="auto"/>
        </w:rPr>
      </w:pPr>
      <w:r>
        <w:rPr>
          <w:rFonts w:hint="eastAsia" w:hAnsi="宋体" w:cs="宋体"/>
          <w:color w:val="auto"/>
        </w:rPr>
        <w:t>合同未尽事宜，合同当事人另行签订补充协议，补充协议是合同的组成部分。</w:t>
      </w:r>
    </w:p>
    <w:p w14:paraId="3F3165ED">
      <w:pPr>
        <w:spacing w:line="360" w:lineRule="exact"/>
        <w:ind w:firstLine="422" w:firstLineChars="200"/>
        <w:outlineLvl w:val="0"/>
        <w:rPr>
          <w:b/>
          <w:bCs/>
          <w:color w:val="auto"/>
        </w:rPr>
      </w:pPr>
      <w:bookmarkStart w:id="15" w:name="_Toc351203492"/>
      <w:r>
        <w:rPr>
          <w:rFonts w:hint="eastAsia" w:hAnsi="宋体" w:cs="宋体"/>
          <w:b/>
          <w:bCs/>
          <w:color w:val="auto"/>
        </w:rPr>
        <w:t>十二、合同生效</w:t>
      </w:r>
      <w:bookmarkEnd w:id="15"/>
    </w:p>
    <w:p w14:paraId="5C4A8EC9">
      <w:pPr>
        <w:spacing w:line="360" w:lineRule="exact"/>
        <w:ind w:firstLine="420" w:firstLineChars="200"/>
        <w:rPr>
          <w:rFonts w:hAnsi="宋体"/>
          <w:color w:val="auto"/>
        </w:rPr>
      </w:pPr>
      <w:r>
        <w:rPr>
          <w:rFonts w:hint="eastAsia" w:hAnsi="宋体" w:cs="宋体"/>
          <w:color w:val="auto"/>
        </w:rPr>
        <w:t>本合同自</w:t>
      </w:r>
      <w:r>
        <w:rPr>
          <w:color w:val="auto"/>
          <w:u w:val="single"/>
        </w:rPr>
        <w:t xml:space="preserve">  </w:t>
      </w:r>
      <w:r>
        <w:rPr>
          <w:rFonts w:hint="eastAsia"/>
          <w:color w:val="auto"/>
          <w:kern w:val="1"/>
          <w:szCs w:val="21"/>
          <w:u w:val="single"/>
        </w:rPr>
        <w:t xml:space="preserve">双方法定代表人或其委托代理人签字或盖章并加盖公章 </w:t>
      </w:r>
      <w:r>
        <w:rPr>
          <w:color w:val="auto"/>
          <w:u w:val="single"/>
        </w:rPr>
        <w:t xml:space="preserve"> </w:t>
      </w:r>
      <w:r>
        <w:rPr>
          <w:rFonts w:hint="eastAsia" w:hAnsi="宋体" w:cs="宋体"/>
          <w:color w:val="auto"/>
        </w:rPr>
        <w:t>生效。</w:t>
      </w:r>
    </w:p>
    <w:p w14:paraId="43501F4B">
      <w:pPr>
        <w:spacing w:line="360" w:lineRule="exact"/>
        <w:ind w:firstLine="422"/>
        <w:outlineLvl w:val="0"/>
        <w:rPr>
          <w:rFonts w:cs="宋体"/>
          <w:b/>
          <w:color w:val="auto"/>
          <w:kern w:val="1"/>
          <w:szCs w:val="21"/>
        </w:rPr>
      </w:pPr>
      <w:bookmarkStart w:id="16" w:name="_Toc21136"/>
      <w:bookmarkStart w:id="17" w:name="_Toc836"/>
      <w:bookmarkStart w:id="18" w:name="_Toc25527"/>
      <w:bookmarkStart w:id="19" w:name="_Toc12169"/>
      <w:r>
        <w:rPr>
          <w:rFonts w:hint="eastAsia" w:cs="宋体"/>
          <w:b/>
          <w:color w:val="auto"/>
          <w:kern w:val="1"/>
          <w:szCs w:val="21"/>
        </w:rPr>
        <w:t>十三、特别约定</w:t>
      </w:r>
      <w:bookmarkEnd w:id="16"/>
      <w:bookmarkEnd w:id="17"/>
      <w:bookmarkEnd w:id="18"/>
      <w:bookmarkEnd w:id="19"/>
    </w:p>
    <w:p w14:paraId="58E4C822">
      <w:pPr>
        <w:spacing w:line="360" w:lineRule="exact"/>
        <w:ind w:right="-210" w:rightChars="-100" w:firstLine="422"/>
        <w:outlineLvl w:val="0"/>
        <w:rPr>
          <w:rFonts w:cs="宋体"/>
          <w:bCs/>
          <w:color w:val="auto"/>
          <w:kern w:val="1"/>
          <w:szCs w:val="21"/>
        </w:rPr>
      </w:pPr>
      <w:bookmarkStart w:id="20" w:name="_Toc16468"/>
      <w:bookmarkStart w:id="21" w:name="_Toc29676"/>
      <w:bookmarkStart w:id="22" w:name="_Toc31211"/>
      <w:bookmarkStart w:id="23" w:name="_Toc16459"/>
      <w:r>
        <w:rPr>
          <w:rFonts w:hint="eastAsia" w:cs="宋体"/>
          <w:bCs/>
          <w:color w:val="auto"/>
          <w:kern w:val="1"/>
          <w:szCs w:val="21"/>
        </w:rPr>
        <w:t>发包人和承包人双方约定，合同签章页所写的地址作为往来信函、送达仲裁或诉讼等文书的确认地址。文书邮寄至双方约定的上述送达地址，因载明的地址有误或未及时告知变更后的地址，导致相关通知或文书未能实际接收的、邮寄送达的，相关通知或文书自交付邮寄之日5日即视为送达，一方拒收该邮件的，直接视为已送达。</w:t>
      </w:r>
      <w:bookmarkEnd w:id="20"/>
      <w:bookmarkEnd w:id="21"/>
      <w:bookmarkEnd w:id="22"/>
      <w:bookmarkEnd w:id="23"/>
    </w:p>
    <w:p w14:paraId="00081780">
      <w:pPr>
        <w:spacing w:line="360" w:lineRule="exact"/>
        <w:ind w:firstLine="422"/>
        <w:outlineLvl w:val="0"/>
        <w:rPr>
          <w:rFonts w:ascii="宋体" w:hAnsi="宋体" w:cs="宋体"/>
          <w:b/>
          <w:color w:val="auto"/>
          <w:kern w:val="1"/>
          <w:szCs w:val="21"/>
        </w:rPr>
      </w:pPr>
      <w:bookmarkStart w:id="24" w:name="_Toc351203493"/>
      <w:bookmarkEnd w:id="24"/>
      <w:bookmarkStart w:id="25" w:name="_Toc19300"/>
      <w:bookmarkStart w:id="26" w:name="_Toc18504"/>
      <w:bookmarkStart w:id="27" w:name="_Toc17854"/>
      <w:bookmarkStart w:id="28" w:name="_Toc22805"/>
      <w:bookmarkStart w:id="29" w:name="_Toc6010"/>
    </w:p>
    <w:p w14:paraId="385B63F9">
      <w:pPr>
        <w:spacing w:line="360" w:lineRule="exact"/>
        <w:ind w:firstLine="422"/>
        <w:outlineLvl w:val="0"/>
        <w:rPr>
          <w:rFonts w:ascii="宋体" w:hAnsi="宋体" w:cs="宋体"/>
          <w:b/>
          <w:color w:val="auto"/>
          <w:kern w:val="1"/>
          <w:szCs w:val="21"/>
        </w:rPr>
      </w:pPr>
    </w:p>
    <w:p w14:paraId="5B566A84">
      <w:pPr>
        <w:spacing w:line="360" w:lineRule="exact"/>
        <w:ind w:firstLine="422"/>
        <w:outlineLvl w:val="0"/>
        <w:rPr>
          <w:rFonts w:ascii="宋体" w:hAnsi="宋体" w:cs="宋体"/>
          <w:b/>
          <w:color w:val="auto"/>
          <w:kern w:val="1"/>
          <w:szCs w:val="21"/>
        </w:rPr>
      </w:pPr>
    </w:p>
    <w:p w14:paraId="5C8CE550">
      <w:pPr>
        <w:spacing w:line="360" w:lineRule="exact"/>
        <w:ind w:firstLine="422"/>
        <w:outlineLvl w:val="0"/>
        <w:rPr>
          <w:rFonts w:ascii="宋体" w:hAnsi="宋体" w:cs="宋体"/>
          <w:b/>
          <w:color w:val="auto"/>
          <w:kern w:val="1"/>
          <w:szCs w:val="21"/>
        </w:rPr>
      </w:pPr>
    </w:p>
    <w:p w14:paraId="1F19DB94">
      <w:pPr>
        <w:spacing w:line="360" w:lineRule="exact"/>
        <w:ind w:firstLine="422"/>
        <w:outlineLvl w:val="0"/>
        <w:rPr>
          <w:rFonts w:ascii="宋体" w:hAnsi="宋体"/>
          <w:b/>
          <w:color w:val="auto"/>
          <w:kern w:val="1"/>
          <w:szCs w:val="21"/>
        </w:rPr>
      </w:pPr>
      <w:r>
        <w:rPr>
          <w:rFonts w:ascii="宋体" w:hAnsi="宋体" w:cs="宋体"/>
          <w:b/>
          <w:color w:val="auto"/>
          <w:kern w:val="1"/>
          <w:szCs w:val="21"/>
        </w:rPr>
        <w:t>十</w:t>
      </w:r>
      <w:r>
        <w:rPr>
          <w:rFonts w:hint="eastAsia" w:ascii="宋体" w:hAnsi="宋体" w:cs="宋体"/>
          <w:b/>
          <w:color w:val="auto"/>
          <w:kern w:val="1"/>
          <w:szCs w:val="21"/>
        </w:rPr>
        <w:t>四</w:t>
      </w:r>
      <w:r>
        <w:rPr>
          <w:rFonts w:ascii="宋体" w:hAnsi="宋体" w:cs="宋体"/>
          <w:b/>
          <w:color w:val="auto"/>
          <w:kern w:val="1"/>
          <w:szCs w:val="21"/>
        </w:rPr>
        <w:t>、合同份数</w:t>
      </w:r>
      <w:bookmarkEnd w:id="25"/>
      <w:bookmarkEnd w:id="26"/>
      <w:bookmarkEnd w:id="27"/>
      <w:bookmarkEnd w:id="28"/>
      <w:bookmarkEnd w:id="29"/>
    </w:p>
    <w:p w14:paraId="511F338D">
      <w:pPr>
        <w:spacing w:line="360" w:lineRule="exact"/>
        <w:ind w:firstLine="420" w:firstLineChars="200"/>
        <w:rPr>
          <w:color w:val="auto"/>
        </w:rPr>
      </w:pPr>
      <w:r>
        <w:rPr>
          <w:rFonts w:ascii="宋体" w:hAnsi="宋体" w:cs="宋体"/>
          <w:color w:val="auto"/>
          <w:kern w:val="1"/>
          <w:szCs w:val="21"/>
        </w:rPr>
        <w:t>本合同一式</w:t>
      </w:r>
      <w:r>
        <w:rPr>
          <w:rFonts w:hint="eastAsia" w:ascii="宋体" w:hAnsi="宋体"/>
          <w:color w:val="auto"/>
          <w:kern w:val="1"/>
          <w:szCs w:val="21"/>
          <w:u w:val="single"/>
          <w:lang w:val="en-US" w:eastAsia="zh-CN"/>
        </w:rPr>
        <w:t>伍</w:t>
      </w:r>
      <w:r>
        <w:rPr>
          <w:rFonts w:ascii="宋体" w:hAnsi="宋体" w:cs="宋体"/>
          <w:color w:val="auto"/>
          <w:kern w:val="1"/>
          <w:szCs w:val="21"/>
        </w:rPr>
        <w:t>份，均具有同等法律效力，发包人执</w:t>
      </w:r>
      <w:r>
        <w:rPr>
          <w:rFonts w:hint="eastAsia" w:ascii="宋体" w:hAnsi="宋体" w:cs="宋体"/>
          <w:color w:val="auto"/>
          <w:kern w:val="1"/>
          <w:szCs w:val="21"/>
          <w:u w:val="single"/>
          <w:lang w:val="en-US" w:eastAsia="zh-CN"/>
        </w:rPr>
        <w:t>肆</w:t>
      </w:r>
      <w:r>
        <w:rPr>
          <w:rFonts w:ascii="宋体" w:hAnsi="宋体" w:cs="宋体"/>
          <w:color w:val="auto"/>
          <w:kern w:val="1"/>
          <w:szCs w:val="21"/>
        </w:rPr>
        <w:t>份，承包人执</w:t>
      </w:r>
      <w:r>
        <w:rPr>
          <w:rFonts w:hint="eastAsia" w:ascii="宋体" w:hAnsi="宋体"/>
          <w:color w:val="auto"/>
          <w:kern w:val="1"/>
          <w:szCs w:val="21"/>
          <w:u w:val="single"/>
          <w:lang w:val="en-US" w:eastAsia="zh-CN"/>
        </w:rPr>
        <w:t>壹</w:t>
      </w:r>
      <w:r>
        <w:rPr>
          <w:rFonts w:ascii="宋体" w:hAnsi="宋体" w:cs="宋体"/>
          <w:color w:val="auto"/>
          <w:kern w:val="1"/>
          <w:szCs w:val="21"/>
        </w:rPr>
        <w:t>份</w:t>
      </w:r>
      <w:r>
        <w:rPr>
          <w:rFonts w:hint="eastAsia" w:ascii="宋体" w:hAnsi="宋体" w:cs="宋体"/>
          <w:color w:val="auto"/>
          <w:kern w:val="1"/>
          <w:szCs w:val="21"/>
        </w:rPr>
        <w:t>。</w:t>
      </w:r>
    </w:p>
    <w:p w14:paraId="59C8B8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u w:val="single"/>
          <w:lang w:val="en-US" w:eastAsia="zh-CN"/>
        </w:rPr>
      </w:pPr>
      <w:bookmarkStart w:id="30" w:name="_Toc18139"/>
      <w:bookmarkStart w:id="31" w:name="_Toc4509"/>
      <w:bookmarkStart w:id="32" w:name="_Toc4294"/>
      <w:bookmarkStart w:id="33" w:name="_Toc25940"/>
      <w:bookmarkStart w:id="34" w:name="_Toc26741"/>
      <w:r>
        <w:rPr>
          <w:rFonts w:hint="eastAsia" w:ascii="宋体" w:hAnsi="宋体" w:eastAsia="宋体" w:cs="宋体"/>
          <w:color w:val="auto"/>
        </w:rPr>
        <w:t>发包人（公章）：</w:t>
      </w:r>
      <w:r>
        <w:rPr>
          <w:rFonts w:hint="eastAsia" w:ascii="宋体" w:hAnsi="宋体" w:cs="宋体"/>
          <w:color w:val="auto"/>
          <w:u w:val="single"/>
          <w:lang w:val="en-US" w:eastAsia="zh-CN"/>
        </w:rPr>
        <w:t>广西壮族自治区桂东人民医院</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承包人（公章）：</w:t>
      </w:r>
      <w:r>
        <w:rPr>
          <w:rFonts w:hint="eastAsia" w:ascii="宋体" w:hAnsi="宋体" w:cs="宋体"/>
          <w:color w:val="auto"/>
          <w:u w:val="single"/>
          <w:lang w:val="en-US" w:eastAsia="zh-CN"/>
        </w:rPr>
        <w:t xml:space="preserve">  </w:t>
      </w:r>
    </w:p>
    <w:p w14:paraId="14846F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rPr>
        <w:t>地  址：</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梧州市西江四路</w:t>
      </w:r>
      <w:r>
        <w:rPr>
          <w:rFonts w:hint="eastAsia" w:ascii="宋体" w:hAnsi="宋体" w:eastAsia="宋体" w:cs="宋体"/>
          <w:color w:val="auto"/>
          <w:u w:val="single"/>
        </w:rPr>
        <w:t></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地  址：</w:t>
      </w:r>
      <w:r>
        <w:rPr>
          <w:rFonts w:hint="eastAsia" w:ascii="宋体" w:hAnsi="宋体" w:eastAsia="宋体" w:cs="宋体"/>
          <w:color w:val="auto"/>
          <w:sz w:val="18"/>
          <w:szCs w:val="18"/>
          <w:u w:val="single"/>
        </w:rPr>
        <w:t xml:space="preserve"> </w:t>
      </w:r>
    </w:p>
    <w:p w14:paraId="69239E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委托代理人（签字）：</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 xml:space="preserve"> 委托代理人（签字）：</w:t>
      </w:r>
      <w:r>
        <w:rPr>
          <w:rFonts w:hint="eastAsia" w:ascii="宋体" w:hAnsi="宋体" w:eastAsia="宋体" w:cs="宋体"/>
          <w:color w:val="auto"/>
          <w:u w:val="single"/>
        </w:rPr>
        <w:t>     </w:t>
      </w:r>
    </w:p>
    <w:p w14:paraId="75F4006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u w:val="single"/>
          <w:lang w:val="en-US" w:eastAsia="zh-CN"/>
        </w:rPr>
      </w:pPr>
      <w:r>
        <w:rPr>
          <w:rFonts w:hint="eastAsia" w:ascii="宋体" w:hAnsi="宋体" w:cs="宋体"/>
          <w:color w:val="auto"/>
          <w:lang w:val="en-US" w:eastAsia="zh-CN"/>
        </w:rPr>
        <w:t>日  期：</w:t>
      </w:r>
      <w:r>
        <w:rPr>
          <w:rFonts w:hint="eastAsia" w:ascii="宋体" w:hAnsi="宋体" w:cs="宋体"/>
          <w:color w:val="auto"/>
          <w:u w:val="single"/>
          <w:lang w:val="en-US" w:eastAsia="zh-CN"/>
        </w:rPr>
        <w:t xml:space="preserve">              </w:t>
      </w:r>
      <w:r>
        <w:rPr>
          <w:rFonts w:hint="eastAsia" w:ascii="宋体" w:hAnsi="宋体" w:cs="宋体"/>
          <w:color w:val="auto"/>
          <w:u w:val="none"/>
          <w:lang w:val="en-US" w:eastAsia="zh-CN"/>
        </w:rPr>
        <w:t xml:space="preserve">                       </w:t>
      </w:r>
      <w:r>
        <w:rPr>
          <w:rFonts w:hint="eastAsia" w:ascii="宋体" w:hAnsi="宋体" w:cs="宋体"/>
          <w:color w:val="auto"/>
          <w:lang w:val="en-US" w:eastAsia="zh-CN"/>
        </w:rPr>
        <w:t>日  期：</w:t>
      </w:r>
      <w:r>
        <w:rPr>
          <w:rFonts w:hint="eastAsia" w:ascii="宋体" w:hAnsi="宋体" w:cs="宋体"/>
          <w:color w:val="auto"/>
          <w:u w:val="single"/>
          <w:lang w:val="en-US" w:eastAsia="zh-CN"/>
        </w:rPr>
        <w:t xml:space="preserve">               </w:t>
      </w:r>
    </w:p>
    <w:p w14:paraId="3CC346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电  话：</w:t>
      </w:r>
      <w:r>
        <w:rPr>
          <w:rFonts w:hint="eastAsia" w:ascii="宋体" w:hAnsi="宋体" w:eastAsia="宋体" w:cs="宋体"/>
          <w:color w:val="auto"/>
          <w:u w:val="single"/>
        </w:rPr>
        <w:t>0774-2020669</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电  话：</w:t>
      </w:r>
      <w:r>
        <w:rPr>
          <w:rFonts w:hint="eastAsia" w:ascii="宋体" w:hAnsi="宋体" w:eastAsia="宋体" w:cs="宋体"/>
          <w:color w:val="auto"/>
          <w:u w:val="single"/>
        </w:rPr>
        <w:t></w:t>
      </w:r>
      <w:r>
        <w:rPr>
          <w:rFonts w:hint="eastAsia" w:ascii="宋体" w:hAnsi="宋体" w:cs="宋体"/>
          <w:color w:val="auto"/>
          <w:u w:val="single"/>
          <w:lang w:val="en-US" w:eastAsia="zh-CN"/>
        </w:rPr>
        <w:t xml:space="preserve">   </w:t>
      </w:r>
      <w:r>
        <w:rPr>
          <w:rFonts w:hint="eastAsia" w:ascii="宋体" w:hAnsi="宋体" w:eastAsia="宋体" w:cs="宋体"/>
          <w:color w:val="auto"/>
          <w:u w:val="single"/>
        </w:rPr>
        <w:t></w:t>
      </w:r>
    </w:p>
    <w:p w14:paraId="52616F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rPr>
        <w:t>传  真：</w:t>
      </w:r>
      <w:r>
        <w:rPr>
          <w:rFonts w:hint="eastAsia" w:ascii="宋体" w:hAnsi="宋体" w:eastAsia="宋体" w:cs="宋体"/>
          <w:color w:val="auto"/>
          <w:u w:val="single"/>
        </w:rPr>
        <w:t></w:t>
      </w:r>
      <w:r>
        <w:rPr>
          <w:rFonts w:hint="eastAsia" w:ascii="宋体" w:hAnsi="宋体" w:cs="宋体"/>
          <w:color w:val="auto"/>
          <w:u w:val="single"/>
          <w:lang w:val="en-US" w:eastAsia="zh-CN"/>
        </w:rPr>
        <w:t>/</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传  真：</w:t>
      </w:r>
      <w:r>
        <w:rPr>
          <w:rFonts w:hint="eastAsia" w:ascii="宋体" w:hAnsi="宋体" w:eastAsia="宋体" w:cs="宋体"/>
          <w:color w:val="auto"/>
          <w:u w:val="single"/>
        </w:rPr>
        <w:t>   </w:t>
      </w:r>
      <w:r>
        <w:rPr>
          <w:rFonts w:hint="eastAsia" w:ascii="宋体" w:hAnsi="宋体" w:cs="宋体"/>
          <w:color w:val="auto"/>
          <w:u w:val="single"/>
          <w:lang w:val="en-US" w:eastAsia="zh-CN"/>
        </w:rPr>
        <w:t xml:space="preserve"> </w:t>
      </w:r>
    </w:p>
    <w:p w14:paraId="17924B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u w:val="single"/>
        </w:rPr>
      </w:pPr>
      <w:r>
        <w:rPr>
          <w:rFonts w:hint="eastAsia" w:ascii="宋体" w:hAnsi="宋体" w:eastAsia="宋体" w:cs="宋体"/>
          <w:color w:val="auto"/>
        </w:rPr>
        <w:t>开户银行：</w:t>
      </w:r>
      <w:r>
        <w:rPr>
          <w:rFonts w:hint="eastAsia" w:ascii="宋体" w:hAnsi="宋体" w:eastAsia="宋体" w:cs="宋体"/>
          <w:color w:val="auto"/>
          <w:u w:val="single"/>
        </w:rPr>
        <w:t>交通银行梧州分行营业部</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开户银行：</w:t>
      </w:r>
    </w:p>
    <w:p w14:paraId="7AA1296D">
      <w:pPr>
        <w:keepNext w:val="0"/>
        <w:keepLines w:val="0"/>
        <w:pageBreakBefore w:val="0"/>
        <w:widowControl w:val="0"/>
        <w:tabs>
          <w:tab w:val="left" w:pos="2880"/>
          <w:tab w:val="left" w:pos="3060"/>
          <w:tab w:val="left" w:pos="4500"/>
        </w:tabs>
        <w:kinsoku/>
        <w:wordWrap/>
        <w:overflowPunct/>
        <w:topLinePunct w:val="0"/>
        <w:autoSpaceDE/>
        <w:autoSpaceDN/>
        <w:bidi w:val="0"/>
        <w:adjustRightInd/>
        <w:snapToGrid/>
        <w:spacing w:line="360" w:lineRule="auto"/>
        <w:textAlignment w:val="auto"/>
        <w:rPr>
          <w:rFonts w:hint="default" w:ascii="宋体" w:hAnsi="宋体" w:eastAsia="宋体" w:cs="宋体"/>
          <w:color w:val="auto"/>
          <w:u w:val="single"/>
          <w:lang w:val="en-US" w:eastAsia="zh-CN"/>
        </w:rPr>
      </w:pPr>
      <w:r>
        <w:rPr>
          <w:rFonts w:hint="eastAsia" w:ascii="宋体" w:hAnsi="宋体" w:eastAsia="宋体" w:cs="宋体"/>
          <w:color w:val="auto"/>
        </w:rPr>
        <w:t>账  号：</w:t>
      </w:r>
      <w:r>
        <w:rPr>
          <w:rFonts w:hint="eastAsia" w:ascii="宋体" w:hAnsi="宋体" w:eastAsia="宋体" w:cs="宋体"/>
          <w:color w:val="auto"/>
          <w:u w:val="single"/>
        </w:rPr>
        <w:t>454060900018150298388</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账  号：</w:t>
      </w:r>
      <w:r>
        <w:rPr>
          <w:rFonts w:hint="eastAsia" w:ascii="宋体" w:hAnsi="宋体" w:cs="宋体"/>
          <w:color w:val="auto"/>
          <w:u w:val="single"/>
          <w:lang w:val="en-US" w:eastAsia="zh-CN"/>
        </w:rPr>
        <w:t xml:space="preserve">      </w:t>
      </w:r>
    </w:p>
    <w:p w14:paraId="7F5E30F1">
      <w:pPr>
        <w:keepNext w:val="0"/>
        <w:keepLines w:val="0"/>
        <w:pageBreakBefore w:val="0"/>
        <w:widowControl w:val="0"/>
        <w:tabs>
          <w:tab w:val="left" w:pos="7200"/>
          <w:tab w:val="left" w:pos="738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邮政编码：</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543000</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邮政编码：</w:t>
      </w:r>
      <w:r>
        <w:rPr>
          <w:rFonts w:hint="eastAsia" w:ascii="宋体" w:hAnsi="宋体" w:eastAsia="宋体" w:cs="宋体"/>
          <w:color w:val="auto"/>
          <w:u w:val="single"/>
        </w:rPr>
        <w:t></w:t>
      </w:r>
    </w:p>
    <w:p w14:paraId="3B1AEEB8">
      <w:pPr>
        <w:pStyle w:val="2"/>
        <w:spacing w:line="360" w:lineRule="exact"/>
        <w:jc w:val="center"/>
        <w:rPr>
          <w:rFonts w:hint="eastAsia" w:ascii="宋体" w:hAnsi="宋体"/>
          <w:color w:val="auto"/>
          <w:sz w:val="28"/>
          <w:szCs w:val="28"/>
          <w:lang w:val="zh-CN"/>
        </w:rPr>
      </w:pPr>
    </w:p>
    <w:p w14:paraId="6496EC1E">
      <w:pPr>
        <w:bidi w:val="0"/>
        <w:rPr>
          <w:rFonts w:hint="eastAsia"/>
          <w:lang w:val="zh-CN"/>
        </w:rPr>
      </w:pPr>
    </w:p>
    <w:p w14:paraId="7F923E90">
      <w:pPr>
        <w:bidi w:val="0"/>
        <w:rPr>
          <w:rFonts w:hint="eastAsia"/>
          <w:lang w:val="zh-CN"/>
        </w:rPr>
      </w:pPr>
    </w:p>
    <w:p w14:paraId="3FE06B53">
      <w:pPr>
        <w:bidi w:val="0"/>
        <w:rPr>
          <w:rFonts w:hint="eastAsia"/>
          <w:lang w:val="zh-CN"/>
        </w:rPr>
      </w:pPr>
    </w:p>
    <w:p w14:paraId="7F4095E9">
      <w:pPr>
        <w:bidi w:val="0"/>
        <w:rPr>
          <w:rFonts w:hint="eastAsia"/>
          <w:lang w:val="zh-CN"/>
        </w:rPr>
      </w:pPr>
    </w:p>
    <w:p w14:paraId="34FB9665">
      <w:pPr>
        <w:bidi w:val="0"/>
        <w:rPr>
          <w:rFonts w:hint="eastAsia"/>
          <w:lang w:val="zh-CN"/>
        </w:rPr>
      </w:pPr>
    </w:p>
    <w:p w14:paraId="58EE8798">
      <w:pPr>
        <w:bidi w:val="0"/>
        <w:rPr>
          <w:rFonts w:hint="eastAsia"/>
          <w:lang w:val="zh-CN"/>
        </w:rPr>
      </w:pPr>
    </w:p>
    <w:p w14:paraId="6A0FF0BB">
      <w:pPr>
        <w:bidi w:val="0"/>
        <w:rPr>
          <w:rFonts w:hint="eastAsia"/>
          <w:lang w:val="zh-CN"/>
        </w:rPr>
      </w:pPr>
    </w:p>
    <w:p w14:paraId="18827603">
      <w:pPr>
        <w:pStyle w:val="2"/>
        <w:spacing w:line="360" w:lineRule="exact"/>
        <w:jc w:val="both"/>
        <w:rPr>
          <w:rFonts w:hint="eastAsia" w:ascii="宋体" w:hAnsi="宋体"/>
          <w:color w:val="auto"/>
          <w:sz w:val="28"/>
          <w:szCs w:val="28"/>
          <w:lang w:val="zh-CN"/>
        </w:rPr>
      </w:pPr>
    </w:p>
    <w:p w14:paraId="7962B70D">
      <w:pPr>
        <w:rPr>
          <w:rFonts w:hint="eastAsia"/>
          <w:lang w:val="zh-CN"/>
        </w:rPr>
      </w:pPr>
    </w:p>
    <w:p w14:paraId="1DAABA11">
      <w:pPr>
        <w:pStyle w:val="2"/>
        <w:spacing w:line="360" w:lineRule="exact"/>
        <w:ind w:firstLine="3092" w:firstLineChars="1100"/>
        <w:jc w:val="both"/>
        <w:rPr>
          <w:rFonts w:hint="eastAsia" w:ascii="宋体" w:hAnsi="宋体"/>
          <w:color w:val="auto"/>
          <w:sz w:val="28"/>
          <w:szCs w:val="28"/>
          <w:lang w:val="zh-CN"/>
        </w:rPr>
      </w:pPr>
    </w:p>
    <w:p w14:paraId="201B98D8">
      <w:pPr>
        <w:rPr>
          <w:rFonts w:hint="eastAsia"/>
          <w:lang w:val="zh-CN"/>
        </w:rPr>
      </w:pPr>
    </w:p>
    <w:p w14:paraId="1A725F17">
      <w:pPr>
        <w:pStyle w:val="2"/>
        <w:spacing w:line="360" w:lineRule="exact"/>
        <w:ind w:firstLine="3092" w:firstLineChars="1100"/>
        <w:jc w:val="both"/>
        <w:rPr>
          <w:rFonts w:ascii="宋体" w:hAnsi="宋体" w:cs="宋体"/>
          <w:color w:val="auto"/>
          <w:szCs w:val="21"/>
        </w:rPr>
      </w:pPr>
      <w:r>
        <w:rPr>
          <w:rFonts w:hint="eastAsia" w:ascii="宋体" w:hAnsi="宋体"/>
          <w:color w:val="auto"/>
          <w:sz w:val="28"/>
          <w:szCs w:val="28"/>
          <w:lang w:val="zh-CN"/>
        </w:rPr>
        <w:t>第二部分 通用</w:t>
      </w:r>
      <w:r>
        <w:rPr>
          <w:rFonts w:ascii="宋体" w:hAnsi="宋体"/>
          <w:color w:val="auto"/>
          <w:sz w:val="28"/>
          <w:szCs w:val="28"/>
          <w:lang w:val="zh-CN"/>
        </w:rPr>
        <w:t>合同条款</w:t>
      </w:r>
      <w:bookmarkEnd w:id="30"/>
      <w:bookmarkEnd w:id="31"/>
      <w:bookmarkEnd w:id="32"/>
      <w:bookmarkEnd w:id="33"/>
      <w:bookmarkEnd w:id="34"/>
    </w:p>
    <w:p w14:paraId="040EED30">
      <w:pPr>
        <w:pStyle w:val="5"/>
        <w:spacing w:before="120" w:after="120" w:line="360" w:lineRule="exact"/>
        <w:rPr>
          <w:rFonts w:ascii="宋体" w:hAnsi="宋体" w:cs="宋体"/>
          <w:bCs w:val="0"/>
          <w:color w:val="auto"/>
          <w:sz w:val="21"/>
          <w:szCs w:val="21"/>
        </w:rPr>
      </w:pPr>
      <w:bookmarkStart w:id="35" w:name="_Toc351203495"/>
      <w:r>
        <w:rPr>
          <w:rFonts w:hint="eastAsia" w:ascii="宋体" w:hAnsi="宋体" w:cs="宋体"/>
          <w:bCs w:val="0"/>
          <w:color w:val="auto"/>
          <w:sz w:val="21"/>
          <w:szCs w:val="21"/>
        </w:rPr>
        <w:t>1.</w:t>
      </w:r>
      <w:bookmarkStart w:id="36" w:name="_Toc303538973"/>
      <w:bookmarkEnd w:id="36"/>
      <w:bookmarkStart w:id="37" w:name="_Toc303538976"/>
      <w:bookmarkEnd w:id="37"/>
      <w:bookmarkStart w:id="38" w:name="_Toc303538972"/>
      <w:bookmarkEnd w:id="38"/>
      <w:bookmarkStart w:id="39" w:name="_Toc303538974"/>
      <w:bookmarkEnd w:id="39"/>
      <w:bookmarkStart w:id="40" w:name="_Toc303538975"/>
      <w:bookmarkEnd w:id="40"/>
      <w:bookmarkStart w:id="41" w:name="_Toc296503027"/>
      <w:bookmarkStart w:id="42" w:name="_Toc296346528"/>
      <w:r>
        <w:rPr>
          <w:rFonts w:hint="eastAsia" w:ascii="宋体" w:hAnsi="宋体" w:cs="宋体"/>
          <w:bCs w:val="0"/>
          <w:color w:val="auto"/>
          <w:sz w:val="21"/>
          <w:szCs w:val="21"/>
        </w:rPr>
        <w:t xml:space="preserve"> 一般约定</w:t>
      </w:r>
      <w:bookmarkEnd w:id="35"/>
      <w:bookmarkEnd w:id="41"/>
      <w:bookmarkEnd w:id="42"/>
    </w:p>
    <w:p w14:paraId="17F0B070">
      <w:pPr>
        <w:pStyle w:val="6"/>
        <w:spacing w:before="120" w:after="120" w:line="360" w:lineRule="exact"/>
        <w:ind w:firstLine="422" w:firstLineChars="200"/>
        <w:rPr>
          <w:rFonts w:ascii="宋体" w:hAnsi="宋体" w:cs="宋体"/>
          <w:color w:val="auto"/>
          <w:sz w:val="21"/>
          <w:szCs w:val="21"/>
        </w:rPr>
      </w:pPr>
      <w:bookmarkStart w:id="43" w:name="_Toc296503028"/>
      <w:bookmarkStart w:id="44" w:name="_Toc296346529"/>
      <w:bookmarkStart w:id="45" w:name="_Toc337558728"/>
      <w:bookmarkStart w:id="46" w:name="_Toc351203496"/>
      <w:r>
        <w:rPr>
          <w:rFonts w:hint="eastAsia" w:ascii="宋体" w:hAnsi="宋体" w:cs="宋体"/>
          <w:color w:val="auto"/>
          <w:sz w:val="21"/>
          <w:szCs w:val="21"/>
        </w:rPr>
        <w:t>1.1词语定义</w:t>
      </w:r>
      <w:bookmarkEnd w:id="43"/>
      <w:bookmarkEnd w:id="44"/>
      <w:bookmarkEnd w:id="45"/>
      <w:r>
        <w:rPr>
          <w:rFonts w:hint="eastAsia" w:ascii="宋体" w:hAnsi="宋体" w:cs="宋体"/>
          <w:color w:val="auto"/>
          <w:sz w:val="21"/>
          <w:szCs w:val="21"/>
        </w:rPr>
        <w:t>与解释</w:t>
      </w:r>
      <w:bookmarkEnd w:id="46"/>
    </w:p>
    <w:p w14:paraId="2E871C0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合同协议书、通用合同条款、专用合同条款中的下列词语具有本款所赋予的含义：</w:t>
      </w:r>
    </w:p>
    <w:p w14:paraId="1E8E28DA">
      <w:pPr>
        <w:autoSpaceDE w:val="0"/>
        <w:autoSpaceDN w:val="0"/>
        <w:adjustRightInd w:val="0"/>
        <w:spacing w:line="360" w:lineRule="exact"/>
        <w:jc w:val="left"/>
        <w:rPr>
          <w:rFonts w:ascii="宋体" w:hAnsi="宋体" w:cs="宋体"/>
          <w:color w:val="auto"/>
          <w:kern w:val="0"/>
          <w:szCs w:val="21"/>
        </w:rPr>
      </w:pPr>
      <w:r>
        <w:rPr>
          <w:rFonts w:hint="eastAsia" w:ascii="宋体" w:hAnsi="宋体" w:cs="宋体"/>
          <w:color w:val="auto"/>
          <w:kern w:val="0"/>
          <w:szCs w:val="21"/>
        </w:rPr>
        <w:t xml:space="preserve">    1.1.1 合同</w:t>
      </w:r>
    </w:p>
    <w:p w14:paraId="75A98A1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auto"/>
          <w:szCs w:val="21"/>
        </w:rPr>
        <w:t>及其附件</w:t>
      </w:r>
      <w:r>
        <w:rPr>
          <w:rFonts w:hint="eastAsia" w:ascii="宋体" w:hAnsi="宋体" w:cs="宋体"/>
          <w:color w:val="auto"/>
          <w:kern w:val="0"/>
          <w:szCs w:val="21"/>
        </w:rPr>
        <w:t>、通用合同条款、技术标准和要求、图纸、已标价工程量清单或预算书以及其他合同文件。</w:t>
      </w:r>
    </w:p>
    <w:p w14:paraId="51F7370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1.1.1.2 合同协议书：是指构成合同的由发包人和承包人共同签署的称为“合同协议书”的书面文件。</w:t>
      </w:r>
    </w:p>
    <w:p w14:paraId="2BE6061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1.1.1.3 中标通知书：是指构成合同的由发包人通知承包人中标的书面文件。</w:t>
      </w:r>
    </w:p>
    <w:p w14:paraId="728733A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1.1.1.4 投标函：是指构成合同的由承包人填写并签署的用于投标的称为“投标函”的文件。</w:t>
      </w:r>
    </w:p>
    <w:p w14:paraId="5CE8470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1.1.1.5 投标函附录：是指构成合同的附在投标函后的称为“投标函附录”的文件。</w:t>
      </w:r>
    </w:p>
    <w:p w14:paraId="4AEB05A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1.1.1.6 技术标准和要求：是指构成合同的施工应当遵守的或指导施工的国家、行业或地方的技术标准和要求，以及合同约定的技术标准和要求。</w:t>
      </w:r>
    </w:p>
    <w:p w14:paraId="3ED194C5">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14EA2C96">
      <w:pPr>
        <w:autoSpaceDE w:val="0"/>
        <w:autoSpaceDN w:val="0"/>
        <w:adjustRightInd w:val="0"/>
        <w:spacing w:line="360" w:lineRule="exact"/>
        <w:ind w:firstLine="409" w:firstLineChars="195"/>
        <w:jc w:val="left"/>
        <w:rPr>
          <w:rFonts w:ascii="宋体" w:hAnsi="宋体" w:cs="宋体"/>
          <w:color w:val="auto"/>
          <w:kern w:val="0"/>
          <w:szCs w:val="21"/>
        </w:rPr>
      </w:pPr>
      <w:r>
        <w:rPr>
          <w:rFonts w:hint="eastAsia" w:ascii="宋体" w:hAnsi="宋体" w:cs="宋体"/>
          <w:color w:val="auto"/>
          <w:kern w:val="0"/>
          <w:szCs w:val="21"/>
        </w:rPr>
        <w:t>1.1.1.8 已标价工程量清单：是指构成合同的由承包人按照规定的格式和要求填写并标明价格的工程量清单，包括说明和表格。</w:t>
      </w:r>
    </w:p>
    <w:p w14:paraId="1411E3B0">
      <w:pPr>
        <w:autoSpaceDE w:val="0"/>
        <w:autoSpaceDN w:val="0"/>
        <w:adjustRightInd w:val="0"/>
        <w:spacing w:line="360" w:lineRule="exact"/>
        <w:ind w:firstLine="409" w:firstLineChars="195"/>
        <w:jc w:val="left"/>
        <w:rPr>
          <w:rFonts w:ascii="宋体" w:hAnsi="宋体" w:cs="宋体"/>
          <w:color w:val="auto"/>
          <w:kern w:val="0"/>
          <w:szCs w:val="21"/>
        </w:rPr>
      </w:pPr>
      <w:r>
        <w:rPr>
          <w:rFonts w:hint="eastAsia" w:ascii="宋体" w:hAnsi="宋体" w:cs="宋体"/>
          <w:color w:val="auto"/>
          <w:kern w:val="0"/>
          <w:szCs w:val="21"/>
        </w:rPr>
        <w:t>1.1.1.9 预算书：是指构成合同的由承包人按照发包人规定的格式和要求编制的工程预算文件。</w:t>
      </w:r>
    </w:p>
    <w:p w14:paraId="37B7CEB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1.1.1.10 其他合同文件：是指经合同当事人约定的与工程施工有关的具有合同约束力的文件或书面协议。合同当事人可以在专用合同条款中进行约定。</w:t>
      </w:r>
    </w:p>
    <w:p w14:paraId="2914046E">
      <w:pPr>
        <w:autoSpaceDE w:val="0"/>
        <w:autoSpaceDN w:val="0"/>
        <w:adjustRightInd w:val="0"/>
        <w:spacing w:line="360" w:lineRule="exact"/>
        <w:jc w:val="left"/>
        <w:rPr>
          <w:rFonts w:ascii="宋体" w:hAnsi="宋体" w:cs="宋体"/>
          <w:color w:val="auto"/>
          <w:kern w:val="0"/>
          <w:szCs w:val="21"/>
        </w:rPr>
      </w:pPr>
      <w:r>
        <w:rPr>
          <w:rFonts w:hint="eastAsia" w:ascii="宋体" w:hAnsi="宋体" w:cs="宋体"/>
          <w:color w:val="auto"/>
          <w:kern w:val="0"/>
          <w:szCs w:val="21"/>
        </w:rPr>
        <w:t xml:space="preserve">    1.1.2 合同当事人及其他相关方</w:t>
      </w:r>
    </w:p>
    <w:p w14:paraId="4C65CC9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1.1.2.1 合同当事人：是指发包人和（或）承包人。</w:t>
      </w:r>
    </w:p>
    <w:p w14:paraId="5D2B29F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1.1.2.2 发包人：是指与承包人签订合同协议书的当事人及取得该当事人资格的合法继承人。</w:t>
      </w:r>
    </w:p>
    <w:p w14:paraId="351BB13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1.1.2.3 承包人：是指与发包人签订合同协议书的，具有相应工程施工承包资质的当事人及取得该当事人资格的合法继承人。</w:t>
      </w:r>
    </w:p>
    <w:p w14:paraId="29F3A2D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1.1.2.4 监理人：是指在专用合同条款中指明的，受发包人委托按照法律规定进行工程监督管理的法人或其他组织。</w:t>
      </w:r>
    </w:p>
    <w:p w14:paraId="71FB068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1.1.2.5 设计人：是指在专用合同条款中指明的，受发包人委托负责工程设计并具备相应工程设计资质的法人或其他组织。</w:t>
      </w:r>
    </w:p>
    <w:p w14:paraId="12F930F7">
      <w:pPr>
        <w:spacing w:line="360" w:lineRule="exact"/>
        <w:ind w:firstLine="409" w:firstLineChars="195"/>
        <w:jc w:val="left"/>
        <w:rPr>
          <w:rFonts w:ascii="宋体" w:hAnsi="宋体" w:cs="宋体"/>
          <w:color w:val="auto"/>
          <w:kern w:val="0"/>
          <w:szCs w:val="21"/>
        </w:rPr>
      </w:pPr>
      <w:r>
        <w:rPr>
          <w:rFonts w:hint="eastAsia" w:ascii="宋体" w:hAnsi="宋体" w:cs="宋体"/>
          <w:color w:val="auto"/>
          <w:kern w:val="0"/>
          <w:szCs w:val="21"/>
        </w:rPr>
        <w:t>1.1.2.6 分包人：</w:t>
      </w:r>
      <w:bookmarkStart w:id="47" w:name="#go5"/>
      <w:bookmarkEnd w:id="47"/>
      <w:r>
        <w:rPr>
          <w:rFonts w:hint="eastAsia" w:ascii="宋体" w:hAnsi="宋体" w:cs="宋体"/>
          <w:color w:val="auto"/>
          <w:kern w:val="0"/>
          <w:szCs w:val="21"/>
        </w:rPr>
        <w:t>是指按照法律规定和合同约定，分包部分工程或工作，并与承包人签订分包合同的具有相应资质的法人。</w:t>
      </w:r>
    </w:p>
    <w:p w14:paraId="695287E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1.1.2.7 发包人代表：是指由发包人任命并派驻施工现场在发包人授权范围内行使发包人权利的人。</w:t>
      </w:r>
    </w:p>
    <w:p w14:paraId="6B22285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1.1.2.8 项目经理：是指由承包人任命并派驻施工现场，在承包人授权范围内负责合同履行，且按照法律规定具有相应资格的项目负责人。</w:t>
      </w:r>
    </w:p>
    <w:p w14:paraId="7D8D6D1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1.1.2.9 总监理工程师：是指由监理人任命并派驻施工现场进行工程监理的总负责人。</w:t>
      </w:r>
    </w:p>
    <w:p w14:paraId="2547D21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1.1.3 工程和设备</w:t>
      </w:r>
    </w:p>
    <w:p w14:paraId="7357347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1.1.3.1 工程：是指与合同协议书中工程承包范围对应的永久工程和（或）临时工程。</w:t>
      </w:r>
    </w:p>
    <w:p w14:paraId="0CA89A1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1.1.3.2 永久工程：是指按合同约定建造并移交给发包人的工程，包括工程设备。</w:t>
      </w:r>
    </w:p>
    <w:p w14:paraId="3E001DA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1.1.3.3 临时工程：是指为完成合同约定的永久工程所修建的各类临时性工程，不包括施工设备。</w:t>
      </w:r>
    </w:p>
    <w:p w14:paraId="55BA7D25">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1.1.3.4 单位工程：是指在合同协议书中指明的，具备独立施工条件并能形成独立使用功能的永久工程。</w:t>
      </w:r>
    </w:p>
    <w:p w14:paraId="0228BD24">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1.1.3.5 工程设备：是指构成永久工程的市政公用设备、金属结构设备、仪器及其他类似的设备和装置。</w:t>
      </w:r>
    </w:p>
    <w:p w14:paraId="02F9FCC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1.1.3.6 施工设备：是指为完成合同约定的各项工作所需的设备、器具和其他物品，但不包括工程设备、临时工程和材料。</w:t>
      </w:r>
    </w:p>
    <w:p w14:paraId="74024A3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1.1.3.7 施工现场：是指用于工程施工的场所，以及在专用合同条款中指明作为施工场所组成部分的其他场所，包括永久占地和临时占地。</w:t>
      </w:r>
    </w:p>
    <w:p w14:paraId="35A9F35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1.1.3.8临时设施：是指为完成合同约定的各项工作所服务的临时性生产和生活设施。</w:t>
      </w:r>
    </w:p>
    <w:p w14:paraId="545147F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1.1.3.9 永久占地：是指专用合同条款中指明为实施工程需永久占用的土地。</w:t>
      </w:r>
    </w:p>
    <w:p w14:paraId="1B8FD50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1.1.3.10 临时占地：是指专用合同条款中指明为实施工程需要临时占用的土地。</w:t>
      </w:r>
    </w:p>
    <w:p w14:paraId="3431C92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1.1.4 日期和期限</w:t>
      </w:r>
    </w:p>
    <w:p w14:paraId="084B83F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ABC809D">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1.1.4.2 竣工日期：包括计划竣工日期和实际竣工日期。计划竣工日期是指合同协议书约定的竣工日期；实际竣工日期按照第13.2.3项〔竣工日期〕的约定确定。 </w:t>
      </w:r>
    </w:p>
    <w:p w14:paraId="199B2197">
      <w:pPr>
        <w:spacing w:line="360" w:lineRule="exact"/>
        <w:ind w:firstLine="426" w:firstLineChars="203"/>
        <w:rPr>
          <w:rFonts w:ascii="宋体" w:hAnsi="宋体" w:cs="宋体"/>
          <w:color w:val="auto"/>
          <w:szCs w:val="21"/>
        </w:rPr>
      </w:pPr>
      <w:r>
        <w:rPr>
          <w:rFonts w:hint="eastAsia" w:ascii="宋体" w:hAnsi="宋体" w:cs="宋体"/>
          <w:color w:val="auto"/>
          <w:kern w:val="0"/>
          <w:szCs w:val="21"/>
        </w:rPr>
        <w:t>1.1.4.3 工期：是指在合同协议书约定的承包人完成工程所需的期限，包括按照合同约定所作的期限变更。</w:t>
      </w:r>
    </w:p>
    <w:p w14:paraId="3045024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1.1.4.4 缺陷责任期：是指承包人按照合同约定承担缺陷修复义务，且发包人预留质量保证金（已缴纳履约保证金的除外）的期限，自工程实际竣工日期起计算。</w:t>
      </w:r>
    </w:p>
    <w:p w14:paraId="74EA19A5">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1.1.4.5 保修期：是指承包人按照合同约定对工程承担保修责任的期限，从工程竣工验收合格之日起计算。</w:t>
      </w:r>
    </w:p>
    <w:p w14:paraId="43DB2EE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1.1.4.6 基准日期：招标发包的工程以投标截止日前28天的日期为基准日期，直接发包的工程以合同签订日前28天的日期为基准日期。</w:t>
      </w:r>
    </w:p>
    <w:p w14:paraId="3EA552E6">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1.1.4.7 天：除特别指明外，均指日历天。合同中按天计算时间的，开始当天不计入，从次日开始计算，期限最后一天的截止时间为当天24:00时。</w:t>
      </w:r>
    </w:p>
    <w:p w14:paraId="61B47EE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1.1.5 合同价格和费用</w:t>
      </w:r>
    </w:p>
    <w:p w14:paraId="78C794F7">
      <w:pPr>
        <w:spacing w:line="360" w:lineRule="exact"/>
        <w:ind w:firstLine="420" w:firstLineChars="200"/>
        <w:jc w:val="left"/>
        <w:rPr>
          <w:rFonts w:ascii="宋体" w:hAnsi="宋体" w:cs="宋体"/>
          <w:color w:val="auto"/>
          <w:szCs w:val="21"/>
        </w:rPr>
      </w:pPr>
      <w:r>
        <w:rPr>
          <w:rFonts w:hint="eastAsia" w:ascii="宋体" w:hAnsi="宋体" w:cs="宋体"/>
          <w:color w:val="auto"/>
          <w:kern w:val="0"/>
          <w:szCs w:val="21"/>
        </w:rPr>
        <w:t>1.1.5.1 签约合同价：是指</w:t>
      </w:r>
      <w:r>
        <w:rPr>
          <w:rFonts w:hint="eastAsia" w:ascii="宋体" w:hAnsi="宋体" w:cs="宋体"/>
          <w:color w:val="auto"/>
          <w:szCs w:val="21"/>
        </w:rPr>
        <w:t>发包人和承包人在合同协议书中确定的总金额，包括安全文明施工费、暂估价及暂列金额等。</w:t>
      </w:r>
    </w:p>
    <w:p w14:paraId="659613F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1.1.5.2 合同价格：是指发包人用于支付承包人按照合同约定完成承包范围内全部工作的金额，包括合同履行过程中按合同约定发生的价格变化。</w:t>
      </w:r>
    </w:p>
    <w:p w14:paraId="6AB589B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1.1.5.3 费用：是指为履行合同所发生的或将要发生的所有必需的开支，包括管理费和应分摊的其他费用，但不包括利润。</w:t>
      </w:r>
    </w:p>
    <w:p w14:paraId="2DC7871F">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1.1.5.4 暂估价：是指发包人在工程量清单或预算书中提供的用于支付必然发生但暂时不能确定价格的材料、工程设备的单价、专业工程以及服务工作的金额。</w:t>
      </w:r>
    </w:p>
    <w:p w14:paraId="41262A3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18DC16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1.1.5.6 计日工：是指合同履行过程中，承包人完成发包人提出的零星工作或需要采用计日工计价的变更工作时，按合同中约定的单价计价的一种方式。</w:t>
      </w:r>
    </w:p>
    <w:p w14:paraId="4B7745B0">
      <w:pPr>
        <w:spacing w:line="360" w:lineRule="exact"/>
        <w:ind w:firstLine="420" w:firstLineChars="200"/>
        <w:jc w:val="left"/>
        <w:rPr>
          <w:rFonts w:ascii="宋体" w:hAnsi="宋体" w:cs="宋体"/>
          <w:color w:val="auto"/>
          <w:szCs w:val="21"/>
        </w:rPr>
      </w:pPr>
      <w:r>
        <w:rPr>
          <w:rFonts w:hint="eastAsia" w:ascii="宋体" w:hAnsi="宋体" w:cs="宋体"/>
          <w:color w:val="auto"/>
          <w:kern w:val="0"/>
          <w:szCs w:val="21"/>
        </w:rPr>
        <w:t>1.1.5.7 质量保证金</w:t>
      </w:r>
      <w:bookmarkStart w:id="48" w:name="#go2"/>
      <w:bookmarkEnd w:id="48"/>
      <w:r>
        <w:rPr>
          <w:rFonts w:hint="eastAsia" w:ascii="宋体" w:hAnsi="宋体" w:cs="宋体"/>
          <w:color w:val="auto"/>
          <w:kern w:val="0"/>
          <w:szCs w:val="21"/>
        </w:rPr>
        <w:t>：是指按照第15.3款〔质量保证金〕约定承包人用于保证其在缺陷责任期内履行缺陷修补义务的担保</w:t>
      </w:r>
      <w:r>
        <w:rPr>
          <w:rFonts w:hint="eastAsia" w:ascii="宋体" w:hAnsi="宋体" w:cs="宋体"/>
          <w:color w:val="auto"/>
          <w:szCs w:val="21"/>
        </w:rPr>
        <w:t>。</w:t>
      </w:r>
    </w:p>
    <w:p w14:paraId="1A1A8D2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1.1.5.8 总价项目：是指在现行国家、行业以及地方的计量规则中无工程量计算规则，在已标价工程量清单或预算书中以总价或以费率形式计算的项目。</w:t>
      </w:r>
    </w:p>
    <w:p w14:paraId="0118110D">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1.1.6 其他</w:t>
      </w:r>
    </w:p>
    <w:p w14:paraId="3DF541FA">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1.1.6.1 书面形式：是指合同文件、信函、电报、传真等可以有形地表现所载内容的形式。</w:t>
      </w:r>
    </w:p>
    <w:p w14:paraId="0F1475F1">
      <w:pPr>
        <w:pStyle w:val="6"/>
        <w:spacing w:before="120" w:after="120" w:line="360" w:lineRule="exact"/>
        <w:rPr>
          <w:rFonts w:ascii="宋体" w:hAnsi="宋体" w:cs="宋体"/>
          <w:b w:val="0"/>
          <w:color w:val="auto"/>
          <w:sz w:val="21"/>
          <w:szCs w:val="21"/>
        </w:rPr>
      </w:pPr>
      <w:r>
        <w:rPr>
          <w:rFonts w:hint="eastAsia" w:ascii="宋体" w:hAnsi="宋体" w:cs="宋体"/>
          <w:b w:val="0"/>
          <w:color w:val="auto"/>
          <w:sz w:val="21"/>
          <w:szCs w:val="21"/>
        </w:rPr>
        <w:t xml:space="preserve">    </w:t>
      </w:r>
      <w:bookmarkStart w:id="49" w:name="_Toc296346530"/>
      <w:bookmarkStart w:id="50" w:name="_Toc296503029"/>
      <w:bookmarkStart w:id="51" w:name="_Toc351203497"/>
      <w:bookmarkStart w:id="52" w:name="_Toc337558729"/>
      <w:r>
        <w:rPr>
          <w:rFonts w:hint="eastAsia" w:ascii="宋体" w:hAnsi="宋体" w:cs="宋体"/>
          <w:color w:val="auto"/>
          <w:sz w:val="21"/>
          <w:szCs w:val="21"/>
        </w:rPr>
        <w:t>1.2语言文字</w:t>
      </w:r>
      <w:bookmarkEnd w:id="49"/>
      <w:bookmarkEnd w:id="50"/>
      <w:bookmarkEnd w:id="51"/>
      <w:bookmarkEnd w:id="52"/>
    </w:p>
    <w:p w14:paraId="7DAD998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合同以中国的汉语简体文字编写、解释和说明。合同当事人在专用合同条款中约定使用两种以上语言时，汉语为优先解释和说明合同的语言。</w:t>
      </w:r>
    </w:p>
    <w:p w14:paraId="767FE00E">
      <w:pPr>
        <w:pStyle w:val="6"/>
        <w:spacing w:before="120" w:after="120" w:line="360" w:lineRule="exact"/>
        <w:ind w:firstLine="422" w:firstLineChars="200"/>
        <w:rPr>
          <w:rFonts w:ascii="宋体" w:hAnsi="宋体" w:cs="宋体"/>
          <w:color w:val="auto"/>
          <w:sz w:val="21"/>
          <w:szCs w:val="21"/>
        </w:rPr>
      </w:pPr>
      <w:bookmarkStart w:id="53" w:name="_Toc296346531"/>
      <w:bookmarkStart w:id="54" w:name="_Toc296503030"/>
      <w:bookmarkStart w:id="55" w:name="_Toc351203498"/>
      <w:bookmarkStart w:id="56" w:name="_Toc337558730"/>
      <w:r>
        <w:rPr>
          <w:rFonts w:hint="eastAsia" w:ascii="宋体" w:hAnsi="宋体" w:cs="宋体"/>
          <w:color w:val="auto"/>
          <w:sz w:val="21"/>
          <w:szCs w:val="21"/>
        </w:rPr>
        <w:t>1.3法律</w:t>
      </w:r>
      <w:bookmarkEnd w:id="53"/>
      <w:bookmarkEnd w:id="54"/>
      <w:bookmarkEnd w:id="55"/>
      <w:bookmarkEnd w:id="56"/>
    </w:p>
    <w:p w14:paraId="4919C22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合同所称法律是指中华人民共和国法律、行政法规、部门规章，以及工程所在地的地方性法规、自治条例、单行条例和地方政府规章等。</w:t>
      </w:r>
    </w:p>
    <w:p w14:paraId="2384E92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合同当事人可以在专用合同条款中约定合同适用的其他规范性文件。</w:t>
      </w:r>
    </w:p>
    <w:p w14:paraId="5DA3AC94">
      <w:pPr>
        <w:pStyle w:val="6"/>
        <w:spacing w:before="120" w:after="120" w:line="360" w:lineRule="exact"/>
        <w:ind w:firstLine="422" w:firstLineChars="200"/>
        <w:rPr>
          <w:rFonts w:ascii="宋体" w:hAnsi="宋体" w:cs="宋体"/>
          <w:color w:val="auto"/>
          <w:sz w:val="21"/>
          <w:szCs w:val="21"/>
        </w:rPr>
      </w:pPr>
      <w:bookmarkStart w:id="57" w:name="_Toc351203499"/>
      <w:r>
        <w:rPr>
          <w:rFonts w:hint="eastAsia" w:ascii="宋体" w:hAnsi="宋体" w:cs="宋体"/>
          <w:color w:val="auto"/>
          <w:sz w:val="21"/>
          <w:szCs w:val="21"/>
        </w:rPr>
        <w:t>1.4 标准和规范</w:t>
      </w:r>
      <w:bookmarkEnd w:id="57"/>
    </w:p>
    <w:p w14:paraId="27B244AE">
      <w:pPr>
        <w:autoSpaceDE w:val="0"/>
        <w:autoSpaceDN w:val="0"/>
        <w:adjustRightInd w:val="0"/>
        <w:spacing w:line="360" w:lineRule="exact"/>
        <w:ind w:firstLine="640"/>
        <w:jc w:val="left"/>
        <w:rPr>
          <w:rFonts w:ascii="宋体" w:hAnsi="宋体" w:cs="宋体"/>
          <w:color w:val="auto"/>
          <w:kern w:val="0"/>
          <w:szCs w:val="21"/>
        </w:rPr>
      </w:pPr>
      <w:r>
        <w:rPr>
          <w:rFonts w:hint="eastAsia" w:ascii="宋体" w:hAnsi="宋体" w:cs="宋体"/>
          <w:color w:val="auto"/>
          <w:kern w:val="0"/>
          <w:szCs w:val="21"/>
        </w:rPr>
        <w:t>1.4.1 适用于工程的国家标准、行业标准、工程所在地的地方性标准，以及相应的规范、规程等，合同当事人有特别要求的，应在专用合同条款中约定。</w:t>
      </w:r>
    </w:p>
    <w:p w14:paraId="0CCB107A">
      <w:pPr>
        <w:autoSpaceDE w:val="0"/>
        <w:autoSpaceDN w:val="0"/>
        <w:adjustRightInd w:val="0"/>
        <w:spacing w:line="360" w:lineRule="exact"/>
        <w:ind w:firstLine="640"/>
        <w:jc w:val="left"/>
        <w:rPr>
          <w:rFonts w:ascii="宋体" w:hAnsi="宋体" w:cs="宋体"/>
          <w:color w:val="auto"/>
          <w:kern w:val="0"/>
          <w:szCs w:val="21"/>
        </w:rPr>
      </w:pPr>
      <w:r>
        <w:rPr>
          <w:rFonts w:hint="eastAsia" w:ascii="宋体" w:hAnsi="宋体" w:cs="宋体"/>
          <w:color w:val="auto"/>
          <w:kern w:val="0"/>
          <w:szCs w:val="21"/>
        </w:rPr>
        <w:t>1.4.2 发包人要求使用国外标准、规范的，发包人负责提供原文版本和中文译本，并在专用合同条款中约定提供标准规范的名称、份数和时间。</w:t>
      </w:r>
    </w:p>
    <w:p w14:paraId="2DFC9B34">
      <w:pPr>
        <w:autoSpaceDE w:val="0"/>
        <w:autoSpaceDN w:val="0"/>
        <w:adjustRightInd w:val="0"/>
        <w:spacing w:line="360" w:lineRule="exact"/>
        <w:ind w:firstLine="640"/>
        <w:jc w:val="left"/>
        <w:rPr>
          <w:rFonts w:ascii="宋体" w:hAnsi="宋体" w:cs="宋体"/>
          <w:color w:val="auto"/>
          <w:kern w:val="0"/>
          <w:szCs w:val="21"/>
        </w:rPr>
      </w:pPr>
      <w:r>
        <w:rPr>
          <w:rFonts w:hint="eastAsia" w:ascii="宋体" w:hAnsi="宋体" w:cs="宋体"/>
          <w:color w:val="auto"/>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8F3D30C">
      <w:pPr>
        <w:pStyle w:val="6"/>
        <w:spacing w:before="120" w:after="120" w:line="360" w:lineRule="exact"/>
        <w:ind w:firstLine="422" w:firstLineChars="200"/>
        <w:rPr>
          <w:rFonts w:ascii="宋体" w:hAnsi="宋体" w:cs="宋体"/>
          <w:color w:val="auto"/>
          <w:sz w:val="21"/>
          <w:szCs w:val="21"/>
        </w:rPr>
      </w:pPr>
      <w:bookmarkStart w:id="58" w:name="_Toc351203500"/>
      <w:r>
        <w:rPr>
          <w:rFonts w:hint="eastAsia" w:ascii="宋体" w:hAnsi="宋体" w:cs="宋体"/>
          <w:color w:val="auto"/>
          <w:sz w:val="21"/>
          <w:szCs w:val="21"/>
        </w:rPr>
        <w:t>1</w:t>
      </w:r>
      <w:bookmarkStart w:id="59" w:name="_Toc296346532"/>
      <w:bookmarkStart w:id="60" w:name="_Toc337558731"/>
      <w:bookmarkStart w:id="61" w:name="_Toc296503031"/>
      <w:r>
        <w:rPr>
          <w:rFonts w:hint="eastAsia" w:ascii="宋体" w:hAnsi="宋体" w:cs="宋体"/>
          <w:color w:val="auto"/>
          <w:sz w:val="21"/>
          <w:szCs w:val="21"/>
        </w:rPr>
        <w:t>.5 合同文件的优先顺序</w:t>
      </w:r>
      <w:bookmarkEnd w:id="58"/>
    </w:p>
    <w:bookmarkEnd w:id="59"/>
    <w:bookmarkEnd w:id="60"/>
    <w:bookmarkEnd w:id="61"/>
    <w:p w14:paraId="4E4E120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组成合同的各项文件应互相解释，互为说明。除专用合同条款另有约定外，解释合同文件的优先顺序如下：</w:t>
      </w:r>
    </w:p>
    <w:p w14:paraId="39454DA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（1）合同协议书；</w:t>
      </w:r>
    </w:p>
    <w:p w14:paraId="052F076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（2）中标通知书（如果有）；</w:t>
      </w:r>
    </w:p>
    <w:p w14:paraId="0D7F3A3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（3）投标函及其附录（如果有）；</w:t>
      </w:r>
    </w:p>
    <w:p w14:paraId="34AE91F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（4）专用合同条款</w:t>
      </w:r>
      <w:r>
        <w:rPr>
          <w:rFonts w:hint="eastAsia" w:ascii="宋体" w:hAnsi="宋体" w:cs="宋体"/>
          <w:color w:val="auto"/>
          <w:szCs w:val="21"/>
        </w:rPr>
        <w:t>及其附件</w:t>
      </w:r>
      <w:r>
        <w:rPr>
          <w:rFonts w:hint="eastAsia" w:ascii="宋体" w:hAnsi="宋体" w:cs="宋体"/>
          <w:color w:val="auto"/>
          <w:kern w:val="0"/>
          <w:szCs w:val="21"/>
        </w:rPr>
        <w:t>；</w:t>
      </w:r>
    </w:p>
    <w:p w14:paraId="4AE43F5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（5）通用合同条款；</w:t>
      </w:r>
    </w:p>
    <w:p w14:paraId="6230DED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（6）技术标准和要求；</w:t>
      </w:r>
    </w:p>
    <w:p w14:paraId="7055B0E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（7）图纸；</w:t>
      </w:r>
    </w:p>
    <w:p w14:paraId="02DABAE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（8）已标价工程量清单或预算书；</w:t>
      </w:r>
    </w:p>
    <w:p w14:paraId="1F25032C">
      <w:pPr>
        <w:autoSpaceDE w:val="0"/>
        <w:autoSpaceDN w:val="0"/>
        <w:adjustRightInd w:val="0"/>
        <w:spacing w:line="360" w:lineRule="exact"/>
        <w:ind w:firstLine="420" w:firstLineChars="200"/>
        <w:jc w:val="left"/>
        <w:rPr>
          <w:rFonts w:ascii="宋体" w:hAnsi="宋体" w:cs="宋体"/>
          <w:color w:val="auto"/>
          <w:szCs w:val="21"/>
        </w:rPr>
      </w:pPr>
      <w:r>
        <w:rPr>
          <w:rFonts w:hint="eastAsia" w:ascii="宋体" w:hAnsi="宋体" w:cs="宋体"/>
          <w:color w:val="auto"/>
          <w:kern w:val="0"/>
          <w:szCs w:val="21"/>
        </w:rPr>
        <w:t>（9）其他合同文件。</w:t>
      </w:r>
    </w:p>
    <w:p w14:paraId="44584C64">
      <w:pPr>
        <w:spacing w:line="360" w:lineRule="exact"/>
        <w:ind w:firstLine="447" w:firstLineChars="213"/>
        <w:rPr>
          <w:rFonts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上述各项合同文件包括合同当事人就该项合同文件所作出的补充和修改，属于同一类内容的文件，应以最新签署的为准。</w:t>
      </w:r>
    </w:p>
    <w:p w14:paraId="7A38D388">
      <w:pPr>
        <w:spacing w:line="360" w:lineRule="exact"/>
        <w:ind w:firstLine="447" w:firstLineChars="213"/>
        <w:rPr>
          <w:rFonts w:ascii="宋体" w:hAnsi="宋体" w:cs="宋体"/>
          <w:color w:val="auto"/>
          <w:szCs w:val="21"/>
        </w:rPr>
      </w:pPr>
      <w:r>
        <w:rPr>
          <w:rFonts w:hint="eastAsia" w:ascii="宋体" w:hAnsi="宋体" w:cs="宋体"/>
          <w:color w:val="auto"/>
          <w:szCs w:val="21"/>
        </w:rPr>
        <w:t>在合同订立及履行过程中形成的与合同有关的文件均构成合同文件组成部分，并根据其性质确定优先解释顺序。</w:t>
      </w:r>
    </w:p>
    <w:p w14:paraId="2AB9FD7D">
      <w:pPr>
        <w:pStyle w:val="6"/>
        <w:spacing w:before="120" w:after="120" w:line="360" w:lineRule="exact"/>
        <w:ind w:firstLine="422" w:firstLineChars="200"/>
        <w:rPr>
          <w:rFonts w:ascii="宋体" w:hAnsi="宋体" w:cs="宋体"/>
          <w:color w:val="auto"/>
          <w:sz w:val="21"/>
          <w:szCs w:val="21"/>
        </w:rPr>
      </w:pPr>
      <w:bookmarkStart w:id="62" w:name="_Toc351203501"/>
      <w:r>
        <w:rPr>
          <w:rFonts w:hint="eastAsia" w:ascii="宋体" w:hAnsi="宋体" w:cs="宋体"/>
          <w:color w:val="auto"/>
          <w:sz w:val="21"/>
          <w:szCs w:val="21"/>
        </w:rPr>
        <w:t>1</w:t>
      </w:r>
      <w:bookmarkStart w:id="63" w:name="_Toc296503032"/>
      <w:bookmarkStart w:id="64" w:name="_Toc337558732"/>
      <w:bookmarkStart w:id="65" w:name="_Toc296346533"/>
      <w:r>
        <w:rPr>
          <w:rFonts w:hint="eastAsia" w:ascii="宋体" w:hAnsi="宋体" w:cs="宋体"/>
          <w:color w:val="auto"/>
          <w:sz w:val="21"/>
          <w:szCs w:val="21"/>
        </w:rPr>
        <w:t>.6图纸和承包人文件</w:t>
      </w:r>
      <w:bookmarkEnd w:id="62"/>
    </w:p>
    <w:bookmarkEnd w:id="63"/>
    <w:bookmarkEnd w:id="64"/>
    <w:bookmarkEnd w:id="65"/>
    <w:p w14:paraId="2E48D37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1.6.1 图纸的提供和交底</w:t>
      </w:r>
    </w:p>
    <w:p w14:paraId="6FF623D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2FB7803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因发包人未按合同约定提供图纸导致承包人费用增加和（或）工期延误的，按照第7.5.1项〔因发包人原因导致工期延误〕约定办理。</w:t>
      </w:r>
    </w:p>
    <w:p w14:paraId="009DAC5D">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1.6.2 图纸的错误</w:t>
      </w:r>
    </w:p>
    <w:p w14:paraId="364D0185">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78B652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1.6.3 图纸的修改和补充</w:t>
      </w:r>
    </w:p>
    <w:p w14:paraId="2410247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193BC56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1.6.4 承包人文件</w:t>
      </w:r>
    </w:p>
    <w:p w14:paraId="1E43963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承包人应按照专用合同条款的约定提供应当由其编制的与工程施工有关的文件，并按照专用合同条款约定的期限、数量和形式提交监理人，并由监理人报送发包人。</w:t>
      </w:r>
    </w:p>
    <w:p w14:paraId="7187D17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521BB6D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1.6.5 图纸和承包人文件的保管</w:t>
      </w:r>
    </w:p>
    <w:p w14:paraId="7D0CEFB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除专用合同条款另有约定外，承包人应在施工现场另外保存一套完整的图纸和承包人文件，供发包人、监理人及有关人员进行工程检查时使用。</w:t>
      </w:r>
    </w:p>
    <w:p w14:paraId="69F267CF">
      <w:pPr>
        <w:pStyle w:val="6"/>
        <w:spacing w:before="120" w:after="120" w:line="360" w:lineRule="exact"/>
        <w:ind w:firstLine="422" w:firstLineChars="200"/>
        <w:rPr>
          <w:rFonts w:ascii="宋体" w:hAnsi="宋体" w:cs="宋体"/>
          <w:color w:val="auto"/>
          <w:sz w:val="21"/>
          <w:szCs w:val="21"/>
        </w:rPr>
      </w:pPr>
      <w:bookmarkStart w:id="66" w:name="_Toc351203502"/>
      <w:r>
        <w:rPr>
          <w:rFonts w:hint="eastAsia" w:ascii="宋体" w:hAnsi="宋体" w:cs="宋体"/>
          <w:color w:val="auto"/>
          <w:sz w:val="21"/>
          <w:szCs w:val="21"/>
        </w:rPr>
        <w:t>1</w:t>
      </w:r>
      <w:bookmarkStart w:id="67" w:name="_Toc296346534"/>
      <w:bookmarkStart w:id="68" w:name="_Toc337558733"/>
      <w:bookmarkStart w:id="69" w:name="_Toc296503033"/>
      <w:r>
        <w:rPr>
          <w:rFonts w:hint="eastAsia" w:ascii="宋体" w:hAnsi="宋体" w:cs="宋体"/>
          <w:color w:val="auto"/>
          <w:sz w:val="21"/>
          <w:szCs w:val="21"/>
        </w:rPr>
        <w:t>.7联络</w:t>
      </w:r>
      <w:bookmarkEnd w:id="66"/>
    </w:p>
    <w:bookmarkEnd w:id="67"/>
    <w:bookmarkEnd w:id="68"/>
    <w:bookmarkEnd w:id="69"/>
    <w:p w14:paraId="2BF9DC1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1.7.1 与合同有关的通知、批准、证明、证书、指示、指令、要求、请求、同意、意见、确定和决定等，均应采用书面形式，并应在合同约定的期限内送达接收人和送达地点。</w:t>
      </w:r>
    </w:p>
    <w:p w14:paraId="1668DCA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1.7.2 发包人和承包人应在专用合同条款中约定各自的送达接收人和送达地点。任何一方合同当事人指定的接收人或送达地点发生变动的，应提前3天以书面形式通知对方。</w:t>
      </w:r>
    </w:p>
    <w:p w14:paraId="03DA858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1.7.3 发包人和承包人应当及时签收另一方送达至送达地点和指定接收人的来往信函。拒不签收的，由此增加的费用和（或）延误的工期由拒绝接收一方承担。</w:t>
      </w:r>
    </w:p>
    <w:p w14:paraId="30371DF9">
      <w:pPr>
        <w:pStyle w:val="6"/>
        <w:spacing w:before="120" w:after="120" w:line="360" w:lineRule="exact"/>
        <w:ind w:firstLine="422" w:firstLineChars="200"/>
        <w:rPr>
          <w:rFonts w:ascii="宋体" w:hAnsi="宋体" w:cs="宋体"/>
          <w:color w:val="auto"/>
          <w:sz w:val="21"/>
          <w:szCs w:val="21"/>
        </w:rPr>
      </w:pPr>
      <w:bookmarkStart w:id="70" w:name="_Toc351203503"/>
      <w:r>
        <w:rPr>
          <w:rFonts w:hint="eastAsia" w:ascii="宋体" w:hAnsi="宋体" w:cs="宋体"/>
          <w:color w:val="auto"/>
          <w:sz w:val="21"/>
          <w:szCs w:val="21"/>
        </w:rPr>
        <w:t>1</w:t>
      </w:r>
      <w:bookmarkStart w:id="71" w:name="_Toc337558734"/>
      <w:bookmarkStart w:id="72" w:name="_Toc296503035"/>
      <w:bookmarkStart w:id="73" w:name="_Toc296346536"/>
      <w:r>
        <w:rPr>
          <w:rFonts w:hint="eastAsia" w:ascii="宋体" w:hAnsi="宋体" w:cs="宋体"/>
          <w:color w:val="auto"/>
          <w:sz w:val="21"/>
          <w:szCs w:val="21"/>
        </w:rPr>
        <w:t>.8严禁贿赂</w:t>
      </w:r>
      <w:bookmarkEnd w:id="70"/>
    </w:p>
    <w:bookmarkEnd w:id="71"/>
    <w:bookmarkEnd w:id="72"/>
    <w:bookmarkEnd w:id="73"/>
    <w:p w14:paraId="60A1A8C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合同当事人不得以贿赂或变相贿赂的方式，谋取非法利益或损害对方权益。因一方合同当事人的贿赂造成对方损失的，应赔偿损失，并承担相应的法律责任。</w:t>
      </w:r>
    </w:p>
    <w:p w14:paraId="5C90F82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5BDA26D5">
      <w:pPr>
        <w:pStyle w:val="6"/>
        <w:spacing w:before="120" w:after="120" w:line="360" w:lineRule="exact"/>
        <w:ind w:firstLine="422" w:firstLineChars="200"/>
        <w:rPr>
          <w:rFonts w:ascii="宋体" w:hAnsi="宋体" w:cs="宋体"/>
          <w:color w:val="auto"/>
          <w:sz w:val="21"/>
          <w:szCs w:val="21"/>
        </w:rPr>
      </w:pPr>
      <w:bookmarkStart w:id="74" w:name="_Toc351203504"/>
      <w:r>
        <w:rPr>
          <w:rFonts w:hint="eastAsia" w:ascii="宋体" w:hAnsi="宋体" w:cs="宋体"/>
          <w:color w:val="auto"/>
          <w:sz w:val="21"/>
          <w:szCs w:val="21"/>
        </w:rPr>
        <w:t>1</w:t>
      </w:r>
      <w:bookmarkStart w:id="75" w:name="_Toc296503036"/>
      <w:bookmarkStart w:id="76" w:name="_Toc337558735"/>
      <w:bookmarkStart w:id="77" w:name="_Toc296346537"/>
      <w:r>
        <w:rPr>
          <w:rFonts w:hint="eastAsia" w:ascii="宋体" w:hAnsi="宋体" w:cs="宋体"/>
          <w:color w:val="auto"/>
          <w:sz w:val="21"/>
          <w:szCs w:val="21"/>
        </w:rPr>
        <w:t>.9化石、文物</w:t>
      </w:r>
      <w:bookmarkEnd w:id="74"/>
    </w:p>
    <w:bookmarkEnd w:id="75"/>
    <w:bookmarkEnd w:id="76"/>
    <w:bookmarkEnd w:id="77"/>
    <w:p w14:paraId="1582727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BC94B3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发包人、监理人和承包人应按有关政府行政管理部门要求采取妥善的保护措施，由此增加的费用和（或）延误的工期由发包人承担。</w:t>
      </w:r>
    </w:p>
    <w:p w14:paraId="34FABE1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承包人发现文物后不及时报告或隐瞒不报，致使文物丢失或损坏的，应赔偿损失，并承担相应的法律责任。</w:t>
      </w:r>
    </w:p>
    <w:p w14:paraId="63767A2B">
      <w:pPr>
        <w:pStyle w:val="6"/>
        <w:spacing w:before="120" w:after="120" w:line="360" w:lineRule="exact"/>
        <w:ind w:firstLine="422" w:firstLineChars="200"/>
        <w:rPr>
          <w:rFonts w:ascii="宋体" w:hAnsi="宋体" w:cs="宋体"/>
          <w:color w:val="auto"/>
          <w:sz w:val="21"/>
          <w:szCs w:val="21"/>
        </w:rPr>
      </w:pPr>
      <w:bookmarkStart w:id="78" w:name="_Toc351203505"/>
      <w:r>
        <w:rPr>
          <w:rFonts w:hint="eastAsia" w:ascii="宋体" w:hAnsi="宋体" w:cs="宋体"/>
          <w:color w:val="auto"/>
          <w:sz w:val="21"/>
          <w:szCs w:val="21"/>
        </w:rPr>
        <w:t>1</w:t>
      </w:r>
      <w:bookmarkStart w:id="79" w:name="_Toc337558736"/>
      <w:r>
        <w:rPr>
          <w:rFonts w:hint="eastAsia" w:ascii="宋体" w:hAnsi="宋体" w:cs="宋体"/>
          <w:color w:val="auto"/>
          <w:sz w:val="21"/>
          <w:szCs w:val="21"/>
        </w:rPr>
        <w:t>.10交通运输</w:t>
      </w:r>
      <w:bookmarkEnd w:id="78"/>
    </w:p>
    <w:bookmarkEnd w:id="79"/>
    <w:p w14:paraId="1BF43704">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1.10.1 出入现场的权利</w:t>
      </w:r>
    </w:p>
    <w:p w14:paraId="566D2BD6">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BA230E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30CF406D">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1.10.2 场外交通</w:t>
      </w:r>
    </w:p>
    <w:p w14:paraId="7F1D066A">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298D20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1.10.3场内交通</w:t>
      </w:r>
    </w:p>
    <w:p w14:paraId="7C2B6C9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C96892A">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ABEF1D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场外交通和场内交通的边界由合同当事人在专用合同条款中约定。</w:t>
      </w:r>
    </w:p>
    <w:p w14:paraId="3025B4CF">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1.10.4 超大件和超重件的运输</w:t>
      </w:r>
    </w:p>
    <w:p w14:paraId="7B6D7BB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467AE6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1.10.5 道路和桥梁的损坏责任</w:t>
      </w:r>
    </w:p>
    <w:p w14:paraId="3A60E11D">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因承包人运输造成施工场地内外公共道路和桥梁损坏的，由承包人承担修复损坏的全部费用和可能引起的赔偿。</w:t>
      </w:r>
    </w:p>
    <w:p w14:paraId="268CC7CD">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1.10.6 水路和航空运输</w:t>
      </w:r>
    </w:p>
    <w:p w14:paraId="139681C4">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067BB52C">
      <w:pPr>
        <w:pStyle w:val="6"/>
        <w:spacing w:before="120" w:after="120" w:line="360" w:lineRule="exact"/>
        <w:ind w:firstLine="422" w:firstLineChars="200"/>
        <w:rPr>
          <w:rFonts w:ascii="宋体" w:hAnsi="宋体" w:cs="宋体"/>
          <w:color w:val="auto"/>
          <w:sz w:val="21"/>
          <w:szCs w:val="21"/>
        </w:rPr>
      </w:pPr>
      <w:bookmarkStart w:id="80" w:name="_Toc351203506"/>
      <w:r>
        <w:rPr>
          <w:rFonts w:hint="eastAsia" w:ascii="宋体" w:hAnsi="宋体" w:cs="宋体"/>
          <w:color w:val="auto"/>
          <w:sz w:val="21"/>
          <w:szCs w:val="21"/>
        </w:rPr>
        <w:t>1</w:t>
      </w:r>
      <w:bookmarkStart w:id="81" w:name="_Toc337558737"/>
      <w:bookmarkStart w:id="82" w:name="_Toc296503037"/>
      <w:bookmarkStart w:id="83" w:name="_Toc296346538"/>
      <w:r>
        <w:rPr>
          <w:rFonts w:hint="eastAsia" w:ascii="宋体" w:hAnsi="宋体" w:cs="宋体"/>
          <w:color w:val="auto"/>
          <w:sz w:val="21"/>
          <w:szCs w:val="21"/>
        </w:rPr>
        <w:t>.11知识产权</w:t>
      </w:r>
      <w:bookmarkEnd w:id="80"/>
      <w:r>
        <w:rPr>
          <w:rFonts w:hint="eastAsia" w:ascii="宋体" w:hAnsi="宋体" w:cs="宋体"/>
          <w:color w:val="auto"/>
          <w:sz w:val="21"/>
          <w:szCs w:val="21"/>
        </w:rPr>
        <w:t xml:space="preserve"> </w:t>
      </w:r>
      <w:bookmarkEnd w:id="81"/>
    </w:p>
    <w:bookmarkEnd w:id="82"/>
    <w:bookmarkEnd w:id="83"/>
    <w:p w14:paraId="70E9DFD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202ACE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4F49AA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B6E7B44">
      <w:pPr>
        <w:spacing w:line="360" w:lineRule="exact"/>
        <w:rPr>
          <w:rFonts w:ascii="宋体" w:hAnsi="宋体" w:cs="宋体"/>
          <w:color w:val="auto"/>
          <w:szCs w:val="21"/>
        </w:rPr>
      </w:pPr>
      <w:r>
        <w:rPr>
          <w:rFonts w:hint="eastAsia" w:ascii="宋体" w:hAnsi="宋体" w:cs="宋体"/>
          <w:color w:val="auto"/>
          <w:kern w:val="0"/>
          <w:szCs w:val="21"/>
        </w:rPr>
        <w:t xml:space="preserve">    </w:t>
      </w:r>
      <w:r>
        <w:rPr>
          <w:rFonts w:hint="eastAsia" w:ascii="宋体" w:hAnsi="宋体" w:cs="宋体"/>
          <w:color w:val="auto"/>
          <w:szCs w:val="21"/>
        </w:rPr>
        <w:t>1.11.4 除专用合同条款另有约定外，承包人在合同签订前和签订时已确定采用的专利、专有技术、技术秘密的使用费已包含在签约合同价中。</w:t>
      </w:r>
    </w:p>
    <w:p w14:paraId="09F6E8A6">
      <w:pPr>
        <w:pStyle w:val="6"/>
        <w:spacing w:before="120" w:after="120" w:line="360" w:lineRule="exact"/>
        <w:ind w:firstLine="422" w:firstLineChars="200"/>
        <w:rPr>
          <w:rFonts w:ascii="宋体" w:hAnsi="宋体" w:cs="宋体"/>
          <w:color w:val="auto"/>
          <w:sz w:val="21"/>
          <w:szCs w:val="21"/>
        </w:rPr>
      </w:pPr>
      <w:bookmarkStart w:id="84" w:name="_Toc351203507"/>
      <w:r>
        <w:rPr>
          <w:rFonts w:hint="eastAsia" w:ascii="宋体" w:hAnsi="宋体" w:cs="宋体"/>
          <w:color w:val="auto"/>
          <w:sz w:val="21"/>
          <w:szCs w:val="21"/>
        </w:rPr>
        <w:t>1</w:t>
      </w:r>
      <w:bookmarkStart w:id="85" w:name="_Toc337558738"/>
      <w:r>
        <w:rPr>
          <w:rFonts w:hint="eastAsia" w:ascii="宋体" w:hAnsi="宋体" w:cs="宋体"/>
          <w:color w:val="auto"/>
          <w:sz w:val="21"/>
          <w:szCs w:val="21"/>
        </w:rPr>
        <w:t>.12保密</w:t>
      </w:r>
      <w:bookmarkEnd w:id="84"/>
    </w:p>
    <w:bookmarkEnd w:id="85"/>
    <w:p w14:paraId="5D1B263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除法律规定或合同另有约定外，未经发包人同意，承包人不得将发包人提供的图纸、文件以及声明需要保密的资料信息等商业秘密泄露给第三方。</w:t>
      </w:r>
    </w:p>
    <w:p w14:paraId="6168393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除法律规定或合同另有约定外，未经承包人同意，发包人不得将承包人提供的技术秘密及声明需要保密的资料信息等商业秘密泄露给第三方。</w:t>
      </w:r>
    </w:p>
    <w:p w14:paraId="26145132">
      <w:pPr>
        <w:pStyle w:val="6"/>
        <w:spacing w:before="120" w:after="120" w:line="360" w:lineRule="exact"/>
        <w:ind w:firstLine="420" w:firstLineChars="200"/>
        <w:rPr>
          <w:rFonts w:ascii="宋体" w:hAnsi="宋体" w:cs="宋体"/>
          <w:b w:val="0"/>
          <w:bCs w:val="0"/>
          <w:color w:val="auto"/>
          <w:sz w:val="21"/>
          <w:szCs w:val="21"/>
        </w:rPr>
      </w:pPr>
      <w:bookmarkStart w:id="86" w:name="_Toc351203508"/>
      <w:r>
        <w:rPr>
          <w:rFonts w:hint="eastAsia" w:ascii="宋体" w:hAnsi="宋体" w:cs="宋体"/>
          <w:b w:val="0"/>
          <w:bCs w:val="0"/>
          <w:color w:val="auto"/>
          <w:sz w:val="21"/>
          <w:szCs w:val="21"/>
        </w:rPr>
        <w:t>1.13工程量清单错误的修正</w:t>
      </w:r>
      <w:bookmarkEnd w:id="86"/>
    </w:p>
    <w:p w14:paraId="29CD32A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除专用合同条款另有约定外，发包人提供的工程量清单，应被认为是准确的和完整的。出现下列情形之一时，发包人应予以修正，并相应调整合同价格：</w:t>
      </w:r>
    </w:p>
    <w:p w14:paraId="52BB665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（1）工程量清单存在缺项、漏项的；</w:t>
      </w:r>
    </w:p>
    <w:p w14:paraId="502DA0F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（2）工程量清单偏差超出专用合同条款约定的工程量偏差范围的；</w:t>
      </w:r>
    </w:p>
    <w:p w14:paraId="0FE38FF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（3）未按照国家现行计量规范强制性规定计量的。</w:t>
      </w:r>
    </w:p>
    <w:p w14:paraId="38642A09">
      <w:pPr>
        <w:pStyle w:val="5"/>
        <w:spacing w:before="120" w:after="120" w:line="360" w:lineRule="exact"/>
        <w:rPr>
          <w:rFonts w:ascii="宋体" w:hAnsi="宋体" w:cs="宋体"/>
          <w:bCs w:val="0"/>
          <w:color w:val="auto"/>
          <w:sz w:val="21"/>
          <w:szCs w:val="21"/>
        </w:rPr>
      </w:pPr>
      <w:bookmarkStart w:id="87" w:name="_Toc351203509"/>
      <w:r>
        <w:rPr>
          <w:rFonts w:hint="eastAsia" w:ascii="宋体" w:hAnsi="宋体" w:cs="宋体"/>
          <w:bCs w:val="0"/>
          <w:color w:val="auto"/>
          <w:sz w:val="21"/>
          <w:szCs w:val="21"/>
        </w:rPr>
        <w:t>2</w:t>
      </w:r>
      <w:bookmarkStart w:id="88" w:name="_Toc337558739"/>
      <w:bookmarkStart w:id="89" w:name="_Toc296346539"/>
      <w:bookmarkStart w:id="90" w:name="_Toc296503038"/>
      <w:r>
        <w:rPr>
          <w:rFonts w:hint="eastAsia" w:ascii="宋体" w:hAnsi="宋体" w:cs="宋体"/>
          <w:bCs w:val="0"/>
          <w:color w:val="auto"/>
          <w:sz w:val="21"/>
          <w:szCs w:val="21"/>
        </w:rPr>
        <w:t>. 发包人</w:t>
      </w:r>
      <w:bookmarkEnd w:id="87"/>
    </w:p>
    <w:bookmarkEnd w:id="88"/>
    <w:bookmarkEnd w:id="89"/>
    <w:bookmarkEnd w:id="90"/>
    <w:p w14:paraId="740D8823">
      <w:pPr>
        <w:pStyle w:val="6"/>
        <w:spacing w:before="120" w:after="120" w:line="360" w:lineRule="exact"/>
        <w:ind w:firstLine="422" w:firstLineChars="200"/>
        <w:rPr>
          <w:rFonts w:ascii="宋体" w:hAnsi="宋体" w:cs="宋体"/>
          <w:b w:val="0"/>
          <w:bCs w:val="0"/>
          <w:color w:val="auto"/>
          <w:sz w:val="21"/>
          <w:szCs w:val="21"/>
        </w:rPr>
      </w:pPr>
      <w:bookmarkStart w:id="91" w:name="_Toc351203510"/>
      <w:r>
        <w:rPr>
          <w:rFonts w:hint="eastAsia" w:ascii="宋体" w:hAnsi="宋体" w:cs="宋体"/>
          <w:color w:val="auto"/>
          <w:sz w:val="21"/>
          <w:szCs w:val="21"/>
        </w:rPr>
        <w:t>2</w:t>
      </w:r>
      <w:bookmarkStart w:id="92" w:name="_Toc296346540"/>
      <w:bookmarkStart w:id="93" w:name="_Toc296503039"/>
      <w:bookmarkStart w:id="94" w:name="_Toc337558740"/>
      <w:r>
        <w:rPr>
          <w:rFonts w:hint="eastAsia" w:ascii="宋体" w:hAnsi="宋体" w:cs="宋体"/>
          <w:color w:val="auto"/>
          <w:sz w:val="21"/>
          <w:szCs w:val="21"/>
        </w:rPr>
        <w:t>.1 许可或批准</w:t>
      </w:r>
      <w:bookmarkEnd w:id="91"/>
    </w:p>
    <w:p w14:paraId="47BBF49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80DAB1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因发包人原因未能及时办理完毕前述许可、批准或备案，由发包人承担由此增加的费用和（或）延误的工期，并支付承包人合理的利润。</w:t>
      </w:r>
    </w:p>
    <w:p w14:paraId="71328CCA">
      <w:pPr>
        <w:pStyle w:val="6"/>
        <w:spacing w:before="120" w:after="120" w:line="360" w:lineRule="exact"/>
        <w:ind w:firstLine="422" w:firstLineChars="200"/>
        <w:rPr>
          <w:rFonts w:ascii="宋体" w:hAnsi="宋体" w:cs="宋体"/>
          <w:color w:val="auto"/>
          <w:sz w:val="21"/>
          <w:szCs w:val="21"/>
        </w:rPr>
      </w:pPr>
      <w:bookmarkStart w:id="95" w:name="_Toc351203511"/>
      <w:r>
        <w:rPr>
          <w:rFonts w:hint="eastAsia" w:ascii="宋体" w:hAnsi="宋体" w:cs="宋体"/>
          <w:color w:val="auto"/>
          <w:sz w:val="21"/>
          <w:szCs w:val="21"/>
        </w:rPr>
        <w:t>2.2 发包人代表</w:t>
      </w:r>
      <w:bookmarkEnd w:id="95"/>
    </w:p>
    <w:p w14:paraId="77B6461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7485019E">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发包人代表不能按照合同约定履行其职责及义务，并导致合同无法继续正常履行的，承包人可以要求发包人撤换发包人代表。</w:t>
      </w:r>
    </w:p>
    <w:p w14:paraId="430A31C5">
      <w:pPr>
        <w:spacing w:line="360" w:lineRule="exact"/>
        <w:ind w:firstLine="420" w:firstLineChars="200"/>
        <w:rPr>
          <w:rFonts w:ascii="宋体" w:hAnsi="宋体" w:cs="宋体"/>
          <w:color w:val="auto"/>
          <w:szCs w:val="21"/>
        </w:rPr>
      </w:pPr>
      <w:r>
        <w:rPr>
          <w:rFonts w:hint="eastAsia" w:ascii="宋体" w:hAnsi="宋体" w:cs="宋体"/>
          <w:color w:val="auto"/>
          <w:kern w:val="0"/>
          <w:szCs w:val="21"/>
        </w:rPr>
        <w:t>不属于法定必须监理的工程，监理人的职权可以由发包人代表或发包人指定的其他人员行使。</w:t>
      </w:r>
    </w:p>
    <w:p w14:paraId="38EF2983">
      <w:pPr>
        <w:pStyle w:val="6"/>
        <w:spacing w:before="120" w:after="120" w:line="360" w:lineRule="exact"/>
        <w:ind w:firstLine="422" w:firstLineChars="200"/>
        <w:rPr>
          <w:rFonts w:ascii="宋体" w:hAnsi="宋体" w:cs="宋体"/>
          <w:b w:val="0"/>
          <w:bCs w:val="0"/>
          <w:color w:val="auto"/>
          <w:sz w:val="21"/>
          <w:szCs w:val="21"/>
        </w:rPr>
      </w:pPr>
      <w:bookmarkStart w:id="96" w:name="_Toc351203512"/>
      <w:r>
        <w:rPr>
          <w:rFonts w:hint="eastAsia" w:ascii="宋体" w:hAnsi="宋体" w:cs="宋体"/>
          <w:color w:val="auto"/>
          <w:sz w:val="21"/>
          <w:szCs w:val="21"/>
        </w:rPr>
        <w:t>2.3 发包人人员</w:t>
      </w:r>
      <w:bookmarkEnd w:id="96"/>
    </w:p>
    <w:p w14:paraId="501A579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发包人应要求在施工现场的发包人人员遵守法律及有关安全、质量、环境保护、文明施工等规定，并保障承包人免于承受因发包人人员未遵守上述要求给承包人造成的损失和责任。</w:t>
      </w:r>
    </w:p>
    <w:p w14:paraId="57404ECE">
      <w:pPr>
        <w:spacing w:line="360" w:lineRule="exact"/>
        <w:ind w:firstLine="640"/>
        <w:jc w:val="left"/>
        <w:rPr>
          <w:rFonts w:ascii="宋体" w:hAnsi="宋体" w:cs="宋体"/>
          <w:color w:val="auto"/>
          <w:kern w:val="0"/>
          <w:szCs w:val="21"/>
        </w:rPr>
      </w:pPr>
      <w:r>
        <w:rPr>
          <w:rFonts w:hint="eastAsia" w:ascii="宋体" w:hAnsi="宋体" w:cs="宋体"/>
          <w:color w:val="auto"/>
          <w:kern w:val="0"/>
          <w:szCs w:val="21"/>
        </w:rPr>
        <w:t>发包人人员包括发包人代表及其他由发包人派驻施工现场的人员。</w:t>
      </w:r>
      <w:bookmarkEnd w:id="92"/>
      <w:bookmarkEnd w:id="93"/>
      <w:bookmarkEnd w:id="94"/>
    </w:p>
    <w:p w14:paraId="2179A6CA">
      <w:pPr>
        <w:pStyle w:val="6"/>
        <w:spacing w:before="120" w:after="120" w:line="360" w:lineRule="exact"/>
        <w:ind w:firstLine="422" w:firstLineChars="200"/>
        <w:rPr>
          <w:rFonts w:ascii="宋体" w:hAnsi="宋体" w:cs="宋体"/>
          <w:b w:val="0"/>
          <w:bCs w:val="0"/>
          <w:color w:val="auto"/>
          <w:sz w:val="21"/>
          <w:szCs w:val="21"/>
        </w:rPr>
      </w:pPr>
      <w:bookmarkStart w:id="97" w:name="_Toc351203513"/>
      <w:r>
        <w:rPr>
          <w:rFonts w:hint="eastAsia" w:ascii="宋体" w:hAnsi="宋体" w:cs="宋体"/>
          <w:color w:val="auto"/>
          <w:sz w:val="21"/>
          <w:szCs w:val="21"/>
        </w:rPr>
        <w:t>2</w:t>
      </w:r>
      <w:bookmarkStart w:id="98" w:name="_Toc296503040"/>
      <w:bookmarkStart w:id="99" w:name="_Toc296346541"/>
      <w:bookmarkStart w:id="100" w:name="_Toc337558741"/>
      <w:r>
        <w:rPr>
          <w:rFonts w:hint="eastAsia" w:ascii="宋体" w:hAnsi="宋体" w:cs="宋体"/>
          <w:color w:val="auto"/>
          <w:sz w:val="21"/>
          <w:szCs w:val="21"/>
        </w:rPr>
        <w:t>.4 施工现场、施工条件和基础资料的提供</w:t>
      </w:r>
      <w:bookmarkEnd w:id="97"/>
      <w:r>
        <w:rPr>
          <w:rFonts w:hint="eastAsia" w:ascii="宋体" w:hAnsi="宋体" w:cs="宋体"/>
          <w:color w:val="auto"/>
          <w:sz w:val="21"/>
          <w:szCs w:val="21"/>
        </w:rPr>
        <w:t xml:space="preserve"> </w:t>
      </w:r>
      <w:bookmarkEnd w:id="98"/>
      <w:bookmarkEnd w:id="99"/>
      <w:bookmarkEnd w:id="100"/>
      <w:r>
        <w:rPr>
          <w:rFonts w:hint="eastAsia" w:ascii="宋体" w:hAnsi="宋体" w:cs="宋体"/>
          <w:b w:val="0"/>
          <w:bCs w:val="0"/>
          <w:color w:val="auto"/>
          <w:sz w:val="21"/>
          <w:szCs w:val="21"/>
        </w:rPr>
        <w:t xml:space="preserve"> </w:t>
      </w:r>
    </w:p>
    <w:p w14:paraId="7E32BF3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2.4.1 提供施工现场</w:t>
      </w:r>
    </w:p>
    <w:p w14:paraId="7CE7F44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除专用合同条款另有约定外，发包人应最迟于开工日期7天前向承包人移交施工现场。</w:t>
      </w:r>
    </w:p>
    <w:p w14:paraId="1216902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2.4.2 提供施工条件</w:t>
      </w:r>
    </w:p>
    <w:p w14:paraId="73572B8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除专用合同条款另有约定外，发包人应负责提供施工所需要的条件，包括：</w:t>
      </w:r>
    </w:p>
    <w:p w14:paraId="3B35D14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（1）将施工用水、市政公用、通讯线路等施工所必需的条件接至施工现场内；</w:t>
      </w:r>
    </w:p>
    <w:p w14:paraId="387EE9D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（2）保证向承包人提供正常施工所需要的进入施工现场的交通条件；</w:t>
      </w:r>
    </w:p>
    <w:p w14:paraId="7A68B6B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（3）协调处理施工现场周围地下管线和邻近建筑物、构筑物、古树名木的保护工作，并承担相关费用；</w:t>
      </w:r>
    </w:p>
    <w:p w14:paraId="3DC4CEF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（4）按照专用合同条款约定应提供的其他设施和条件。</w:t>
      </w:r>
    </w:p>
    <w:p w14:paraId="7B9987AB">
      <w:pPr>
        <w:autoSpaceDE w:val="0"/>
        <w:autoSpaceDN w:val="0"/>
        <w:adjustRightInd w:val="0"/>
        <w:spacing w:line="360" w:lineRule="exact"/>
        <w:ind w:firstLine="420" w:firstLineChars="200"/>
        <w:jc w:val="left"/>
        <w:rPr>
          <w:rFonts w:ascii="宋体" w:hAnsi="宋体" w:cs="宋体"/>
          <w:color w:val="auto"/>
          <w:szCs w:val="21"/>
        </w:rPr>
      </w:pPr>
      <w:r>
        <w:rPr>
          <w:rFonts w:hint="eastAsia" w:ascii="宋体" w:hAnsi="宋体" w:cs="宋体"/>
          <w:color w:val="auto"/>
          <w:kern w:val="0"/>
          <w:szCs w:val="21"/>
        </w:rPr>
        <w:t>2.4.3 提供基础资料</w:t>
      </w:r>
    </w:p>
    <w:p w14:paraId="5C729BB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DE0163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按照法律规定确需在开工后方能提供的基础资料，发包人应尽其努力及时地在相应工程施工前的合理期限内提供，合理期限应以不影响承包人的正常施工为限。</w:t>
      </w:r>
    </w:p>
    <w:p w14:paraId="114A2A8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2.4.4 逾期提供的责任</w:t>
      </w:r>
    </w:p>
    <w:p w14:paraId="2C544EE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因发包人原因未能按合同约定及时向承包人提供施工现场、施工条件、基础资料的，由发包人承担由此增加的费用和（或）延误的工期。</w:t>
      </w:r>
    </w:p>
    <w:p w14:paraId="256851DF">
      <w:pPr>
        <w:pStyle w:val="6"/>
        <w:spacing w:before="120" w:after="120" w:line="360" w:lineRule="exact"/>
        <w:ind w:firstLine="422" w:firstLineChars="200"/>
        <w:rPr>
          <w:rFonts w:ascii="宋体" w:hAnsi="宋体" w:cs="宋体"/>
          <w:b w:val="0"/>
          <w:bCs w:val="0"/>
          <w:color w:val="auto"/>
          <w:sz w:val="21"/>
          <w:szCs w:val="21"/>
        </w:rPr>
      </w:pPr>
      <w:bookmarkStart w:id="101" w:name="_Toc351203514"/>
      <w:r>
        <w:rPr>
          <w:rFonts w:hint="eastAsia" w:ascii="宋体" w:hAnsi="宋体" w:cs="宋体"/>
          <w:color w:val="auto"/>
          <w:sz w:val="21"/>
          <w:szCs w:val="21"/>
        </w:rPr>
        <w:t>2</w:t>
      </w:r>
      <w:bookmarkStart w:id="102" w:name="_Toc296346543"/>
      <w:bookmarkStart w:id="103" w:name="_Toc296503042"/>
      <w:bookmarkStart w:id="104" w:name="_Toc337558745"/>
      <w:r>
        <w:rPr>
          <w:rFonts w:hint="eastAsia" w:ascii="宋体" w:hAnsi="宋体" w:cs="宋体"/>
          <w:color w:val="auto"/>
          <w:sz w:val="21"/>
          <w:szCs w:val="21"/>
        </w:rPr>
        <w:t>.5 资</w:t>
      </w:r>
      <w:bookmarkEnd w:id="102"/>
      <w:bookmarkEnd w:id="103"/>
      <w:bookmarkEnd w:id="104"/>
      <w:r>
        <w:rPr>
          <w:rFonts w:hint="eastAsia" w:ascii="宋体" w:hAnsi="宋体" w:cs="宋体"/>
          <w:color w:val="auto"/>
          <w:sz w:val="21"/>
          <w:szCs w:val="21"/>
        </w:rPr>
        <w:t>金来源证明及支付担保</w:t>
      </w:r>
      <w:bookmarkEnd w:id="101"/>
    </w:p>
    <w:p w14:paraId="6F56B6E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除专用合同条款另有约定外，发包人应在收到承包人要求提供资金来源证明的书面通知后28天内，向承包人提供能够按照合同约定支付合同价款的相应资金来源证明。</w:t>
      </w:r>
    </w:p>
    <w:p w14:paraId="495CFD1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179824F8">
      <w:pPr>
        <w:pStyle w:val="6"/>
        <w:spacing w:before="120" w:after="120" w:line="360" w:lineRule="exact"/>
        <w:ind w:firstLine="422" w:firstLineChars="200"/>
        <w:rPr>
          <w:rFonts w:ascii="宋体" w:hAnsi="宋体" w:cs="宋体"/>
          <w:color w:val="auto"/>
          <w:sz w:val="21"/>
          <w:szCs w:val="21"/>
        </w:rPr>
      </w:pPr>
      <w:bookmarkStart w:id="105" w:name="_Toc351203515"/>
      <w:r>
        <w:rPr>
          <w:rFonts w:hint="eastAsia" w:ascii="宋体" w:hAnsi="宋体" w:cs="宋体"/>
          <w:color w:val="auto"/>
          <w:sz w:val="21"/>
          <w:szCs w:val="21"/>
        </w:rPr>
        <w:t>2.6 支付合同价款</w:t>
      </w:r>
      <w:bookmarkEnd w:id="105"/>
    </w:p>
    <w:p w14:paraId="63D088B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发包人应按合同约定向承包人及时支付合同价款。</w:t>
      </w:r>
    </w:p>
    <w:p w14:paraId="1B39BF72">
      <w:pPr>
        <w:pStyle w:val="6"/>
        <w:spacing w:before="120" w:after="120" w:line="360" w:lineRule="exact"/>
        <w:ind w:firstLine="422" w:firstLineChars="200"/>
        <w:rPr>
          <w:rFonts w:ascii="宋体" w:hAnsi="宋体" w:cs="宋体"/>
          <w:color w:val="auto"/>
          <w:sz w:val="21"/>
          <w:szCs w:val="21"/>
        </w:rPr>
      </w:pPr>
      <w:bookmarkStart w:id="106" w:name="_Toc351203516"/>
      <w:r>
        <w:rPr>
          <w:rFonts w:hint="eastAsia" w:ascii="宋体" w:hAnsi="宋体" w:cs="宋体"/>
          <w:color w:val="auto"/>
          <w:sz w:val="21"/>
          <w:szCs w:val="21"/>
        </w:rPr>
        <w:t>2.7 组织竣工验收</w:t>
      </w:r>
      <w:bookmarkEnd w:id="106"/>
    </w:p>
    <w:p w14:paraId="1623DB3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发包人应按合同约定及时组织竣工验收。</w:t>
      </w:r>
    </w:p>
    <w:p w14:paraId="27B57DE9">
      <w:pPr>
        <w:pStyle w:val="6"/>
        <w:spacing w:before="120" w:after="120" w:line="360" w:lineRule="exact"/>
        <w:ind w:firstLine="422" w:firstLineChars="200"/>
        <w:rPr>
          <w:rFonts w:ascii="宋体" w:hAnsi="宋体" w:cs="宋体"/>
          <w:b w:val="0"/>
          <w:bCs w:val="0"/>
          <w:color w:val="auto"/>
          <w:sz w:val="21"/>
          <w:szCs w:val="21"/>
        </w:rPr>
      </w:pPr>
      <w:bookmarkStart w:id="107" w:name="_Toc351203517"/>
      <w:r>
        <w:rPr>
          <w:rFonts w:hint="eastAsia" w:ascii="宋体" w:hAnsi="宋体" w:cs="宋体"/>
          <w:color w:val="auto"/>
          <w:sz w:val="21"/>
          <w:szCs w:val="21"/>
        </w:rPr>
        <w:t>2.8 现场统一管理协议</w:t>
      </w:r>
      <w:bookmarkEnd w:id="107"/>
    </w:p>
    <w:p w14:paraId="492D4AC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发包人应与承包人、由发包人直接发包的专业工程的承包人签订施工现场统一管理协议，明确各方的权利义务。施工现场统一管理协议作为专用合同条款的附件。</w:t>
      </w:r>
    </w:p>
    <w:p w14:paraId="5CD9A393">
      <w:pPr>
        <w:pStyle w:val="5"/>
        <w:spacing w:before="120" w:after="120" w:line="360" w:lineRule="exact"/>
        <w:rPr>
          <w:rFonts w:ascii="宋体" w:hAnsi="宋体" w:cs="宋体"/>
          <w:bCs w:val="0"/>
          <w:color w:val="auto"/>
          <w:sz w:val="21"/>
          <w:szCs w:val="21"/>
        </w:rPr>
      </w:pPr>
      <w:bookmarkStart w:id="108" w:name="_Toc351203518"/>
      <w:r>
        <w:rPr>
          <w:rFonts w:hint="eastAsia" w:ascii="宋体" w:hAnsi="宋体" w:cs="宋体"/>
          <w:bCs w:val="0"/>
          <w:color w:val="auto"/>
          <w:sz w:val="21"/>
          <w:szCs w:val="21"/>
        </w:rPr>
        <w:t>3</w:t>
      </w:r>
      <w:bookmarkStart w:id="109" w:name="_Toc296346546"/>
      <w:bookmarkStart w:id="110" w:name="_Toc337558746"/>
      <w:bookmarkStart w:id="111" w:name="_Toc296503045"/>
      <w:r>
        <w:rPr>
          <w:rFonts w:hint="eastAsia" w:ascii="宋体" w:hAnsi="宋体" w:cs="宋体"/>
          <w:bCs w:val="0"/>
          <w:color w:val="auto"/>
          <w:sz w:val="21"/>
          <w:szCs w:val="21"/>
        </w:rPr>
        <w:t>. 承包人</w:t>
      </w:r>
      <w:bookmarkEnd w:id="108"/>
    </w:p>
    <w:bookmarkEnd w:id="109"/>
    <w:bookmarkEnd w:id="110"/>
    <w:bookmarkEnd w:id="111"/>
    <w:p w14:paraId="190969E3">
      <w:pPr>
        <w:pStyle w:val="6"/>
        <w:spacing w:before="120" w:after="120" w:line="360" w:lineRule="exact"/>
        <w:ind w:firstLine="422" w:firstLineChars="200"/>
        <w:rPr>
          <w:rFonts w:ascii="宋体" w:hAnsi="宋体" w:cs="宋体"/>
          <w:b w:val="0"/>
          <w:bCs w:val="0"/>
          <w:color w:val="auto"/>
          <w:sz w:val="21"/>
          <w:szCs w:val="21"/>
        </w:rPr>
      </w:pPr>
      <w:bookmarkStart w:id="112" w:name="_Toc351203519"/>
      <w:r>
        <w:rPr>
          <w:rFonts w:hint="eastAsia" w:ascii="宋体" w:hAnsi="宋体" w:cs="宋体"/>
          <w:color w:val="auto"/>
          <w:sz w:val="21"/>
          <w:szCs w:val="21"/>
        </w:rPr>
        <w:t>3</w:t>
      </w:r>
      <w:bookmarkStart w:id="113" w:name="_Toc337558747"/>
      <w:bookmarkStart w:id="114" w:name="_Toc296503046"/>
      <w:bookmarkStart w:id="115" w:name="_Toc296346547"/>
      <w:r>
        <w:rPr>
          <w:rFonts w:hint="eastAsia" w:ascii="宋体" w:hAnsi="宋体" w:cs="宋体"/>
          <w:color w:val="auto"/>
          <w:sz w:val="21"/>
          <w:szCs w:val="21"/>
        </w:rPr>
        <w:t>.1 承包人的一般义务</w:t>
      </w:r>
      <w:bookmarkEnd w:id="112"/>
    </w:p>
    <w:bookmarkEnd w:id="113"/>
    <w:bookmarkEnd w:id="114"/>
    <w:bookmarkEnd w:id="115"/>
    <w:p w14:paraId="55D5A50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承包人在履行合同过程中应遵守法律和工程建设标准规范，并履行以下义务：</w:t>
      </w:r>
    </w:p>
    <w:p w14:paraId="3D1A7A33">
      <w:pPr>
        <w:numPr>
          <w:ilvl w:val="0"/>
          <w:numId w:val="2"/>
        </w:num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办理法律规定应由承包人办理的许可和批准，并将办理结果书面报送发包人留存；</w:t>
      </w:r>
    </w:p>
    <w:p w14:paraId="488FB33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（2）按法律规定和合同约定完成工程，并在保修期内承担保修义务；</w:t>
      </w:r>
    </w:p>
    <w:p w14:paraId="7F4C647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（3）按法律规定和合同约定采取施工安全和环境保护措施，办理工伤保险，确保工程及人员、材料、设备和设施的安全；</w:t>
      </w:r>
    </w:p>
    <w:p w14:paraId="5D61487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（4）按合同约定的工作内容和施工进度要求，编制施工组织设计和施工措施计划，并对所有施工作业和施工方法的完备性和安全可靠性负责；</w:t>
      </w:r>
    </w:p>
    <w:p w14:paraId="3B6AF0B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25B15A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（6）按照第6.3款〔环境保护〕约定负责施工场地及其周边环境与生态的保护工作；</w:t>
      </w:r>
    </w:p>
    <w:p w14:paraId="1F8E9CA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（7）按第6.1款〔安全文明施工〕约定采取施工安全措施，确保工程及其人员、材料、设备和设施的安全，防止因工程施工造成的人身伤害和财产损失；</w:t>
      </w:r>
    </w:p>
    <w:p w14:paraId="36618FF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（8）将发包人按合同约定支付的各项价款专用于合同工程，且应及时支付其雇用人员工资，并及时向分包人支付合同价款；</w:t>
      </w:r>
    </w:p>
    <w:p w14:paraId="77E57A7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（9）按照法律规定和合同约定编制竣工资料，完成竣工资料立卷及归档，并按专用合同条款约定的竣工资料的套数、内容、时间等要求移交发包人；</w:t>
      </w:r>
    </w:p>
    <w:p w14:paraId="49E9640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（10）应履行的其他义务。</w:t>
      </w:r>
    </w:p>
    <w:p w14:paraId="42924CD3">
      <w:pPr>
        <w:pStyle w:val="6"/>
        <w:spacing w:before="120" w:after="120" w:line="360" w:lineRule="exact"/>
        <w:ind w:firstLine="422" w:firstLineChars="200"/>
        <w:rPr>
          <w:rFonts w:ascii="宋体" w:hAnsi="宋体" w:cs="宋体"/>
          <w:color w:val="auto"/>
          <w:sz w:val="21"/>
          <w:szCs w:val="21"/>
        </w:rPr>
      </w:pPr>
      <w:bookmarkStart w:id="116" w:name="_Toc351203520"/>
      <w:r>
        <w:rPr>
          <w:rFonts w:hint="eastAsia" w:ascii="宋体" w:hAnsi="宋体" w:cs="宋体"/>
          <w:color w:val="auto"/>
          <w:sz w:val="21"/>
          <w:szCs w:val="21"/>
        </w:rPr>
        <w:t>3</w:t>
      </w:r>
      <w:bookmarkStart w:id="117" w:name="_Toc296503047"/>
      <w:bookmarkStart w:id="118" w:name="_Toc337558748"/>
      <w:bookmarkStart w:id="119" w:name="_Toc296346548"/>
      <w:r>
        <w:rPr>
          <w:rFonts w:hint="eastAsia" w:ascii="宋体" w:hAnsi="宋体" w:cs="宋体"/>
          <w:color w:val="auto"/>
          <w:sz w:val="21"/>
          <w:szCs w:val="21"/>
        </w:rPr>
        <w:t xml:space="preserve">.2 </w:t>
      </w:r>
      <w:bookmarkEnd w:id="116"/>
      <w:r>
        <w:rPr>
          <w:rFonts w:hint="eastAsia" w:ascii="宋体" w:hAnsi="宋体" w:cs="宋体"/>
          <w:color w:val="auto"/>
          <w:sz w:val="21"/>
          <w:szCs w:val="21"/>
        </w:rPr>
        <w:t>项目经理</w:t>
      </w:r>
    </w:p>
    <w:bookmarkEnd w:id="117"/>
    <w:bookmarkEnd w:id="118"/>
    <w:bookmarkEnd w:id="119"/>
    <w:p w14:paraId="2761E4A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092983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2D5FC6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承包人违反上述约定的，应按照专用合同条款的约定，承担违约责任。</w:t>
      </w:r>
    </w:p>
    <w:p w14:paraId="5ADE7F4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ED4DE4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672348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B1EDC1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47296307">
      <w:pPr>
        <w:pStyle w:val="6"/>
        <w:spacing w:before="120" w:after="120" w:line="360" w:lineRule="exact"/>
        <w:ind w:firstLine="422" w:firstLineChars="200"/>
        <w:rPr>
          <w:rFonts w:ascii="宋体" w:hAnsi="宋体" w:cs="宋体"/>
          <w:color w:val="auto"/>
          <w:sz w:val="21"/>
          <w:szCs w:val="21"/>
        </w:rPr>
      </w:pPr>
      <w:bookmarkStart w:id="120" w:name="_Toc351203521"/>
      <w:r>
        <w:rPr>
          <w:rFonts w:hint="eastAsia" w:ascii="宋体" w:hAnsi="宋体" w:cs="宋体"/>
          <w:color w:val="auto"/>
          <w:sz w:val="21"/>
          <w:szCs w:val="21"/>
        </w:rPr>
        <w:t>3</w:t>
      </w:r>
      <w:bookmarkStart w:id="121" w:name="_Toc296503048"/>
      <w:bookmarkStart w:id="122" w:name="_Toc296346549"/>
      <w:bookmarkStart w:id="123" w:name="_Toc337558749"/>
      <w:r>
        <w:rPr>
          <w:rFonts w:hint="eastAsia" w:ascii="宋体" w:hAnsi="宋体" w:cs="宋体"/>
          <w:color w:val="auto"/>
          <w:sz w:val="21"/>
          <w:szCs w:val="21"/>
        </w:rPr>
        <w:t xml:space="preserve">.3 </w:t>
      </w:r>
      <w:bookmarkEnd w:id="121"/>
      <w:bookmarkEnd w:id="122"/>
      <w:r>
        <w:rPr>
          <w:rFonts w:hint="eastAsia" w:ascii="宋体" w:hAnsi="宋体" w:cs="宋体"/>
          <w:color w:val="auto"/>
          <w:sz w:val="21"/>
          <w:szCs w:val="21"/>
        </w:rPr>
        <w:t>承包人人员</w:t>
      </w:r>
      <w:bookmarkEnd w:id="120"/>
    </w:p>
    <w:bookmarkEnd w:id="123"/>
    <w:p w14:paraId="3655D62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F7798C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84FA0F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特殊工种作业人员均应持有相应的资格证明，监理人可以随时检查。</w:t>
      </w:r>
    </w:p>
    <w:p w14:paraId="2CFE4AE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F46491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F2BB92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3.3.5 承包人擅自更换主要施工管理人员，或前述人员未经监理人或发包人同意擅自离开施工现场的，应按照专用合同条款约定承担违约责任。</w:t>
      </w:r>
    </w:p>
    <w:p w14:paraId="6392E2D3">
      <w:pPr>
        <w:pStyle w:val="6"/>
        <w:spacing w:before="120" w:after="120" w:line="360" w:lineRule="exact"/>
        <w:ind w:firstLine="422" w:firstLineChars="200"/>
        <w:rPr>
          <w:rFonts w:ascii="宋体" w:hAnsi="宋体" w:cs="宋体"/>
          <w:color w:val="auto"/>
          <w:sz w:val="21"/>
          <w:szCs w:val="21"/>
        </w:rPr>
      </w:pPr>
      <w:bookmarkStart w:id="124" w:name="_Toc351203522"/>
      <w:r>
        <w:rPr>
          <w:rFonts w:hint="eastAsia" w:ascii="宋体" w:hAnsi="宋体" w:cs="宋体"/>
          <w:color w:val="auto"/>
          <w:sz w:val="21"/>
          <w:szCs w:val="21"/>
        </w:rPr>
        <w:t>3</w:t>
      </w:r>
      <w:bookmarkStart w:id="125" w:name="_Toc296346551"/>
      <w:bookmarkStart w:id="126" w:name="_Toc296503050"/>
      <w:bookmarkStart w:id="127" w:name="_Toc337558750"/>
      <w:r>
        <w:rPr>
          <w:rFonts w:hint="eastAsia" w:ascii="宋体" w:hAnsi="宋体" w:cs="宋体"/>
          <w:color w:val="auto"/>
          <w:sz w:val="21"/>
          <w:szCs w:val="21"/>
        </w:rPr>
        <w:t>.4 承包人现场查勘</w:t>
      </w:r>
      <w:bookmarkEnd w:id="124"/>
    </w:p>
    <w:bookmarkEnd w:id="125"/>
    <w:bookmarkEnd w:id="126"/>
    <w:bookmarkEnd w:id="127"/>
    <w:p w14:paraId="3912D064">
      <w:pPr>
        <w:autoSpaceDE w:val="0"/>
        <w:autoSpaceDN w:val="0"/>
        <w:adjustRightInd w:val="0"/>
        <w:spacing w:line="360" w:lineRule="exact"/>
        <w:ind w:firstLine="420" w:firstLineChars="200"/>
        <w:jc w:val="left"/>
        <w:rPr>
          <w:rFonts w:ascii="宋体" w:hAnsi="宋体" w:cs="宋体"/>
          <w:color w:val="auto"/>
          <w:szCs w:val="21"/>
        </w:rPr>
      </w:pPr>
      <w:r>
        <w:rPr>
          <w:rFonts w:hint="eastAsia" w:ascii="宋体" w:hAnsi="宋体" w:cs="宋体"/>
          <w:color w:val="auto"/>
          <w:kern w:val="0"/>
          <w:szCs w:val="21"/>
        </w:rPr>
        <w:t>承包人应对基于发包人按照第2.4.3项〔提供基础资料〕提交的基础资料所做出的解释和推断负责，但因基础资料存在错误、遗漏导致承包人解释或推断失实的，由发包人承担责任。</w:t>
      </w:r>
    </w:p>
    <w:p w14:paraId="2149AD0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C11A822">
      <w:pPr>
        <w:pStyle w:val="6"/>
        <w:spacing w:before="120" w:after="120" w:line="360" w:lineRule="exact"/>
        <w:ind w:firstLine="422" w:firstLineChars="200"/>
        <w:rPr>
          <w:rFonts w:ascii="宋体" w:hAnsi="宋体" w:cs="宋体"/>
          <w:color w:val="auto"/>
          <w:sz w:val="21"/>
          <w:szCs w:val="21"/>
        </w:rPr>
      </w:pPr>
      <w:bookmarkStart w:id="128" w:name="_Toc351203523"/>
      <w:r>
        <w:rPr>
          <w:rFonts w:hint="eastAsia" w:ascii="宋体" w:hAnsi="宋体" w:cs="宋体"/>
          <w:color w:val="auto"/>
          <w:sz w:val="21"/>
          <w:szCs w:val="21"/>
        </w:rPr>
        <w:t>3</w:t>
      </w:r>
      <w:bookmarkStart w:id="129" w:name="_Toc296346552"/>
      <w:bookmarkStart w:id="130" w:name="_Toc296503051"/>
      <w:bookmarkStart w:id="131" w:name="_Toc337558751"/>
      <w:r>
        <w:rPr>
          <w:rFonts w:hint="eastAsia" w:ascii="宋体" w:hAnsi="宋体" w:cs="宋体"/>
          <w:color w:val="auto"/>
          <w:sz w:val="21"/>
          <w:szCs w:val="21"/>
        </w:rPr>
        <w:t>.5 分包</w:t>
      </w:r>
      <w:bookmarkEnd w:id="128"/>
    </w:p>
    <w:bookmarkEnd w:id="129"/>
    <w:bookmarkEnd w:id="130"/>
    <w:bookmarkEnd w:id="131"/>
    <w:p w14:paraId="0C18AAA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3.5.1 分包的一般约定</w:t>
      </w:r>
    </w:p>
    <w:p w14:paraId="67ECB8D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9DDC25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承包人不得以劳务分包的名义转包或违法分包工程。</w:t>
      </w:r>
    </w:p>
    <w:p w14:paraId="45A3514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3.5.2 分包的确定</w:t>
      </w:r>
    </w:p>
    <w:p w14:paraId="47AEE53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BB5A83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3.5.3 分包管理</w:t>
      </w:r>
    </w:p>
    <w:p w14:paraId="09EA85BF">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承包人应向监理人提交分包人的主要施工管理人员表，并对分包人的施工人员进行实名制管理，包括但不限于进出场管理、登记造册以及各种证照的办理。</w:t>
      </w:r>
    </w:p>
    <w:p w14:paraId="4702718F">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3.5.4 分包合同价款</w:t>
      </w:r>
    </w:p>
    <w:p w14:paraId="2391ECA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（1）除本项第（2）目约定的情况或专用合同条款另有约定外，分包合同价款由承包人与分包人结算，未经承包人同意，发包人不得向分包人支付分包工程价款；</w:t>
      </w:r>
    </w:p>
    <w:p w14:paraId="799BB36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（2）生效法律文书要求发包人向分包人支付分包合同价款的，发包人有权从应付承包人工程款中扣除该部分款项。</w:t>
      </w:r>
    </w:p>
    <w:p w14:paraId="597CF27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3.5.5 分包合同权益的转让</w:t>
      </w:r>
    </w:p>
    <w:p w14:paraId="32FF55A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32" w:name="_Toc351203524"/>
    </w:p>
    <w:p w14:paraId="748D5E59">
      <w:pPr>
        <w:pStyle w:val="6"/>
        <w:spacing w:before="120" w:after="120" w:line="360" w:lineRule="exact"/>
        <w:ind w:firstLine="422" w:firstLineChars="200"/>
        <w:rPr>
          <w:rFonts w:ascii="宋体" w:hAnsi="宋体" w:cs="宋体"/>
          <w:b w:val="0"/>
          <w:bCs w:val="0"/>
          <w:color w:val="auto"/>
          <w:sz w:val="21"/>
          <w:szCs w:val="21"/>
        </w:rPr>
      </w:pPr>
      <w:r>
        <w:rPr>
          <w:rFonts w:hint="eastAsia" w:ascii="宋体" w:hAnsi="宋体" w:cs="宋体"/>
          <w:color w:val="auto"/>
          <w:sz w:val="21"/>
          <w:szCs w:val="21"/>
        </w:rPr>
        <w:t>3.6 工程照管与成品、半成品保护</w:t>
      </w:r>
      <w:bookmarkEnd w:id="132"/>
    </w:p>
    <w:p w14:paraId="22386764">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（1）除专用合同条款另有约定外，自发包人向承包人移交施工现场之日起，承包人应负责照管工程及工程相关的材料、工程设备，直到颁发工程接收证书之日止。</w:t>
      </w:r>
    </w:p>
    <w:p w14:paraId="2143FFC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（2）在承包人负责照管期间，因承包人原因造成工程、材料、工程设备损坏的，由承包人负责修复或更换，并承担由此增加的费用和（或）延误的工期。</w:t>
      </w:r>
    </w:p>
    <w:p w14:paraId="5BF7B02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192BB52F">
      <w:pPr>
        <w:pStyle w:val="6"/>
        <w:spacing w:before="120" w:after="120" w:line="360" w:lineRule="exact"/>
        <w:ind w:firstLine="422" w:firstLineChars="200"/>
        <w:rPr>
          <w:rFonts w:ascii="宋体" w:hAnsi="宋体" w:cs="宋体"/>
          <w:color w:val="auto"/>
          <w:sz w:val="21"/>
          <w:szCs w:val="21"/>
        </w:rPr>
      </w:pPr>
      <w:bookmarkStart w:id="133" w:name="_Toc351203525"/>
      <w:r>
        <w:rPr>
          <w:rFonts w:hint="eastAsia" w:ascii="宋体" w:hAnsi="宋体" w:cs="宋体"/>
          <w:color w:val="auto"/>
          <w:sz w:val="21"/>
          <w:szCs w:val="21"/>
        </w:rPr>
        <w:t>3</w:t>
      </w:r>
      <w:bookmarkStart w:id="134" w:name="_Toc337558752"/>
      <w:bookmarkStart w:id="135" w:name="_Toc296346553"/>
      <w:bookmarkStart w:id="136" w:name="_Toc296503052"/>
      <w:r>
        <w:rPr>
          <w:rFonts w:hint="eastAsia" w:ascii="宋体" w:hAnsi="宋体" w:cs="宋体"/>
          <w:color w:val="auto"/>
          <w:sz w:val="21"/>
          <w:szCs w:val="21"/>
        </w:rPr>
        <w:t>.7 履约担保</w:t>
      </w:r>
      <w:bookmarkEnd w:id="133"/>
    </w:p>
    <w:bookmarkEnd w:id="134"/>
    <w:bookmarkEnd w:id="135"/>
    <w:bookmarkEnd w:id="136"/>
    <w:p w14:paraId="78EEC93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68E663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因承包人原因导致工期延长的，继续提供履约担保所增加的费用由承包人承担；非因承包人原因导致工期延长的，继续提供履约担保所增加的费用由发包人承担。</w:t>
      </w:r>
    </w:p>
    <w:p w14:paraId="100C7B60">
      <w:pPr>
        <w:pStyle w:val="6"/>
        <w:spacing w:before="120" w:after="120" w:line="360" w:lineRule="exact"/>
        <w:ind w:firstLine="422" w:firstLineChars="200"/>
        <w:rPr>
          <w:rFonts w:ascii="宋体" w:hAnsi="宋体" w:cs="宋体"/>
          <w:color w:val="auto"/>
          <w:sz w:val="21"/>
          <w:szCs w:val="21"/>
        </w:rPr>
      </w:pPr>
      <w:bookmarkStart w:id="137" w:name="_Toc351203526"/>
      <w:r>
        <w:rPr>
          <w:rFonts w:hint="eastAsia" w:ascii="宋体" w:hAnsi="宋体" w:cs="宋体"/>
          <w:color w:val="auto"/>
          <w:sz w:val="21"/>
          <w:szCs w:val="21"/>
        </w:rPr>
        <w:t>3.8 联合体</w:t>
      </w:r>
      <w:bookmarkEnd w:id="137"/>
    </w:p>
    <w:p w14:paraId="7FADF97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3.8.1 联合体各方应共同与发包人签订合同协议书。联合体各方应为履行合同向发包人承担连带责任。</w:t>
      </w:r>
    </w:p>
    <w:p w14:paraId="5E46959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3.8.2 联合体协议经发包人确认后作为合同附件。在履行合同过程中，未经发包人同意，不得修改联合体协议。</w:t>
      </w:r>
    </w:p>
    <w:p w14:paraId="6E7702F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3.8.3 联合体牵头人负责与发包人和监理人联系，并接受指示，负责组织联合体各成员全面履行合同。</w:t>
      </w:r>
    </w:p>
    <w:p w14:paraId="797DBEDF">
      <w:pPr>
        <w:pStyle w:val="5"/>
        <w:spacing w:before="120" w:after="120" w:line="360" w:lineRule="exact"/>
        <w:rPr>
          <w:rFonts w:ascii="宋体" w:hAnsi="宋体" w:cs="宋体"/>
          <w:bCs w:val="0"/>
          <w:color w:val="auto"/>
          <w:sz w:val="21"/>
          <w:szCs w:val="21"/>
        </w:rPr>
      </w:pPr>
      <w:bookmarkStart w:id="138" w:name="_Toc351203527"/>
      <w:r>
        <w:rPr>
          <w:rFonts w:hint="eastAsia" w:ascii="宋体" w:hAnsi="宋体" w:cs="宋体"/>
          <w:bCs w:val="0"/>
          <w:color w:val="auto"/>
          <w:sz w:val="21"/>
          <w:szCs w:val="21"/>
        </w:rPr>
        <w:t>4</w:t>
      </w:r>
      <w:bookmarkStart w:id="139" w:name="_Toc296503053"/>
      <w:bookmarkStart w:id="140" w:name="_Toc296346554"/>
      <w:bookmarkStart w:id="141" w:name="_Toc337558753"/>
      <w:r>
        <w:rPr>
          <w:rFonts w:hint="eastAsia" w:ascii="宋体" w:hAnsi="宋体" w:cs="宋体"/>
          <w:bCs w:val="0"/>
          <w:color w:val="auto"/>
          <w:sz w:val="21"/>
          <w:szCs w:val="21"/>
        </w:rPr>
        <w:t>. 监</w:t>
      </w:r>
      <w:bookmarkEnd w:id="139"/>
      <w:bookmarkEnd w:id="140"/>
      <w:r>
        <w:rPr>
          <w:rFonts w:hint="eastAsia" w:ascii="宋体" w:hAnsi="宋体" w:cs="宋体"/>
          <w:bCs w:val="0"/>
          <w:color w:val="auto"/>
          <w:sz w:val="21"/>
          <w:szCs w:val="21"/>
        </w:rPr>
        <w:t>理人</w:t>
      </w:r>
      <w:bookmarkEnd w:id="138"/>
    </w:p>
    <w:bookmarkEnd w:id="141"/>
    <w:p w14:paraId="01874473">
      <w:pPr>
        <w:pStyle w:val="6"/>
        <w:spacing w:before="120" w:after="120" w:line="360" w:lineRule="exact"/>
        <w:ind w:firstLine="422" w:firstLineChars="200"/>
        <w:rPr>
          <w:rFonts w:ascii="宋体" w:hAnsi="宋体" w:cs="宋体"/>
          <w:color w:val="auto"/>
          <w:sz w:val="21"/>
          <w:szCs w:val="21"/>
        </w:rPr>
      </w:pPr>
      <w:bookmarkStart w:id="142" w:name="_Toc351203528"/>
      <w:r>
        <w:rPr>
          <w:rFonts w:hint="eastAsia" w:ascii="宋体" w:hAnsi="宋体" w:cs="宋体"/>
          <w:color w:val="auto"/>
          <w:sz w:val="21"/>
          <w:szCs w:val="21"/>
        </w:rPr>
        <w:t>4</w:t>
      </w:r>
      <w:bookmarkStart w:id="143" w:name="_Toc296346555"/>
      <w:bookmarkStart w:id="144" w:name="_Toc337558754"/>
      <w:bookmarkStart w:id="145" w:name="_Toc296503054"/>
      <w:r>
        <w:rPr>
          <w:rFonts w:hint="eastAsia" w:ascii="宋体" w:hAnsi="宋体" w:cs="宋体"/>
          <w:color w:val="auto"/>
          <w:sz w:val="21"/>
          <w:szCs w:val="21"/>
        </w:rPr>
        <w:t>.1监理人的一般规定</w:t>
      </w:r>
      <w:bookmarkEnd w:id="142"/>
    </w:p>
    <w:bookmarkEnd w:id="143"/>
    <w:bookmarkEnd w:id="144"/>
    <w:bookmarkEnd w:id="145"/>
    <w:p w14:paraId="4C1F65E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676DCB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除专用合同条款另有约定外，监理人在施工现场的办公场所、生活场所由承包人提供，所发生的费用由发包人承担。</w:t>
      </w:r>
    </w:p>
    <w:p w14:paraId="66113245">
      <w:pPr>
        <w:pStyle w:val="6"/>
        <w:spacing w:before="120" w:after="120" w:line="360" w:lineRule="exact"/>
        <w:ind w:firstLine="422" w:firstLineChars="200"/>
        <w:rPr>
          <w:rFonts w:ascii="宋体" w:hAnsi="宋体" w:cs="宋体"/>
          <w:color w:val="auto"/>
          <w:sz w:val="21"/>
          <w:szCs w:val="21"/>
        </w:rPr>
      </w:pPr>
      <w:bookmarkStart w:id="146" w:name="_Toc351203529"/>
      <w:r>
        <w:rPr>
          <w:rFonts w:hint="eastAsia" w:ascii="宋体" w:hAnsi="宋体" w:cs="宋体"/>
          <w:color w:val="auto"/>
          <w:sz w:val="21"/>
          <w:szCs w:val="21"/>
        </w:rPr>
        <w:t>4</w:t>
      </w:r>
      <w:bookmarkStart w:id="147" w:name="_Toc337558755"/>
      <w:r>
        <w:rPr>
          <w:rFonts w:hint="eastAsia" w:ascii="宋体" w:hAnsi="宋体" w:cs="宋体"/>
          <w:color w:val="auto"/>
          <w:sz w:val="21"/>
          <w:szCs w:val="21"/>
        </w:rPr>
        <w:t>.2监理人员</w:t>
      </w:r>
      <w:bookmarkEnd w:id="146"/>
    </w:p>
    <w:bookmarkEnd w:id="147"/>
    <w:p w14:paraId="55A3943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06AF498C">
      <w:pPr>
        <w:pStyle w:val="6"/>
        <w:spacing w:before="120" w:after="120" w:line="360" w:lineRule="exact"/>
        <w:ind w:firstLine="422" w:firstLineChars="200"/>
        <w:rPr>
          <w:rFonts w:ascii="宋体" w:hAnsi="宋体" w:cs="宋体"/>
          <w:b w:val="0"/>
          <w:bCs w:val="0"/>
          <w:color w:val="auto"/>
          <w:sz w:val="21"/>
          <w:szCs w:val="21"/>
        </w:rPr>
      </w:pPr>
      <w:bookmarkStart w:id="148" w:name="_Toc351203530"/>
      <w:r>
        <w:rPr>
          <w:rFonts w:hint="eastAsia" w:ascii="宋体" w:hAnsi="宋体" w:cs="宋体"/>
          <w:color w:val="auto"/>
          <w:sz w:val="21"/>
          <w:szCs w:val="21"/>
        </w:rPr>
        <w:t>4</w:t>
      </w:r>
      <w:bookmarkStart w:id="149" w:name="_Toc296503055"/>
      <w:bookmarkStart w:id="150" w:name="_Toc296346556"/>
      <w:bookmarkStart w:id="151" w:name="_Toc337558756"/>
      <w:r>
        <w:rPr>
          <w:rFonts w:hint="eastAsia" w:ascii="宋体" w:hAnsi="宋体" w:cs="宋体"/>
          <w:color w:val="auto"/>
          <w:sz w:val="21"/>
          <w:szCs w:val="21"/>
        </w:rPr>
        <w:t>.3</w:t>
      </w:r>
      <w:bookmarkEnd w:id="149"/>
      <w:bookmarkEnd w:id="150"/>
      <w:r>
        <w:rPr>
          <w:rFonts w:hint="eastAsia" w:ascii="宋体" w:hAnsi="宋体" w:cs="宋体"/>
          <w:color w:val="auto"/>
          <w:sz w:val="21"/>
          <w:szCs w:val="21"/>
        </w:rPr>
        <w:t>监理人的指</w:t>
      </w:r>
      <w:bookmarkEnd w:id="151"/>
      <w:r>
        <w:rPr>
          <w:rFonts w:hint="eastAsia" w:ascii="宋体" w:hAnsi="宋体" w:cs="宋体"/>
          <w:color w:val="auto"/>
          <w:sz w:val="21"/>
          <w:szCs w:val="21"/>
        </w:rPr>
        <w:t>示</w:t>
      </w:r>
      <w:bookmarkEnd w:id="148"/>
    </w:p>
    <w:p w14:paraId="3F58ECF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162A4A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4A4994B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承包人对监理人发出的指示有疑问的，应向监理人提出书面异议，监理人应在48小时内对该指示予以确认、更改或撤销，监理人逾期未回复的，承包人有权拒绝执行上述指示。</w:t>
      </w:r>
    </w:p>
    <w:p w14:paraId="7BCE7B7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476ACD19">
      <w:pPr>
        <w:pStyle w:val="5"/>
        <w:spacing w:before="120" w:after="120" w:line="360" w:lineRule="exact"/>
        <w:ind w:firstLine="422" w:firstLineChars="200"/>
        <w:rPr>
          <w:rFonts w:ascii="宋体" w:hAnsi="宋体" w:cs="宋体"/>
          <w:bCs w:val="0"/>
          <w:color w:val="auto"/>
          <w:sz w:val="21"/>
          <w:szCs w:val="21"/>
        </w:rPr>
      </w:pPr>
      <w:bookmarkStart w:id="152" w:name="_Toc351203531"/>
      <w:r>
        <w:rPr>
          <w:rFonts w:hint="eastAsia" w:ascii="宋体" w:hAnsi="宋体" w:cs="宋体"/>
          <w:bCs w:val="0"/>
          <w:color w:val="auto"/>
          <w:sz w:val="21"/>
          <w:szCs w:val="21"/>
        </w:rPr>
        <w:t>4</w:t>
      </w:r>
      <w:bookmarkStart w:id="153" w:name="_Toc296346558"/>
      <w:bookmarkStart w:id="154" w:name="_Toc296503057"/>
      <w:bookmarkStart w:id="155" w:name="_Toc337558757"/>
      <w:r>
        <w:rPr>
          <w:rFonts w:hint="eastAsia" w:ascii="宋体" w:hAnsi="宋体" w:cs="宋体"/>
          <w:bCs w:val="0"/>
          <w:color w:val="auto"/>
          <w:sz w:val="21"/>
          <w:szCs w:val="21"/>
        </w:rPr>
        <w:t>.4 商定或确定</w:t>
      </w:r>
      <w:bookmarkEnd w:id="152"/>
    </w:p>
    <w:bookmarkEnd w:id="153"/>
    <w:bookmarkEnd w:id="154"/>
    <w:bookmarkEnd w:id="155"/>
    <w:p w14:paraId="05902AC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合同当事人进行商定或确定时，总监理工程师应当会同合同当事人尽量通过协商达成一致，不能达成一致的，由总监理工程师按照合同约定审慎做出公正的确定。</w:t>
      </w:r>
    </w:p>
    <w:p w14:paraId="294AFCF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164496EB">
      <w:pPr>
        <w:pStyle w:val="5"/>
        <w:spacing w:before="120" w:after="120" w:line="360" w:lineRule="exact"/>
        <w:rPr>
          <w:rFonts w:ascii="宋体" w:hAnsi="宋体" w:cs="宋体"/>
          <w:bCs w:val="0"/>
          <w:color w:val="auto"/>
          <w:sz w:val="21"/>
          <w:szCs w:val="21"/>
        </w:rPr>
      </w:pPr>
      <w:bookmarkStart w:id="156" w:name="_Toc351203532"/>
      <w:r>
        <w:rPr>
          <w:rFonts w:hint="eastAsia" w:ascii="宋体" w:hAnsi="宋体" w:cs="宋体"/>
          <w:bCs w:val="0"/>
          <w:color w:val="auto"/>
          <w:sz w:val="21"/>
          <w:szCs w:val="21"/>
        </w:rPr>
        <w:t>5</w:t>
      </w:r>
      <w:bookmarkStart w:id="157" w:name="_Toc337558758"/>
      <w:r>
        <w:rPr>
          <w:rFonts w:hint="eastAsia" w:ascii="宋体" w:hAnsi="宋体" w:cs="宋体"/>
          <w:bCs w:val="0"/>
          <w:color w:val="auto"/>
          <w:sz w:val="21"/>
          <w:szCs w:val="21"/>
        </w:rPr>
        <w:t>. 工程质量</w:t>
      </w:r>
      <w:bookmarkEnd w:id="156"/>
    </w:p>
    <w:bookmarkEnd w:id="157"/>
    <w:p w14:paraId="2A99BC99">
      <w:pPr>
        <w:pStyle w:val="6"/>
        <w:spacing w:before="120" w:after="120" w:line="360" w:lineRule="exact"/>
        <w:ind w:firstLine="422" w:firstLineChars="200"/>
        <w:rPr>
          <w:rFonts w:ascii="宋体" w:hAnsi="宋体" w:cs="宋体"/>
          <w:b w:val="0"/>
          <w:bCs w:val="0"/>
          <w:color w:val="auto"/>
          <w:sz w:val="21"/>
          <w:szCs w:val="21"/>
        </w:rPr>
      </w:pPr>
      <w:bookmarkStart w:id="158" w:name="_Toc351203533"/>
      <w:r>
        <w:rPr>
          <w:rFonts w:hint="eastAsia" w:ascii="宋体" w:hAnsi="宋体" w:cs="宋体"/>
          <w:color w:val="auto"/>
          <w:sz w:val="21"/>
          <w:szCs w:val="21"/>
        </w:rPr>
        <w:t>5</w:t>
      </w:r>
      <w:bookmarkStart w:id="159" w:name="_Toc337558759"/>
      <w:r>
        <w:rPr>
          <w:rFonts w:hint="eastAsia" w:ascii="宋体" w:hAnsi="宋体" w:cs="宋体"/>
          <w:color w:val="auto"/>
          <w:sz w:val="21"/>
          <w:szCs w:val="21"/>
        </w:rPr>
        <w:t>.1质量要求</w:t>
      </w:r>
      <w:bookmarkEnd w:id="158"/>
    </w:p>
    <w:bookmarkEnd w:id="159"/>
    <w:p w14:paraId="73C7973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5.1.1 工程质量标准必须符合现行国家有关工程施工质量验收规范和标准的要求。有关工程质量的特殊标准或要求由合同当事人在专用合同条款中约定。</w:t>
      </w:r>
    </w:p>
    <w:p w14:paraId="519046F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5.1.2 因发包人原因造成工程质量未达到合同约定标准的，由发包人承担由此增加的费用和（或）延误的工期，并支付承包人合理的利润。</w:t>
      </w:r>
    </w:p>
    <w:p w14:paraId="0B38066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5.1.3 因承包人原因造成工程质量未达到合同约定标准的，发包人有权要求承包人返工直至工程质量达到合同约定的标准为止，并由承包人承担由此增加的费用和（或）延误的工期。</w:t>
      </w:r>
    </w:p>
    <w:p w14:paraId="362E524A">
      <w:pPr>
        <w:pStyle w:val="6"/>
        <w:spacing w:before="120" w:after="120" w:line="360" w:lineRule="exact"/>
        <w:ind w:firstLine="422" w:firstLineChars="200"/>
        <w:rPr>
          <w:rFonts w:ascii="宋体" w:hAnsi="宋体" w:cs="宋体"/>
          <w:color w:val="auto"/>
          <w:sz w:val="21"/>
          <w:szCs w:val="21"/>
        </w:rPr>
      </w:pPr>
      <w:bookmarkStart w:id="160" w:name="_Toc351203534"/>
      <w:r>
        <w:rPr>
          <w:rFonts w:hint="eastAsia" w:ascii="宋体" w:hAnsi="宋体" w:cs="宋体"/>
          <w:color w:val="auto"/>
          <w:sz w:val="21"/>
          <w:szCs w:val="21"/>
        </w:rPr>
        <w:t>5</w:t>
      </w:r>
      <w:bookmarkStart w:id="161" w:name="_Toc337558760"/>
      <w:r>
        <w:rPr>
          <w:rFonts w:hint="eastAsia" w:ascii="宋体" w:hAnsi="宋体" w:cs="宋体"/>
          <w:color w:val="auto"/>
          <w:sz w:val="21"/>
          <w:szCs w:val="21"/>
        </w:rPr>
        <w:t>.2质量保证措施</w:t>
      </w:r>
      <w:bookmarkEnd w:id="160"/>
    </w:p>
    <w:bookmarkEnd w:id="161"/>
    <w:p w14:paraId="2811F46F">
      <w:pPr>
        <w:autoSpaceDE w:val="0"/>
        <w:autoSpaceDN w:val="0"/>
        <w:adjustRightInd w:val="0"/>
        <w:spacing w:line="360" w:lineRule="exact"/>
        <w:ind w:firstLine="420" w:firstLineChars="200"/>
        <w:jc w:val="left"/>
        <w:outlineLvl w:val="0"/>
        <w:rPr>
          <w:rFonts w:ascii="宋体" w:hAnsi="宋体" w:cs="宋体"/>
          <w:color w:val="auto"/>
          <w:kern w:val="0"/>
          <w:szCs w:val="21"/>
        </w:rPr>
      </w:pPr>
      <w:bookmarkStart w:id="162" w:name="_Toc21842"/>
      <w:bookmarkStart w:id="163" w:name="_Toc8691"/>
      <w:bookmarkStart w:id="164" w:name="_Toc9178"/>
      <w:bookmarkStart w:id="165" w:name="_Toc26332"/>
      <w:r>
        <w:rPr>
          <w:rFonts w:hint="eastAsia" w:ascii="宋体" w:hAnsi="宋体" w:cs="宋体"/>
          <w:color w:val="auto"/>
          <w:kern w:val="0"/>
          <w:szCs w:val="21"/>
        </w:rPr>
        <w:t>5.2.1 发包人的质量管理</w:t>
      </w:r>
      <w:bookmarkEnd w:id="162"/>
      <w:bookmarkEnd w:id="163"/>
      <w:bookmarkEnd w:id="164"/>
      <w:bookmarkEnd w:id="165"/>
    </w:p>
    <w:p w14:paraId="25D72D4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发包人应按照法律规定及合同约定完成与工程质量有关的各项工作。</w:t>
      </w:r>
    </w:p>
    <w:p w14:paraId="07FDB29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5.2.2 承包人的质量管理</w:t>
      </w:r>
    </w:p>
    <w:p w14:paraId="3DC0577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6034FD3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承包人应对施工人员进行质量教育和技术培训，定期考核施工人员的劳动技能，严格执行施工规范和操作规程。</w:t>
      </w:r>
    </w:p>
    <w:p w14:paraId="6C9A0CB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82AEFB7">
      <w:pPr>
        <w:autoSpaceDE w:val="0"/>
        <w:autoSpaceDN w:val="0"/>
        <w:adjustRightInd w:val="0"/>
        <w:spacing w:line="360" w:lineRule="exact"/>
        <w:ind w:firstLine="420" w:firstLineChars="200"/>
        <w:jc w:val="left"/>
        <w:outlineLvl w:val="0"/>
        <w:rPr>
          <w:rFonts w:ascii="宋体" w:hAnsi="宋体" w:cs="宋体"/>
          <w:color w:val="auto"/>
          <w:kern w:val="0"/>
          <w:szCs w:val="21"/>
        </w:rPr>
      </w:pPr>
      <w:bookmarkStart w:id="166" w:name="_Toc15458"/>
      <w:bookmarkStart w:id="167" w:name="_Toc21916"/>
      <w:bookmarkStart w:id="168" w:name="_Toc11528"/>
      <w:bookmarkStart w:id="169" w:name="_Toc6871"/>
      <w:r>
        <w:rPr>
          <w:rFonts w:hint="eastAsia" w:ascii="宋体" w:hAnsi="宋体" w:cs="宋体"/>
          <w:color w:val="auto"/>
          <w:kern w:val="0"/>
          <w:szCs w:val="21"/>
        </w:rPr>
        <w:t>5.2.3 监理人的质量检查和检验</w:t>
      </w:r>
      <w:bookmarkEnd w:id="166"/>
      <w:bookmarkEnd w:id="167"/>
      <w:bookmarkEnd w:id="168"/>
      <w:bookmarkEnd w:id="169"/>
    </w:p>
    <w:p w14:paraId="3B00468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6391A7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A86C84E">
      <w:pPr>
        <w:pStyle w:val="6"/>
        <w:spacing w:before="120" w:after="120" w:line="360" w:lineRule="exact"/>
        <w:ind w:firstLine="422" w:firstLineChars="200"/>
        <w:rPr>
          <w:rFonts w:ascii="宋体" w:hAnsi="宋体" w:cs="宋体"/>
          <w:color w:val="auto"/>
          <w:sz w:val="21"/>
          <w:szCs w:val="21"/>
        </w:rPr>
      </w:pPr>
      <w:bookmarkStart w:id="170" w:name="_Toc351203535"/>
      <w:r>
        <w:rPr>
          <w:rFonts w:hint="eastAsia" w:ascii="宋体" w:hAnsi="宋体" w:cs="宋体"/>
          <w:color w:val="auto"/>
          <w:sz w:val="21"/>
          <w:szCs w:val="21"/>
        </w:rPr>
        <w:t>5</w:t>
      </w:r>
      <w:bookmarkStart w:id="171" w:name="_Toc337558761"/>
      <w:r>
        <w:rPr>
          <w:rFonts w:hint="eastAsia" w:ascii="宋体" w:hAnsi="宋体" w:cs="宋体"/>
          <w:color w:val="auto"/>
          <w:sz w:val="21"/>
          <w:szCs w:val="21"/>
        </w:rPr>
        <w:t>.3 隐蔽工程检查</w:t>
      </w:r>
      <w:bookmarkEnd w:id="170"/>
    </w:p>
    <w:bookmarkEnd w:id="171"/>
    <w:p w14:paraId="5E1BDB5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5.3.1承包人自检</w:t>
      </w:r>
    </w:p>
    <w:p w14:paraId="664A3E5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承包人应当对工程隐蔽部位进行自检，并经自检确认是否具备覆盖条件。</w:t>
      </w:r>
    </w:p>
    <w:p w14:paraId="44C7AA4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5.3.2检查程序</w:t>
      </w:r>
    </w:p>
    <w:p w14:paraId="0711185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BD42E5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6B7331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CB0267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5.3.3 重新检查</w:t>
      </w:r>
    </w:p>
    <w:p w14:paraId="301A7EC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7BD205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5.3.4 承包人私自覆盖</w:t>
      </w:r>
    </w:p>
    <w:p w14:paraId="21269BBE">
      <w:pPr>
        <w:spacing w:line="360" w:lineRule="exact"/>
        <w:ind w:firstLine="420" w:firstLineChars="200"/>
        <w:jc w:val="left"/>
        <w:rPr>
          <w:rFonts w:ascii="宋体" w:hAnsi="宋体" w:cs="宋体"/>
          <w:color w:val="auto"/>
          <w:szCs w:val="21"/>
        </w:rPr>
      </w:pPr>
      <w:r>
        <w:rPr>
          <w:rFonts w:hint="eastAsia" w:ascii="宋体" w:hAnsi="宋体" w:cs="宋体"/>
          <w:color w:val="auto"/>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351DB90A">
      <w:pPr>
        <w:pStyle w:val="6"/>
        <w:spacing w:before="120" w:after="120" w:line="360" w:lineRule="exact"/>
        <w:ind w:firstLine="422" w:firstLineChars="200"/>
        <w:rPr>
          <w:rFonts w:ascii="宋体" w:hAnsi="宋体" w:cs="宋体"/>
          <w:b w:val="0"/>
          <w:bCs w:val="0"/>
          <w:color w:val="auto"/>
          <w:sz w:val="21"/>
          <w:szCs w:val="21"/>
        </w:rPr>
      </w:pPr>
      <w:bookmarkStart w:id="172" w:name="_Toc351203536"/>
      <w:r>
        <w:rPr>
          <w:rFonts w:hint="eastAsia" w:ascii="宋体" w:hAnsi="宋体" w:cs="宋体"/>
          <w:color w:val="auto"/>
          <w:sz w:val="21"/>
          <w:szCs w:val="21"/>
        </w:rPr>
        <w:t>5</w:t>
      </w:r>
      <w:bookmarkStart w:id="173" w:name="_Toc337558762"/>
      <w:r>
        <w:rPr>
          <w:rFonts w:hint="eastAsia" w:ascii="宋体" w:hAnsi="宋体" w:cs="宋体"/>
          <w:color w:val="auto"/>
          <w:sz w:val="21"/>
          <w:szCs w:val="21"/>
        </w:rPr>
        <w:t>.4不合格工程的处理</w:t>
      </w:r>
      <w:bookmarkEnd w:id="172"/>
    </w:p>
    <w:bookmarkEnd w:id="173"/>
    <w:p w14:paraId="505CB676">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77C8B55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5.4.2 因发包人原因造成工程不合格的，由此增加的费用和（或）延误的工期由发包人承担，并支付承包人合理的利润。</w:t>
      </w:r>
    </w:p>
    <w:p w14:paraId="65ED2B25">
      <w:pPr>
        <w:pStyle w:val="6"/>
        <w:spacing w:before="120" w:after="120" w:line="360" w:lineRule="exact"/>
        <w:ind w:firstLine="422" w:firstLineChars="200"/>
        <w:rPr>
          <w:rFonts w:ascii="宋体" w:hAnsi="宋体" w:cs="宋体"/>
          <w:color w:val="auto"/>
          <w:sz w:val="21"/>
          <w:szCs w:val="21"/>
        </w:rPr>
      </w:pPr>
      <w:bookmarkStart w:id="174" w:name="_Toc351203537"/>
      <w:r>
        <w:rPr>
          <w:rFonts w:hint="eastAsia" w:ascii="宋体" w:hAnsi="宋体" w:cs="宋体"/>
          <w:color w:val="auto"/>
          <w:sz w:val="21"/>
          <w:szCs w:val="21"/>
        </w:rPr>
        <w:t>5.5 质量争议检测</w:t>
      </w:r>
      <w:bookmarkEnd w:id="174"/>
    </w:p>
    <w:p w14:paraId="7BC4321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合同当事人对工程质量有争议的，由双方协商确定的工程质量检测机构鉴定，由此产生的费用及因此造成的损失，由责任方承担。</w:t>
      </w:r>
    </w:p>
    <w:p w14:paraId="3F635696">
      <w:pPr>
        <w:autoSpaceDE w:val="0"/>
        <w:autoSpaceDN w:val="0"/>
        <w:adjustRightInd w:val="0"/>
        <w:spacing w:line="360" w:lineRule="exact"/>
        <w:jc w:val="left"/>
        <w:rPr>
          <w:rFonts w:ascii="宋体" w:hAnsi="宋体" w:cs="宋体"/>
          <w:color w:val="auto"/>
          <w:kern w:val="0"/>
          <w:szCs w:val="21"/>
        </w:rPr>
      </w:pPr>
      <w:r>
        <w:rPr>
          <w:rFonts w:hint="eastAsia" w:ascii="宋体" w:hAnsi="宋体" w:cs="宋体"/>
          <w:color w:val="auto"/>
          <w:kern w:val="0"/>
          <w:szCs w:val="21"/>
        </w:rPr>
        <w:t>合同当事人均有责任的，由双方根据其责任分别承担。合同当事人无法达成一致的，按照第4.4款〔商定或确定〕执行。</w:t>
      </w:r>
    </w:p>
    <w:p w14:paraId="5949E04A">
      <w:pPr>
        <w:pStyle w:val="5"/>
        <w:spacing w:before="120" w:after="120" w:line="360" w:lineRule="exact"/>
        <w:rPr>
          <w:rFonts w:ascii="宋体" w:hAnsi="宋体" w:cs="宋体"/>
          <w:b w:val="0"/>
          <w:color w:val="auto"/>
          <w:sz w:val="21"/>
          <w:szCs w:val="21"/>
        </w:rPr>
      </w:pPr>
      <w:bookmarkStart w:id="175" w:name="_Toc351203538"/>
      <w:r>
        <w:rPr>
          <w:rFonts w:hint="eastAsia" w:ascii="宋体" w:hAnsi="宋体" w:cs="宋体"/>
          <w:bCs w:val="0"/>
          <w:color w:val="auto"/>
          <w:sz w:val="21"/>
          <w:szCs w:val="21"/>
        </w:rPr>
        <w:t>6</w:t>
      </w:r>
      <w:bookmarkStart w:id="176" w:name="_Toc337558763"/>
      <w:r>
        <w:rPr>
          <w:rFonts w:hint="eastAsia" w:ascii="宋体" w:hAnsi="宋体" w:cs="宋体"/>
          <w:bCs w:val="0"/>
          <w:color w:val="auto"/>
          <w:sz w:val="21"/>
          <w:szCs w:val="21"/>
        </w:rPr>
        <w:t>. 安全文明施工与环境保护</w:t>
      </w:r>
      <w:bookmarkEnd w:id="175"/>
    </w:p>
    <w:bookmarkEnd w:id="176"/>
    <w:p w14:paraId="30AF01EB">
      <w:pPr>
        <w:pStyle w:val="6"/>
        <w:spacing w:before="120" w:after="120" w:line="360" w:lineRule="exact"/>
        <w:ind w:firstLine="422" w:firstLineChars="200"/>
        <w:rPr>
          <w:rFonts w:ascii="宋体" w:hAnsi="宋体" w:cs="宋体"/>
          <w:color w:val="auto"/>
          <w:sz w:val="21"/>
          <w:szCs w:val="21"/>
        </w:rPr>
      </w:pPr>
      <w:bookmarkStart w:id="177" w:name="_Toc351203539"/>
      <w:r>
        <w:rPr>
          <w:rFonts w:hint="eastAsia" w:ascii="宋体" w:hAnsi="宋体" w:cs="宋体"/>
          <w:color w:val="auto"/>
          <w:sz w:val="21"/>
          <w:szCs w:val="21"/>
        </w:rPr>
        <w:t>6</w:t>
      </w:r>
      <w:bookmarkStart w:id="178" w:name="_Toc337558764"/>
      <w:r>
        <w:rPr>
          <w:rFonts w:hint="eastAsia" w:ascii="宋体" w:hAnsi="宋体" w:cs="宋体"/>
          <w:color w:val="auto"/>
          <w:sz w:val="21"/>
          <w:szCs w:val="21"/>
        </w:rPr>
        <w:t>.1安全文明施工</w:t>
      </w:r>
      <w:bookmarkEnd w:id="177"/>
    </w:p>
    <w:bookmarkEnd w:id="178"/>
    <w:p w14:paraId="2DF319DC">
      <w:pPr>
        <w:spacing w:line="360" w:lineRule="exact"/>
        <w:ind w:firstLine="420" w:firstLineChars="200"/>
        <w:rPr>
          <w:rFonts w:ascii="宋体" w:hAnsi="宋体" w:cs="宋体"/>
          <w:color w:val="auto"/>
          <w:szCs w:val="21"/>
        </w:rPr>
      </w:pPr>
      <w:r>
        <w:rPr>
          <w:rFonts w:hint="eastAsia" w:ascii="宋体" w:hAnsi="宋体" w:cs="宋体"/>
          <w:color w:val="auto"/>
          <w:szCs w:val="21"/>
        </w:rPr>
        <w:t>6.1.1安全生产要求</w:t>
      </w:r>
    </w:p>
    <w:p w14:paraId="334184BC">
      <w:pPr>
        <w:spacing w:line="360" w:lineRule="exact"/>
        <w:ind w:firstLine="420" w:firstLineChars="200"/>
        <w:rPr>
          <w:rFonts w:ascii="宋体" w:hAnsi="宋体" w:cs="宋体"/>
          <w:color w:val="auto"/>
          <w:szCs w:val="21"/>
        </w:rPr>
      </w:pPr>
      <w:r>
        <w:rPr>
          <w:rFonts w:hint="eastAsia" w:ascii="宋体" w:hAnsi="宋体" w:cs="宋体"/>
          <w:color w:val="auto"/>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A7E20F5">
      <w:pPr>
        <w:spacing w:line="360" w:lineRule="exact"/>
        <w:ind w:firstLine="420" w:firstLineChars="200"/>
        <w:rPr>
          <w:rFonts w:ascii="宋体" w:hAnsi="宋体" w:cs="宋体"/>
          <w:color w:val="auto"/>
          <w:szCs w:val="21"/>
        </w:rPr>
      </w:pPr>
      <w:r>
        <w:rPr>
          <w:rFonts w:hint="eastAsia" w:ascii="宋体" w:hAnsi="宋体" w:cs="宋体"/>
          <w:color w:val="auto"/>
          <w:szCs w:val="21"/>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auto"/>
          <w:kern w:val="0"/>
          <w:szCs w:val="21"/>
        </w:rPr>
        <w:t>政府有关行政管理部门</w:t>
      </w:r>
      <w:r>
        <w:rPr>
          <w:rFonts w:hint="eastAsia" w:ascii="宋体" w:hAnsi="宋体" w:cs="宋体"/>
          <w:color w:val="auto"/>
          <w:szCs w:val="21"/>
        </w:rPr>
        <w:t>采取应急措施。</w:t>
      </w:r>
    </w:p>
    <w:p w14:paraId="7D89044B">
      <w:pPr>
        <w:spacing w:line="360" w:lineRule="exact"/>
        <w:ind w:firstLine="420" w:firstLineChars="200"/>
        <w:rPr>
          <w:rFonts w:ascii="宋体" w:hAnsi="宋体" w:cs="宋体"/>
          <w:color w:val="auto"/>
          <w:szCs w:val="21"/>
        </w:rPr>
      </w:pPr>
      <w:r>
        <w:rPr>
          <w:rFonts w:hint="eastAsia" w:ascii="宋体" w:hAnsi="宋体" w:cs="宋体"/>
          <w:color w:val="auto"/>
          <w:szCs w:val="21"/>
        </w:rPr>
        <w:t>因安全生产需要暂停施工的，按照第7.8款〔暂停施工〕的约定执行。</w:t>
      </w:r>
    </w:p>
    <w:p w14:paraId="5CB745F8">
      <w:pPr>
        <w:spacing w:line="360" w:lineRule="exact"/>
        <w:ind w:firstLine="420" w:firstLineChars="200"/>
        <w:rPr>
          <w:rFonts w:ascii="宋体" w:hAnsi="宋体" w:cs="宋体"/>
          <w:color w:val="auto"/>
          <w:szCs w:val="21"/>
        </w:rPr>
      </w:pPr>
      <w:r>
        <w:rPr>
          <w:rFonts w:hint="eastAsia" w:ascii="宋体" w:hAnsi="宋体" w:cs="宋体"/>
          <w:color w:val="auto"/>
          <w:szCs w:val="21"/>
        </w:rPr>
        <w:t>6.1.2 安全生产保证措施</w:t>
      </w:r>
    </w:p>
    <w:p w14:paraId="73B8D51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szCs w:val="21"/>
        </w:rPr>
        <w:t>承包人应当按照有关</w:t>
      </w:r>
      <w:r>
        <w:rPr>
          <w:rFonts w:hint="eastAsia" w:ascii="宋体" w:hAnsi="宋体" w:cs="宋体"/>
          <w:color w:val="auto"/>
          <w:kern w:val="0"/>
          <w:szCs w:val="21"/>
        </w:rPr>
        <w:t>规定编制安全技术措施或者专项施工方案，</w:t>
      </w:r>
      <w:r>
        <w:rPr>
          <w:rFonts w:hint="eastAsia" w:ascii="宋体" w:hAnsi="宋体" w:cs="宋体"/>
          <w:color w:val="auto"/>
          <w:szCs w:val="21"/>
        </w:rPr>
        <w:t>建立安全生产责任制度、治安保卫制度及安全生产教育培训制度，并</w:t>
      </w:r>
      <w:r>
        <w:rPr>
          <w:rFonts w:hint="eastAsia" w:ascii="宋体" w:hAnsi="宋体" w:cs="宋体"/>
          <w:color w:val="auto"/>
          <w:kern w:val="0"/>
          <w:szCs w:val="21"/>
        </w:rPr>
        <w:t>按安全生产法律规定及合同约定履行安全职责，如实</w:t>
      </w:r>
      <w:r>
        <w:rPr>
          <w:rFonts w:hint="eastAsia" w:ascii="宋体" w:hAnsi="宋体" w:cs="宋体"/>
          <w:color w:val="auto"/>
          <w:szCs w:val="21"/>
        </w:rPr>
        <w:t>编制工程安全生产的有关记录，</w:t>
      </w:r>
      <w:r>
        <w:rPr>
          <w:rFonts w:hint="eastAsia" w:ascii="宋体" w:hAnsi="宋体" w:cs="宋体"/>
          <w:color w:val="auto"/>
          <w:kern w:val="0"/>
          <w:szCs w:val="21"/>
        </w:rPr>
        <w:t>接受发包人、监理人及政府安全监督部门的检查与监督。</w:t>
      </w:r>
    </w:p>
    <w:p w14:paraId="458C9D65">
      <w:pPr>
        <w:spacing w:line="360" w:lineRule="exact"/>
        <w:ind w:firstLine="420" w:firstLineChars="200"/>
        <w:rPr>
          <w:rFonts w:ascii="宋体" w:hAnsi="宋体" w:cs="宋体"/>
          <w:color w:val="auto"/>
          <w:szCs w:val="21"/>
        </w:rPr>
      </w:pPr>
      <w:r>
        <w:rPr>
          <w:rFonts w:hint="eastAsia" w:ascii="宋体" w:hAnsi="宋体" w:cs="宋体"/>
          <w:color w:val="auto"/>
          <w:szCs w:val="21"/>
        </w:rPr>
        <w:t>6.1.3特别安全生产事项</w:t>
      </w:r>
    </w:p>
    <w:p w14:paraId="09D9BB48">
      <w:pPr>
        <w:spacing w:line="360" w:lineRule="exact"/>
        <w:ind w:firstLine="420" w:firstLineChars="200"/>
        <w:rPr>
          <w:rFonts w:ascii="宋体" w:hAnsi="宋体" w:cs="宋体"/>
          <w:color w:val="auto"/>
          <w:szCs w:val="21"/>
        </w:rPr>
      </w:pPr>
      <w:r>
        <w:rPr>
          <w:rFonts w:hint="eastAsia" w:ascii="宋体" w:hAnsi="宋体" w:cs="宋体"/>
          <w:color w:val="auto"/>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6B4C676">
      <w:pPr>
        <w:spacing w:line="360" w:lineRule="exact"/>
        <w:ind w:firstLine="420" w:firstLineChars="200"/>
        <w:rPr>
          <w:rFonts w:ascii="宋体" w:hAnsi="宋体" w:cs="宋体"/>
          <w:color w:val="auto"/>
          <w:szCs w:val="21"/>
        </w:rPr>
      </w:pPr>
      <w:r>
        <w:rPr>
          <w:rFonts w:hint="eastAsia" w:ascii="宋体" w:hAnsi="宋体" w:cs="宋体"/>
          <w:color w:val="auto"/>
          <w:szCs w:val="21"/>
        </w:rPr>
        <w:t xml:space="preserve">承包人在动力设备、输电线路、地下管道、密封防震车间、易燃易爆地段以及临街交通要道附近施工时，施工开始前应向发包人和监理人提出安全防护措施，经发包人认可后实施。 </w:t>
      </w:r>
    </w:p>
    <w:p w14:paraId="130D2CAB">
      <w:pPr>
        <w:spacing w:line="360" w:lineRule="exact"/>
        <w:ind w:firstLine="420" w:firstLineChars="200"/>
        <w:rPr>
          <w:rFonts w:ascii="宋体" w:hAnsi="宋体" w:cs="宋体"/>
          <w:color w:val="auto"/>
          <w:szCs w:val="21"/>
        </w:rPr>
      </w:pPr>
      <w:r>
        <w:rPr>
          <w:rFonts w:hint="eastAsia" w:ascii="宋体" w:hAnsi="宋体" w:cs="宋体"/>
          <w:color w:val="auto"/>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423A3EF9">
      <w:pPr>
        <w:spacing w:line="360" w:lineRule="exact"/>
        <w:ind w:firstLine="420" w:firstLineChars="200"/>
        <w:rPr>
          <w:rFonts w:ascii="宋体" w:hAnsi="宋体" w:cs="宋体"/>
          <w:color w:val="auto"/>
          <w:szCs w:val="21"/>
        </w:rPr>
      </w:pPr>
      <w:r>
        <w:rPr>
          <w:rFonts w:hint="eastAsia" w:ascii="宋体" w:hAnsi="宋体" w:cs="宋体"/>
          <w:color w:val="auto"/>
          <w:szCs w:val="21"/>
        </w:rPr>
        <w:t>需单独编制危险性较大分部分项专项工程施工方案的，及要求进行专家论证的超过一定规模的危险性较大的分部分项工程，承包人应及时编制和组织论证。</w:t>
      </w:r>
    </w:p>
    <w:p w14:paraId="357353AF">
      <w:pPr>
        <w:spacing w:line="360" w:lineRule="exact"/>
        <w:ind w:firstLine="420" w:firstLineChars="200"/>
        <w:rPr>
          <w:rFonts w:ascii="宋体" w:hAnsi="宋体" w:cs="宋体"/>
          <w:color w:val="auto"/>
          <w:szCs w:val="21"/>
        </w:rPr>
      </w:pPr>
      <w:r>
        <w:rPr>
          <w:rFonts w:hint="eastAsia" w:ascii="宋体" w:hAnsi="宋体" w:cs="宋体"/>
          <w:color w:val="auto"/>
          <w:szCs w:val="21"/>
        </w:rPr>
        <w:t>6.1.4 治安保卫</w:t>
      </w:r>
    </w:p>
    <w:p w14:paraId="6A5270D7">
      <w:pPr>
        <w:spacing w:line="360" w:lineRule="exact"/>
        <w:ind w:firstLine="420" w:firstLineChars="200"/>
        <w:rPr>
          <w:rFonts w:ascii="宋体" w:hAnsi="宋体" w:cs="宋体"/>
          <w:color w:val="auto"/>
          <w:szCs w:val="21"/>
        </w:rPr>
      </w:pPr>
      <w:r>
        <w:rPr>
          <w:rFonts w:hint="eastAsia" w:ascii="宋体" w:hAnsi="宋体" w:cs="宋体"/>
          <w:color w:val="auto"/>
          <w:szCs w:val="21"/>
        </w:rPr>
        <w:t>除专用合同条款另有约定外，发包人应与当地公安部门协商，在现场建立治安管理机构或联防组织，统一管理施工场地的治安保卫事项，履行合同工程的治安保卫职责。</w:t>
      </w:r>
    </w:p>
    <w:p w14:paraId="5B36C4A4">
      <w:pPr>
        <w:spacing w:line="360" w:lineRule="exact"/>
        <w:ind w:firstLine="420" w:firstLineChars="200"/>
        <w:rPr>
          <w:rFonts w:ascii="宋体" w:hAnsi="宋体" w:cs="宋体"/>
          <w:color w:val="auto"/>
          <w:szCs w:val="21"/>
        </w:rPr>
      </w:pPr>
      <w:r>
        <w:rPr>
          <w:rFonts w:hint="eastAsia" w:ascii="宋体" w:hAnsi="宋体" w:cs="宋体"/>
          <w:color w:val="auto"/>
          <w:szCs w:val="21"/>
        </w:rPr>
        <w:t>发包人和承包人除应协助现场治安管理机构或联防组织维护施工场地的社会治安外，还应做好包括生活区在内的各自管辖区的治安保卫工作。</w:t>
      </w:r>
    </w:p>
    <w:p w14:paraId="5E917832">
      <w:pPr>
        <w:spacing w:line="360" w:lineRule="exact"/>
        <w:ind w:firstLine="420" w:firstLineChars="200"/>
        <w:rPr>
          <w:rFonts w:ascii="宋体" w:hAnsi="宋体" w:cs="宋体"/>
          <w:color w:val="auto"/>
          <w:szCs w:val="21"/>
        </w:rPr>
      </w:pPr>
      <w:r>
        <w:rPr>
          <w:rFonts w:hint="eastAsia" w:ascii="宋体" w:hAnsi="宋体" w:cs="宋体"/>
          <w:color w:val="auto"/>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D07BC3E">
      <w:pPr>
        <w:spacing w:line="360" w:lineRule="exact"/>
        <w:ind w:firstLine="420" w:firstLineChars="200"/>
        <w:rPr>
          <w:rFonts w:ascii="宋体" w:hAnsi="宋体" w:cs="宋体"/>
          <w:color w:val="auto"/>
          <w:kern w:val="0"/>
          <w:szCs w:val="21"/>
        </w:rPr>
      </w:pPr>
      <w:r>
        <w:rPr>
          <w:rFonts w:hint="eastAsia" w:ascii="宋体" w:hAnsi="宋体" w:cs="宋体"/>
          <w:color w:val="auto"/>
          <w:szCs w:val="21"/>
        </w:rPr>
        <w:t>6.1.5 文明施工</w:t>
      </w:r>
    </w:p>
    <w:p w14:paraId="5DBC26C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5B0912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0DA34A3">
      <w:pPr>
        <w:spacing w:line="360" w:lineRule="exact"/>
        <w:ind w:firstLine="420" w:firstLineChars="200"/>
        <w:rPr>
          <w:rFonts w:ascii="宋体" w:hAnsi="宋体" w:cs="宋体"/>
          <w:color w:val="auto"/>
          <w:szCs w:val="21"/>
        </w:rPr>
      </w:pPr>
      <w:r>
        <w:rPr>
          <w:rFonts w:hint="eastAsia" w:ascii="宋体" w:hAnsi="宋体" w:cs="宋体"/>
          <w:color w:val="auto"/>
          <w:szCs w:val="21"/>
        </w:rPr>
        <w:t>6.1.6 安全文明施工费</w:t>
      </w:r>
    </w:p>
    <w:p w14:paraId="6055D49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安全文明施工费由发包人承担，发包人不得以任何形式扣减该部分费用。因基准日期后合同所适用的法律或政府有关规定发生变化，增加的安全文明施工费由发包人承担。</w:t>
      </w:r>
    </w:p>
    <w:p w14:paraId="5B0ED7F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07D4B8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265CDE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F44BF9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6.1.7 紧急情况处理</w:t>
      </w:r>
    </w:p>
    <w:p w14:paraId="33522BD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8378E0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6.1.8 事故处理</w:t>
      </w:r>
    </w:p>
    <w:p w14:paraId="4ED0973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0E806E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6.1.9 安全生产责任</w:t>
      </w:r>
    </w:p>
    <w:p w14:paraId="242A5EA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6.1.9.1 发包人的安全责任</w:t>
      </w:r>
    </w:p>
    <w:p w14:paraId="3C4893A4">
      <w:pPr>
        <w:spacing w:line="360" w:lineRule="exact"/>
        <w:ind w:firstLine="420" w:firstLineChars="200"/>
        <w:rPr>
          <w:rFonts w:ascii="宋体" w:hAnsi="宋体" w:cs="宋体"/>
          <w:color w:val="auto"/>
          <w:szCs w:val="21"/>
        </w:rPr>
      </w:pPr>
      <w:r>
        <w:rPr>
          <w:rFonts w:hint="eastAsia" w:ascii="宋体" w:hAnsi="宋体" w:cs="宋体"/>
          <w:color w:val="auto"/>
          <w:szCs w:val="21"/>
        </w:rPr>
        <w:t>发包人应负责赔偿以下各种情况造成的损失：</w:t>
      </w:r>
    </w:p>
    <w:p w14:paraId="6767EA5B">
      <w:pPr>
        <w:spacing w:line="360" w:lineRule="exact"/>
        <w:ind w:firstLine="420" w:firstLineChars="200"/>
        <w:rPr>
          <w:rFonts w:ascii="宋体" w:hAnsi="宋体" w:cs="宋体"/>
          <w:color w:val="auto"/>
          <w:szCs w:val="21"/>
        </w:rPr>
      </w:pPr>
      <w:r>
        <w:rPr>
          <w:rFonts w:hint="eastAsia" w:ascii="宋体" w:hAnsi="宋体" w:cs="宋体"/>
          <w:color w:val="auto"/>
          <w:szCs w:val="21"/>
        </w:rPr>
        <w:t>（1）工程或工程的任何部分对土地的占用所造成的第三者财产损失；</w:t>
      </w:r>
    </w:p>
    <w:p w14:paraId="31527759">
      <w:pPr>
        <w:spacing w:line="360" w:lineRule="exact"/>
        <w:ind w:firstLine="420" w:firstLineChars="200"/>
        <w:rPr>
          <w:rFonts w:ascii="宋体" w:hAnsi="宋体" w:cs="宋体"/>
          <w:color w:val="auto"/>
          <w:szCs w:val="21"/>
        </w:rPr>
      </w:pPr>
      <w:r>
        <w:rPr>
          <w:rFonts w:hint="eastAsia" w:ascii="宋体" w:hAnsi="宋体" w:cs="宋体"/>
          <w:color w:val="auto"/>
          <w:szCs w:val="21"/>
        </w:rPr>
        <w:t>（2）由于发包人原因在施工场地及其毗邻地带造成的第三者人身伤亡和财产损失；</w:t>
      </w:r>
    </w:p>
    <w:p w14:paraId="53076E19">
      <w:pPr>
        <w:spacing w:line="360" w:lineRule="exact"/>
        <w:ind w:firstLine="420" w:firstLineChars="200"/>
        <w:rPr>
          <w:rFonts w:ascii="宋体" w:hAnsi="宋体" w:cs="宋体"/>
          <w:color w:val="auto"/>
          <w:szCs w:val="21"/>
        </w:rPr>
      </w:pPr>
      <w:r>
        <w:rPr>
          <w:rFonts w:hint="eastAsia" w:ascii="宋体" w:hAnsi="宋体" w:cs="宋体"/>
          <w:color w:val="auto"/>
          <w:szCs w:val="21"/>
        </w:rPr>
        <w:t>（3）由于发包人原因对承包人、监理人造成的人员人身伤亡和财产损失；</w:t>
      </w:r>
    </w:p>
    <w:p w14:paraId="404834C3">
      <w:pPr>
        <w:spacing w:line="360" w:lineRule="exact"/>
        <w:ind w:firstLine="420" w:firstLineChars="200"/>
        <w:rPr>
          <w:rFonts w:ascii="宋体" w:hAnsi="宋体" w:cs="宋体"/>
          <w:color w:val="auto"/>
          <w:szCs w:val="21"/>
        </w:rPr>
      </w:pPr>
      <w:r>
        <w:rPr>
          <w:rFonts w:hint="eastAsia" w:ascii="宋体" w:hAnsi="宋体" w:cs="宋体"/>
          <w:color w:val="auto"/>
          <w:szCs w:val="21"/>
        </w:rPr>
        <w:t>（4）由于发包人原因造成的发包人自身人员的人身伤害以及财产损失。</w:t>
      </w:r>
    </w:p>
    <w:p w14:paraId="08A6D49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6.1.9.2 承包人的安全责任</w:t>
      </w:r>
    </w:p>
    <w:p w14:paraId="22702AF4">
      <w:pPr>
        <w:spacing w:line="360" w:lineRule="exact"/>
        <w:ind w:firstLine="420" w:firstLineChars="200"/>
        <w:rPr>
          <w:rFonts w:ascii="宋体" w:hAnsi="宋体" w:cs="宋体"/>
          <w:color w:val="auto"/>
          <w:kern w:val="0"/>
          <w:szCs w:val="21"/>
        </w:rPr>
      </w:pPr>
      <w:r>
        <w:rPr>
          <w:rFonts w:hint="eastAsia" w:ascii="宋体" w:hAnsi="宋体" w:cs="宋体"/>
          <w:color w:val="auto"/>
          <w:szCs w:val="21"/>
        </w:rPr>
        <w:t>由于承包人原因在施工场地内及其毗邻地带造成的发包人、监理人以及第三者人员伤亡和财产损失，由承包人负责赔偿。</w:t>
      </w:r>
    </w:p>
    <w:p w14:paraId="39A3AB07">
      <w:pPr>
        <w:pStyle w:val="6"/>
        <w:spacing w:before="120" w:after="120" w:line="360" w:lineRule="exact"/>
        <w:ind w:firstLine="422" w:firstLineChars="200"/>
        <w:rPr>
          <w:rFonts w:ascii="宋体" w:hAnsi="宋体" w:cs="宋体"/>
          <w:color w:val="auto"/>
          <w:sz w:val="21"/>
          <w:szCs w:val="21"/>
        </w:rPr>
      </w:pPr>
      <w:bookmarkStart w:id="179" w:name="_Toc351203540"/>
      <w:r>
        <w:rPr>
          <w:rFonts w:hint="eastAsia" w:ascii="宋体" w:hAnsi="宋体" w:cs="宋体"/>
          <w:color w:val="auto"/>
          <w:sz w:val="21"/>
          <w:szCs w:val="21"/>
        </w:rPr>
        <w:t>6</w:t>
      </w:r>
      <w:bookmarkStart w:id="180" w:name="_Toc337558765"/>
      <w:r>
        <w:rPr>
          <w:rFonts w:hint="eastAsia" w:ascii="宋体" w:hAnsi="宋体" w:cs="宋体"/>
          <w:color w:val="auto"/>
          <w:sz w:val="21"/>
          <w:szCs w:val="21"/>
        </w:rPr>
        <w:t>.2 职业健康</w:t>
      </w:r>
      <w:bookmarkEnd w:id="179"/>
    </w:p>
    <w:bookmarkEnd w:id="180"/>
    <w:p w14:paraId="7DD2F64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6.2.1 劳动保护</w:t>
      </w:r>
    </w:p>
    <w:p w14:paraId="00EE693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A62CAF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8C1463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07CD1FF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6.2.2 生活条件</w:t>
      </w:r>
    </w:p>
    <w:p w14:paraId="69F79BD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7D979B9">
      <w:pPr>
        <w:pStyle w:val="6"/>
        <w:spacing w:before="120" w:after="120" w:line="360" w:lineRule="exact"/>
        <w:ind w:firstLine="422" w:firstLineChars="200"/>
        <w:rPr>
          <w:rFonts w:ascii="宋体" w:hAnsi="宋体" w:cs="宋体"/>
          <w:b w:val="0"/>
          <w:bCs w:val="0"/>
          <w:color w:val="auto"/>
          <w:sz w:val="21"/>
          <w:szCs w:val="21"/>
        </w:rPr>
      </w:pPr>
      <w:bookmarkStart w:id="181" w:name="_Toc351203541"/>
      <w:r>
        <w:rPr>
          <w:rFonts w:hint="eastAsia" w:ascii="宋体" w:hAnsi="宋体" w:cs="宋体"/>
          <w:color w:val="auto"/>
          <w:sz w:val="21"/>
          <w:szCs w:val="21"/>
        </w:rPr>
        <w:t>6</w:t>
      </w:r>
      <w:bookmarkStart w:id="182" w:name="_Toc337558766"/>
      <w:r>
        <w:rPr>
          <w:rFonts w:hint="eastAsia" w:ascii="宋体" w:hAnsi="宋体" w:cs="宋体"/>
          <w:color w:val="auto"/>
          <w:sz w:val="21"/>
          <w:szCs w:val="21"/>
        </w:rPr>
        <w:t>.3 环境保护</w:t>
      </w:r>
      <w:bookmarkEnd w:id="181"/>
    </w:p>
    <w:bookmarkEnd w:id="182"/>
    <w:p w14:paraId="0253AAA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CED118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承包人应当承担因其原因引起的环境污染侵权损害赔偿责任，因上述环境污染引起纠纷而导致暂停施工的，由此增加的费用和（或）延误的工期由承包人承担。</w:t>
      </w:r>
    </w:p>
    <w:p w14:paraId="729BDC8C">
      <w:pPr>
        <w:pStyle w:val="5"/>
        <w:spacing w:before="120" w:after="120" w:line="360" w:lineRule="exact"/>
        <w:rPr>
          <w:rFonts w:ascii="宋体" w:hAnsi="宋体" w:cs="宋体"/>
          <w:bCs w:val="0"/>
          <w:color w:val="auto"/>
          <w:sz w:val="21"/>
          <w:szCs w:val="21"/>
        </w:rPr>
      </w:pPr>
      <w:bookmarkStart w:id="183" w:name="_Toc351203542"/>
      <w:r>
        <w:rPr>
          <w:rFonts w:hint="eastAsia" w:ascii="宋体" w:hAnsi="宋体" w:cs="宋体"/>
          <w:bCs w:val="0"/>
          <w:color w:val="auto"/>
          <w:sz w:val="21"/>
          <w:szCs w:val="21"/>
        </w:rPr>
        <w:t>7</w:t>
      </w:r>
      <w:bookmarkStart w:id="184" w:name="_Toc337558767"/>
      <w:r>
        <w:rPr>
          <w:rFonts w:hint="eastAsia" w:ascii="宋体" w:hAnsi="宋体" w:cs="宋体"/>
          <w:bCs w:val="0"/>
          <w:color w:val="auto"/>
          <w:sz w:val="21"/>
          <w:szCs w:val="21"/>
        </w:rPr>
        <w:t>. 工期和进度</w:t>
      </w:r>
      <w:bookmarkEnd w:id="183"/>
    </w:p>
    <w:bookmarkEnd w:id="184"/>
    <w:p w14:paraId="2E5051C8">
      <w:pPr>
        <w:pStyle w:val="6"/>
        <w:spacing w:before="120" w:after="120" w:line="360" w:lineRule="exact"/>
        <w:ind w:firstLine="422" w:firstLineChars="200"/>
        <w:rPr>
          <w:rFonts w:ascii="宋体" w:hAnsi="宋体" w:cs="宋体"/>
          <w:color w:val="auto"/>
          <w:sz w:val="21"/>
          <w:szCs w:val="21"/>
        </w:rPr>
      </w:pPr>
      <w:bookmarkStart w:id="185" w:name="_Toc351203543"/>
      <w:r>
        <w:rPr>
          <w:rFonts w:hint="eastAsia" w:ascii="宋体" w:hAnsi="宋体" w:cs="宋体"/>
          <w:color w:val="auto"/>
          <w:sz w:val="21"/>
          <w:szCs w:val="21"/>
        </w:rPr>
        <w:t>7</w:t>
      </w:r>
      <w:bookmarkStart w:id="186" w:name="_Toc337558768"/>
      <w:bookmarkStart w:id="187" w:name="_Toc296346567"/>
      <w:bookmarkStart w:id="188" w:name="_Toc296503066"/>
      <w:r>
        <w:rPr>
          <w:rFonts w:hint="eastAsia" w:ascii="宋体" w:hAnsi="宋体" w:cs="宋体"/>
          <w:color w:val="auto"/>
          <w:sz w:val="21"/>
          <w:szCs w:val="21"/>
        </w:rPr>
        <w:t>.1施工组织设计</w:t>
      </w:r>
      <w:bookmarkEnd w:id="185"/>
    </w:p>
    <w:bookmarkEnd w:id="186"/>
    <w:p w14:paraId="253DF36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szCs w:val="21"/>
        </w:rPr>
        <w:t xml:space="preserve">7.1.1 </w:t>
      </w:r>
      <w:r>
        <w:rPr>
          <w:rFonts w:hint="eastAsia" w:ascii="宋体" w:hAnsi="宋体" w:cs="宋体"/>
          <w:color w:val="auto"/>
          <w:kern w:val="0"/>
          <w:szCs w:val="21"/>
        </w:rPr>
        <w:t>施工组织设计的内容</w:t>
      </w:r>
    </w:p>
    <w:p w14:paraId="745B826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施工组织设计应包含以下内容：</w:t>
      </w:r>
    </w:p>
    <w:p w14:paraId="6DAE617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（1）施工方案； </w:t>
      </w:r>
    </w:p>
    <w:p w14:paraId="00ABDF0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（2）施工现场平面布置图；</w:t>
      </w:r>
    </w:p>
    <w:p w14:paraId="04DF21C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（3）施工进度计划和保证措施； </w:t>
      </w:r>
    </w:p>
    <w:p w14:paraId="470C263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（4）劳动力及材料供应计划；</w:t>
      </w:r>
    </w:p>
    <w:p w14:paraId="4E949F0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（5）施工机械设备的选用；</w:t>
      </w:r>
    </w:p>
    <w:p w14:paraId="4DAD061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（6）质量保证体系及措施；</w:t>
      </w:r>
    </w:p>
    <w:p w14:paraId="44BCF28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（7）安全生产、文明施工措施；</w:t>
      </w:r>
    </w:p>
    <w:p w14:paraId="37AD856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（8）环境保护、成本控制措施；</w:t>
      </w:r>
    </w:p>
    <w:p w14:paraId="243A4F3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（9）合同当事人约定的其他内容。</w:t>
      </w:r>
    </w:p>
    <w:p w14:paraId="480000B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szCs w:val="21"/>
        </w:rPr>
        <w:t xml:space="preserve">7.1.2 </w:t>
      </w:r>
      <w:r>
        <w:rPr>
          <w:rFonts w:hint="eastAsia" w:ascii="宋体" w:hAnsi="宋体" w:cs="宋体"/>
          <w:color w:val="auto"/>
          <w:kern w:val="0"/>
          <w:szCs w:val="21"/>
        </w:rPr>
        <w:t>施工组织设计的提交和修改</w:t>
      </w:r>
    </w:p>
    <w:p w14:paraId="41E9B05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4E745C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施工进度计划的编制和修改按照第7.2款〔施工进度计划〕执行。</w:t>
      </w:r>
    </w:p>
    <w:p w14:paraId="37E2EF80">
      <w:pPr>
        <w:pStyle w:val="6"/>
        <w:spacing w:before="120" w:after="120" w:line="360" w:lineRule="exact"/>
        <w:ind w:firstLine="422" w:firstLineChars="200"/>
        <w:rPr>
          <w:rFonts w:ascii="宋体" w:hAnsi="宋体" w:cs="宋体"/>
          <w:color w:val="auto"/>
          <w:sz w:val="21"/>
          <w:szCs w:val="21"/>
        </w:rPr>
      </w:pPr>
      <w:bookmarkStart w:id="189" w:name="_Toc351203544"/>
      <w:r>
        <w:rPr>
          <w:rFonts w:hint="eastAsia" w:ascii="宋体" w:hAnsi="宋体" w:cs="宋体"/>
          <w:color w:val="auto"/>
          <w:sz w:val="21"/>
          <w:szCs w:val="21"/>
        </w:rPr>
        <w:t>7</w:t>
      </w:r>
      <w:bookmarkStart w:id="190" w:name="_Toc337558769"/>
      <w:r>
        <w:rPr>
          <w:rFonts w:hint="eastAsia" w:ascii="宋体" w:hAnsi="宋体" w:cs="宋体"/>
          <w:color w:val="auto"/>
          <w:sz w:val="21"/>
          <w:szCs w:val="21"/>
        </w:rPr>
        <w:t>.2 施工进度计划</w:t>
      </w:r>
      <w:bookmarkEnd w:id="189"/>
    </w:p>
    <w:bookmarkEnd w:id="190"/>
    <w:p w14:paraId="7C2B8B4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7.2.1 施工进度计划的编制</w:t>
      </w:r>
    </w:p>
    <w:p w14:paraId="717FF47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10925C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szCs w:val="21"/>
        </w:rPr>
        <w:t>7.2.2 施工进度计划的修订</w:t>
      </w:r>
    </w:p>
    <w:p w14:paraId="6BAADF7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8F7F707">
      <w:pPr>
        <w:pStyle w:val="6"/>
        <w:spacing w:before="120" w:after="120" w:line="360" w:lineRule="exact"/>
        <w:ind w:firstLine="422" w:firstLineChars="200"/>
        <w:rPr>
          <w:rFonts w:ascii="宋体" w:hAnsi="宋体" w:cs="宋体"/>
          <w:color w:val="auto"/>
          <w:sz w:val="21"/>
          <w:szCs w:val="21"/>
        </w:rPr>
      </w:pPr>
      <w:bookmarkStart w:id="191" w:name="_Toc351203545"/>
      <w:r>
        <w:rPr>
          <w:rFonts w:hint="eastAsia" w:ascii="宋体" w:hAnsi="宋体" w:cs="宋体"/>
          <w:color w:val="auto"/>
          <w:sz w:val="21"/>
          <w:szCs w:val="21"/>
        </w:rPr>
        <w:t>7</w:t>
      </w:r>
      <w:bookmarkStart w:id="192" w:name="_Toc337558770"/>
      <w:r>
        <w:rPr>
          <w:rFonts w:hint="eastAsia" w:ascii="宋体" w:hAnsi="宋体" w:cs="宋体"/>
          <w:color w:val="auto"/>
          <w:sz w:val="21"/>
          <w:szCs w:val="21"/>
        </w:rPr>
        <w:t>.3 开工</w:t>
      </w:r>
      <w:bookmarkEnd w:id="191"/>
    </w:p>
    <w:p w14:paraId="17F49D06">
      <w:pPr>
        <w:spacing w:line="360" w:lineRule="exact"/>
        <w:ind w:firstLine="420" w:firstLineChars="200"/>
        <w:rPr>
          <w:rFonts w:ascii="宋体" w:hAnsi="宋体" w:cs="宋体"/>
          <w:color w:val="auto"/>
          <w:szCs w:val="21"/>
        </w:rPr>
      </w:pPr>
      <w:r>
        <w:rPr>
          <w:rFonts w:hint="eastAsia" w:ascii="宋体" w:hAnsi="宋体" w:cs="宋体"/>
          <w:color w:val="auto"/>
          <w:kern w:val="0"/>
          <w:szCs w:val="21"/>
        </w:rPr>
        <w:t>7.3.1 开工准备</w:t>
      </w:r>
    </w:p>
    <w:p w14:paraId="2F6F0BF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7E14FC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除专用合同条款另有约定外，合同当事人应按约定完成开工准备工作。</w:t>
      </w:r>
    </w:p>
    <w:p w14:paraId="3E13603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7.3.2 开工通知</w:t>
      </w:r>
    </w:p>
    <w:bookmarkEnd w:id="192"/>
    <w:p w14:paraId="38F903D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0CD52F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319A8B7">
      <w:pPr>
        <w:pStyle w:val="6"/>
        <w:spacing w:before="120" w:after="120" w:line="360" w:lineRule="exact"/>
        <w:ind w:firstLine="422" w:firstLineChars="200"/>
        <w:rPr>
          <w:rFonts w:ascii="宋体" w:hAnsi="宋体" w:cs="宋体"/>
          <w:b w:val="0"/>
          <w:bCs w:val="0"/>
          <w:color w:val="auto"/>
          <w:sz w:val="21"/>
          <w:szCs w:val="21"/>
        </w:rPr>
      </w:pPr>
      <w:bookmarkStart w:id="193" w:name="_Toc351203546"/>
      <w:r>
        <w:rPr>
          <w:rFonts w:hint="eastAsia" w:ascii="宋体" w:hAnsi="宋体" w:cs="宋体"/>
          <w:color w:val="auto"/>
          <w:sz w:val="21"/>
          <w:szCs w:val="21"/>
        </w:rPr>
        <w:t>7.4测量放线</w:t>
      </w:r>
      <w:bookmarkEnd w:id="193"/>
    </w:p>
    <w:p w14:paraId="1C1ED1F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45C49B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F07545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B55F84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施工过程中对施工现场内水准点等测量标志物的保护工作由承包人负责。</w:t>
      </w:r>
      <w:bookmarkStart w:id="194" w:name="_Toc351203547"/>
    </w:p>
    <w:p w14:paraId="5C682481">
      <w:pPr>
        <w:pStyle w:val="6"/>
        <w:spacing w:before="120" w:after="120" w:line="360" w:lineRule="exact"/>
        <w:ind w:firstLine="422" w:firstLineChars="200"/>
        <w:rPr>
          <w:rFonts w:ascii="宋体" w:hAnsi="宋体" w:cs="宋体"/>
          <w:b w:val="0"/>
          <w:bCs w:val="0"/>
          <w:color w:val="auto"/>
          <w:sz w:val="21"/>
          <w:szCs w:val="21"/>
        </w:rPr>
      </w:pPr>
      <w:r>
        <w:rPr>
          <w:rFonts w:hint="eastAsia" w:ascii="宋体" w:hAnsi="宋体" w:cs="宋体"/>
          <w:color w:val="auto"/>
          <w:sz w:val="21"/>
          <w:szCs w:val="21"/>
        </w:rPr>
        <w:t>7</w:t>
      </w:r>
      <w:bookmarkEnd w:id="187"/>
      <w:bookmarkEnd w:id="188"/>
      <w:bookmarkStart w:id="195" w:name="_Toc296503073"/>
      <w:bookmarkStart w:id="196" w:name="_Toc296346574"/>
      <w:bookmarkStart w:id="197" w:name="_Toc337558772"/>
      <w:r>
        <w:rPr>
          <w:rFonts w:hint="eastAsia" w:ascii="宋体" w:hAnsi="宋体" w:cs="宋体"/>
          <w:color w:val="auto"/>
          <w:sz w:val="21"/>
          <w:szCs w:val="21"/>
        </w:rPr>
        <w:t>.5 工期延误</w:t>
      </w:r>
      <w:bookmarkEnd w:id="194"/>
    </w:p>
    <w:bookmarkEnd w:id="195"/>
    <w:bookmarkEnd w:id="196"/>
    <w:bookmarkEnd w:id="197"/>
    <w:p w14:paraId="5D2D008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7.5.1 因发包人原因导致工期延误</w:t>
      </w:r>
    </w:p>
    <w:p w14:paraId="7F0B9BB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在合同履行过程中，因下列情况导致工期延误和（或）费用增加的，由发包人承担由此延误的工期和（或）增加的费用，且发包人应支付承包人合理的利润： </w:t>
      </w:r>
    </w:p>
    <w:p w14:paraId="1077774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（1）发包人未能按合同约定提供图纸或所提供图纸不符合合同约定的；</w:t>
      </w:r>
    </w:p>
    <w:p w14:paraId="55C44A3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（2）发包人未能按合同约定提供施工现场、施工条件、基础资料、许可、批准等开工条件的；</w:t>
      </w:r>
    </w:p>
    <w:p w14:paraId="724A20E5">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（3）发包人提供的测量基准点、基准线和水准点及其书面资料存在错误或疏漏的；</w:t>
      </w:r>
    </w:p>
    <w:p w14:paraId="311639C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（4）发包人未能在计划开工日期之日起7天内同意下达开工通知的；</w:t>
      </w:r>
    </w:p>
    <w:p w14:paraId="02C65D7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（5）发包人未能按合同约定日期支付工程预付款、进度款或竣工结算款的；</w:t>
      </w:r>
    </w:p>
    <w:p w14:paraId="3CC51CC6">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（6）监理人未按合同约定发出指示、批准等文件的；</w:t>
      </w:r>
    </w:p>
    <w:p w14:paraId="532846C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（7）专用合同条款中约定的其他情形。</w:t>
      </w:r>
    </w:p>
    <w:p w14:paraId="7310175A">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1790B25F">
      <w:pPr>
        <w:autoSpaceDE w:val="0"/>
        <w:autoSpaceDN w:val="0"/>
        <w:adjustRightInd w:val="0"/>
        <w:spacing w:line="360" w:lineRule="exact"/>
        <w:ind w:firstLine="420" w:firstLineChars="200"/>
        <w:jc w:val="left"/>
        <w:rPr>
          <w:rFonts w:ascii="宋体" w:hAnsi="宋体" w:cs="宋体"/>
          <w:color w:val="auto"/>
          <w:szCs w:val="21"/>
        </w:rPr>
      </w:pPr>
      <w:r>
        <w:rPr>
          <w:rFonts w:hint="eastAsia" w:ascii="宋体" w:hAnsi="宋体" w:cs="宋体"/>
          <w:color w:val="auto"/>
          <w:kern w:val="0"/>
          <w:szCs w:val="21"/>
        </w:rPr>
        <w:t>7.5.2 因承包人原因导致工期延误</w:t>
      </w:r>
    </w:p>
    <w:p w14:paraId="74135940">
      <w:pPr>
        <w:autoSpaceDE w:val="0"/>
        <w:autoSpaceDN w:val="0"/>
        <w:adjustRightInd w:val="0"/>
        <w:spacing w:line="360" w:lineRule="exact"/>
        <w:ind w:firstLine="420" w:firstLineChars="200"/>
        <w:jc w:val="left"/>
        <w:rPr>
          <w:rFonts w:ascii="宋体" w:hAnsi="宋体" w:cs="宋体"/>
          <w:color w:val="auto"/>
          <w:kern w:val="0"/>
          <w:szCs w:val="21"/>
        </w:rPr>
      </w:pPr>
      <w:bookmarkStart w:id="198" w:name="_Toc296503076"/>
      <w:bookmarkStart w:id="199" w:name="_Toc296346577"/>
      <w:r>
        <w:rPr>
          <w:rFonts w:hint="eastAsia" w:ascii="宋体" w:hAnsi="宋体" w:cs="宋体"/>
          <w:color w:val="auto"/>
          <w:kern w:val="0"/>
          <w:szCs w:val="21"/>
        </w:rPr>
        <w:t>因</w:t>
      </w:r>
      <w:bookmarkEnd w:id="198"/>
      <w:bookmarkEnd w:id="199"/>
      <w:r>
        <w:rPr>
          <w:rFonts w:hint="eastAsia" w:ascii="宋体" w:hAnsi="宋体" w:cs="宋体"/>
          <w:color w:val="auto"/>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042BB5C4">
      <w:pPr>
        <w:pStyle w:val="6"/>
        <w:spacing w:before="120" w:after="120" w:line="360" w:lineRule="exact"/>
        <w:ind w:firstLine="422" w:firstLineChars="200"/>
        <w:rPr>
          <w:rFonts w:ascii="宋体" w:hAnsi="宋体" w:cs="宋体"/>
          <w:b w:val="0"/>
          <w:bCs w:val="0"/>
          <w:color w:val="auto"/>
          <w:sz w:val="21"/>
          <w:szCs w:val="21"/>
        </w:rPr>
      </w:pPr>
      <w:bookmarkStart w:id="200" w:name="_Toc351203548"/>
      <w:r>
        <w:rPr>
          <w:rFonts w:hint="eastAsia" w:ascii="宋体" w:hAnsi="宋体" w:cs="宋体"/>
          <w:color w:val="auto"/>
          <w:sz w:val="21"/>
          <w:szCs w:val="21"/>
        </w:rPr>
        <w:t>7</w:t>
      </w:r>
      <w:bookmarkStart w:id="201" w:name="_Toc337558773"/>
      <w:bookmarkStart w:id="202" w:name="_Toc296346575"/>
      <w:bookmarkStart w:id="203" w:name="_Toc296503074"/>
      <w:bookmarkStart w:id="204" w:name="_Toc296346578"/>
      <w:bookmarkStart w:id="205" w:name="_Toc296503077"/>
      <w:r>
        <w:rPr>
          <w:rFonts w:hint="eastAsia" w:ascii="宋体" w:hAnsi="宋体" w:cs="宋体"/>
          <w:color w:val="auto"/>
          <w:sz w:val="21"/>
          <w:szCs w:val="21"/>
        </w:rPr>
        <w:t>.6 不利物质条件</w:t>
      </w:r>
      <w:bookmarkEnd w:id="200"/>
    </w:p>
    <w:bookmarkEnd w:id="201"/>
    <w:bookmarkEnd w:id="202"/>
    <w:bookmarkEnd w:id="203"/>
    <w:p w14:paraId="01F775C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F7862A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304CDBA">
      <w:pPr>
        <w:pStyle w:val="6"/>
        <w:spacing w:before="120" w:after="120" w:line="360" w:lineRule="exact"/>
        <w:ind w:firstLine="422" w:firstLineChars="200"/>
        <w:rPr>
          <w:rFonts w:ascii="宋体" w:hAnsi="宋体" w:cs="宋体"/>
          <w:color w:val="auto"/>
          <w:sz w:val="21"/>
          <w:szCs w:val="21"/>
        </w:rPr>
      </w:pPr>
      <w:bookmarkStart w:id="206" w:name="_Toc351203549"/>
      <w:r>
        <w:rPr>
          <w:rFonts w:hint="eastAsia" w:ascii="宋体" w:hAnsi="宋体" w:cs="宋体"/>
          <w:color w:val="auto"/>
          <w:sz w:val="21"/>
          <w:szCs w:val="21"/>
        </w:rPr>
        <w:t>7</w:t>
      </w:r>
      <w:bookmarkStart w:id="207" w:name="_Toc296346576"/>
      <w:bookmarkStart w:id="208" w:name="_Toc337558774"/>
      <w:bookmarkStart w:id="209" w:name="_Toc296503075"/>
      <w:r>
        <w:rPr>
          <w:rFonts w:hint="eastAsia" w:ascii="宋体" w:hAnsi="宋体" w:cs="宋体"/>
          <w:color w:val="auto"/>
          <w:sz w:val="21"/>
          <w:szCs w:val="21"/>
        </w:rPr>
        <w:t>.7 异常恶劣的气候条件</w:t>
      </w:r>
      <w:bookmarkEnd w:id="206"/>
    </w:p>
    <w:bookmarkEnd w:id="207"/>
    <w:bookmarkEnd w:id="208"/>
    <w:bookmarkEnd w:id="209"/>
    <w:p w14:paraId="33E23F9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AFDCCF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10" w:name="_Toc351203550"/>
    </w:p>
    <w:p w14:paraId="3B6AD12F">
      <w:pPr>
        <w:autoSpaceDE w:val="0"/>
        <w:autoSpaceDN w:val="0"/>
        <w:adjustRightInd w:val="0"/>
        <w:spacing w:line="360" w:lineRule="exact"/>
        <w:ind w:firstLine="422" w:firstLineChars="200"/>
        <w:jc w:val="left"/>
        <w:outlineLvl w:val="0"/>
        <w:rPr>
          <w:rFonts w:ascii="宋体" w:hAnsi="宋体" w:cs="宋体"/>
          <w:b/>
          <w:color w:val="auto"/>
          <w:szCs w:val="21"/>
        </w:rPr>
      </w:pPr>
      <w:bookmarkStart w:id="211" w:name="_Toc28006"/>
      <w:bookmarkStart w:id="212" w:name="_Toc20868"/>
      <w:bookmarkStart w:id="213" w:name="_Toc11652"/>
      <w:bookmarkStart w:id="214" w:name="_Toc24942"/>
      <w:r>
        <w:rPr>
          <w:rFonts w:hint="eastAsia" w:ascii="宋体" w:hAnsi="宋体" w:cs="宋体"/>
          <w:b/>
          <w:color w:val="auto"/>
          <w:szCs w:val="21"/>
        </w:rPr>
        <w:t>7</w:t>
      </w:r>
      <w:bookmarkStart w:id="215" w:name="_Toc337558775"/>
      <w:r>
        <w:rPr>
          <w:rFonts w:hint="eastAsia" w:ascii="宋体" w:hAnsi="宋体" w:cs="宋体"/>
          <w:b/>
          <w:color w:val="auto"/>
          <w:szCs w:val="21"/>
        </w:rPr>
        <w:t>.8 暂停施工</w:t>
      </w:r>
      <w:bookmarkEnd w:id="210"/>
      <w:bookmarkEnd w:id="211"/>
      <w:bookmarkEnd w:id="212"/>
      <w:bookmarkEnd w:id="213"/>
      <w:bookmarkEnd w:id="214"/>
    </w:p>
    <w:bookmarkEnd w:id="204"/>
    <w:bookmarkEnd w:id="205"/>
    <w:bookmarkEnd w:id="215"/>
    <w:p w14:paraId="06559D6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7.8.1发包人原因引起的暂停施工</w:t>
      </w:r>
    </w:p>
    <w:p w14:paraId="02FB0A0F">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因发包人原因引起暂停施工的，监理人经发包人同意后，应及时下达暂停施工指示。情况紧急且监理人未及时下达暂停施工指示的，按照第7.8.4项〔紧急情况下的暂停施工〕执行。</w:t>
      </w:r>
    </w:p>
    <w:p w14:paraId="17114CCF">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因发包人原因引起的暂停施工，发包人应承担由此增加的费用和（或）延误的工期，并支付承包人合理的利润。</w:t>
      </w:r>
    </w:p>
    <w:p w14:paraId="7E4AEF8D">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7.8.2 承包人原因引起的暂停施工</w:t>
      </w:r>
    </w:p>
    <w:p w14:paraId="0267DF5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F0B44B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7.8.3 指示暂停施工</w:t>
      </w:r>
    </w:p>
    <w:p w14:paraId="760135B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监理人认为有必要时，并经发包人批准后，可向承包人作出暂停施工的指示，承包人应按监理人指示暂停施工。</w:t>
      </w:r>
    </w:p>
    <w:p w14:paraId="0D9F1736">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7.8.4 紧急情况下的暂停施工</w:t>
      </w:r>
    </w:p>
    <w:p w14:paraId="13D06535">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01EB0F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7.8.5 暂停施工后的复工</w:t>
      </w:r>
    </w:p>
    <w:p w14:paraId="384669B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035208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承包人无故拖延和拒绝复工的，承包人承担由此增加的费用和（或）延误的工期；因发包人原因无法按时复工的，按照第7.5.1项〔因发包人原因导致工期延误〕约定办理。</w:t>
      </w:r>
    </w:p>
    <w:p w14:paraId="2EEF77F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7.8.6 暂停施工持续56天以上</w:t>
      </w:r>
    </w:p>
    <w:p w14:paraId="2858CAD1">
      <w:pPr>
        <w:spacing w:line="360" w:lineRule="exact"/>
        <w:ind w:firstLine="409" w:firstLineChars="195"/>
        <w:jc w:val="left"/>
        <w:rPr>
          <w:rFonts w:ascii="宋体" w:hAnsi="宋体" w:cs="宋体"/>
          <w:color w:val="auto"/>
          <w:kern w:val="0"/>
          <w:szCs w:val="21"/>
        </w:rPr>
      </w:pPr>
      <w:r>
        <w:rPr>
          <w:rFonts w:hint="eastAsia" w:ascii="宋体" w:hAnsi="宋体" w:cs="宋体"/>
          <w:color w:val="auto"/>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E5A5FDC">
      <w:pPr>
        <w:spacing w:line="360" w:lineRule="exact"/>
        <w:ind w:firstLine="409" w:firstLineChars="195"/>
        <w:jc w:val="left"/>
        <w:rPr>
          <w:rFonts w:ascii="宋体" w:hAnsi="宋体" w:cs="宋体"/>
          <w:color w:val="auto"/>
          <w:kern w:val="0"/>
          <w:szCs w:val="21"/>
        </w:rPr>
      </w:pPr>
      <w:r>
        <w:rPr>
          <w:rFonts w:hint="eastAsia" w:ascii="宋体" w:hAnsi="宋体" w:cs="宋体"/>
          <w:color w:val="auto"/>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15BC06E1">
      <w:pPr>
        <w:spacing w:line="360" w:lineRule="exact"/>
        <w:ind w:left="16" w:firstLine="409" w:firstLineChars="195"/>
        <w:jc w:val="left"/>
        <w:rPr>
          <w:rFonts w:ascii="宋体" w:hAnsi="宋体" w:cs="宋体"/>
          <w:color w:val="auto"/>
          <w:kern w:val="0"/>
          <w:szCs w:val="21"/>
        </w:rPr>
      </w:pPr>
      <w:r>
        <w:rPr>
          <w:rFonts w:hint="eastAsia" w:ascii="宋体" w:hAnsi="宋体" w:cs="宋体"/>
          <w:color w:val="auto"/>
          <w:kern w:val="0"/>
          <w:szCs w:val="21"/>
        </w:rPr>
        <w:t>7.8.7 暂停施工期间的工程照管</w:t>
      </w:r>
    </w:p>
    <w:p w14:paraId="79117CDD">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暂停施工期间，承包人应负责妥善照管工程并提供安全保障，由此增加的费用由责任方承担。</w:t>
      </w:r>
    </w:p>
    <w:p w14:paraId="2C6D8F54">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7.8.8 暂停施工的措施</w:t>
      </w:r>
    </w:p>
    <w:p w14:paraId="37C9569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暂停施工期间，发包人和承包人均应采取必要的措施确保工程质量及安全，防止因暂停施工扩大损失。</w:t>
      </w:r>
    </w:p>
    <w:p w14:paraId="59CED0DA">
      <w:pPr>
        <w:pStyle w:val="6"/>
        <w:spacing w:before="120" w:after="120" w:line="360" w:lineRule="exact"/>
        <w:ind w:firstLine="422" w:firstLineChars="200"/>
        <w:rPr>
          <w:rFonts w:ascii="宋体" w:hAnsi="宋体" w:cs="宋体"/>
          <w:color w:val="auto"/>
          <w:sz w:val="21"/>
          <w:szCs w:val="21"/>
        </w:rPr>
      </w:pPr>
      <w:bookmarkStart w:id="216" w:name="_Toc351203551"/>
      <w:r>
        <w:rPr>
          <w:rFonts w:hint="eastAsia" w:ascii="宋体" w:hAnsi="宋体" w:cs="宋体"/>
          <w:color w:val="auto"/>
          <w:sz w:val="21"/>
          <w:szCs w:val="21"/>
        </w:rPr>
        <w:t>7.9提前竣工</w:t>
      </w:r>
      <w:bookmarkEnd w:id="216"/>
    </w:p>
    <w:p w14:paraId="5EB6B59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0B54B9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7.9.2 发包人要求承包人提前竣工，或承包人提出提前竣工的建议能够给发包人带来效益的，合同当事人可以在专用合同条款中约定提前竣工的奖励。</w:t>
      </w:r>
    </w:p>
    <w:p w14:paraId="0EFFA1CC">
      <w:pPr>
        <w:pStyle w:val="5"/>
        <w:spacing w:before="120" w:after="120" w:line="360" w:lineRule="exact"/>
        <w:rPr>
          <w:rFonts w:ascii="宋体" w:hAnsi="宋体" w:cs="宋体"/>
          <w:bCs w:val="0"/>
          <w:color w:val="auto"/>
          <w:sz w:val="21"/>
          <w:szCs w:val="21"/>
        </w:rPr>
      </w:pPr>
      <w:bookmarkStart w:id="217" w:name="_Toc351203552"/>
      <w:r>
        <w:rPr>
          <w:rFonts w:hint="eastAsia" w:ascii="宋体" w:hAnsi="宋体" w:cs="宋体"/>
          <w:bCs w:val="0"/>
          <w:color w:val="auto"/>
          <w:sz w:val="21"/>
          <w:szCs w:val="21"/>
        </w:rPr>
        <w:t>8</w:t>
      </w:r>
      <w:bookmarkStart w:id="218" w:name="_Toc337558776"/>
      <w:bookmarkStart w:id="219" w:name="_Toc296503058"/>
      <w:bookmarkStart w:id="220" w:name="_Toc296346559"/>
      <w:r>
        <w:rPr>
          <w:rFonts w:hint="eastAsia" w:ascii="宋体" w:hAnsi="宋体" w:cs="宋体"/>
          <w:bCs w:val="0"/>
          <w:color w:val="auto"/>
          <w:sz w:val="21"/>
          <w:szCs w:val="21"/>
        </w:rPr>
        <w:t>. 材料与设备</w:t>
      </w:r>
      <w:bookmarkEnd w:id="217"/>
    </w:p>
    <w:bookmarkEnd w:id="218"/>
    <w:bookmarkEnd w:id="219"/>
    <w:bookmarkEnd w:id="220"/>
    <w:p w14:paraId="30128085">
      <w:pPr>
        <w:pStyle w:val="6"/>
        <w:spacing w:before="120" w:after="120" w:line="360" w:lineRule="exact"/>
        <w:ind w:firstLine="422" w:firstLineChars="200"/>
        <w:rPr>
          <w:rFonts w:ascii="宋体" w:hAnsi="宋体" w:cs="宋体"/>
          <w:color w:val="auto"/>
          <w:sz w:val="21"/>
          <w:szCs w:val="21"/>
        </w:rPr>
      </w:pPr>
      <w:bookmarkStart w:id="221" w:name="_Toc351203553"/>
      <w:r>
        <w:rPr>
          <w:rFonts w:hint="eastAsia" w:ascii="宋体" w:hAnsi="宋体" w:cs="宋体"/>
          <w:color w:val="auto"/>
          <w:sz w:val="21"/>
          <w:szCs w:val="21"/>
        </w:rPr>
        <w:t>8</w:t>
      </w:r>
      <w:bookmarkStart w:id="222" w:name="_Toc296346560"/>
      <w:bookmarkStart w:id="223" w:name="_Toc337558777"/>
      <w:bookmarkStart w:id="224" w:name="_Toc296503059"/>
      <w:bookmarkStart w:id="225" w:name="_Toc468936960"/>
      <w:r>
        <w:rPr>
          <w:rFonts w:hint="eastAsia" w:ascii="宋体" w:hAnsi="宋体" w:cs="宋体"/>
          <w:color w:val="auto"/>
          <w:sz w:val="21"/>
          <w:szCs w:val="21"/>
        </w:rPr>
        <w:t>.1发包人供应材料与工程设备</w:t>
      </w:r>
      <w:bookmarkEnd w:id="221"/>
    </w:p>
    <w:bookmarkEnd w:id="222"/>
    <w:bookmarkEnd w:id="223"/>
    <w:bookmarkEnd w:id="224"/>
    <w:p w14:paraId="3CA41ED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发包人自行供应材料、工程设备的，应在签订合同时在专用合同条款的附件《发包人供应材料设备一览表》中明确材料、工程设备的品种、规格、型号、数量、单价、质量等级和送达地点。</w:t>
      </w:r>
    </w:p>
    <w:p w14:paraId="31B6092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2787FF2B">
      <w:pPr>
        <w:pStyle w:val="6"/>
        <w:spacing w:before="120" w:after="120" w:line="360" w:lineRule="exact"/>
        <w:ind w:firstLine="422" w:firstLineChars="200"/>
        <w:rPr>
          <w:rFonts w:ascii="宋体" w:hAnsi="宋体" w:cs="宋体"/>
          <w:color w:val="auto"/>
          <w:sz w:val="21"/>
          <w:szCs w:val="21"/>
        </w:rPr>
      </w:pPr>
      <w:bookmarkStart w:id="226" w:name="_Toc351203554"/>
      <w:r>
        <w:rPr>
          <w:rFonts w:hint="eastAsia" w:ascii="宋体" w:hAnsi="宋体" w:cs="宋体"/>
          <w:color w:val="auto"/>
          <w:sz w:val="21"/>
          <w:szCs w:val="21"/>
        </w:rPr>
        <w:t>8</w:t>
      </w:r>
      <w:bookmarkStart w:id="227" w:name="_Toc296503060"/>
      <w:bookmarkStart w:id="228" w:name="_Toc337558778"/>
      <w:bookmarkStart w:id="229" w:name="_Toc296346561"/>
      <w:r>
        <w:rPr>
          <w:rFonts w:hint="eastAsia" w:ascii="宋体" w:hAnsi="宋体" w:cs="宋体"/>
          <w:color w:val="auto"/>
          <w:sz w:val="21"/>
          <w:szCs w:val="21"/>
        </w:rPr>
        <w:t>.2承包人采购材料与工程设备</w:t>
      </w:r>
      <w:bookmarkEnd w:id="226"/>
    </w:p>
    <w:bookmarkEnd w:id="227"/>
    <w:bookmarkEnd w:id="228"/>
    <w:bookmarkEnd w:id="229"/>
    <w:p w14:paraId="0E16885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1C73B15">
      <w:pPr>
        <w:pStyle w:val="6"/>
        <w:spacing w:before="120" w:after="120" w:line="360" w:lineRule="exact"/>
        <w:ind w:firstLine="422" w:firstLineChars="200"/>
        <w:rPr>
          <w:rFonts w:ascii="宋体" w:hAnsi="宋体" w:cs="宋体"/>
          <w:color w:val="auto"/>
          <w:sz w:val="21"/>
          <w:szCs w:val="21"/>
        </w:rPr>
      </w:pPr>
      <w:bookmarkStart w:id="230" w:name="_Toc351203555"/>
      <w:r>
        <w:rPr>
          <w:rFonts w:hint="eastAsia" w:ascii="宋体" w:hAnsi="宋体" w:cs="宋体"/>
          <w:color w:val="auto"/>
          <w:sz w:val="21"/>
          <w:szCs w:val="21"/>
        </w:rPr>
        <w:t>8</w:t>
      </w:r>
      <w:bookmarkStart w:id="231" w:name="_Toc296346562"/>
      <w:bookmarkStart w:id="232" w:name="_Toc337558779"/>
      <w:bookmarkStart w:id="233" w:name="_Toc296503061"/>
      <w:r>
        <w:rPr>
          <w:rFonts w:hint="eastAsia" w:ascii="宋体" w:hAnsi="宋体" w:cs="宋体"/>
          <w:color w:val="auto"/>
          <w:sz w:val="21"/>
          <w:szCs w:val="21"/>
        </w:rPr>
        <w:t>.3材料与工程设备的接收与拒收</w:t>
      </w:r>
      <w:bookmarkEnd w:id="230"/>
    </w:p>
    <w:bookmarkEnd w:id="231"/>
    <w:bookmarkEnd w:id="232"/>
    <w:bookmarkEnd w:id="233"/>
    <w:p w14:paraId="18EBF59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0628BD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发包人提供的材料和工程设备的规格、数量或质量不符合合同约定的，或因发包人原因导致交货日期延误或交货地点变更等情况的，按照第16.1款〔发包人违约〕约定办理。</w:t>
      </w:r>
    </w:p>
    <w:p w14:paraId="216EA41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8.3.2 承包人采购的材料和工程设备，应保证产品质量合格，承包人应在材料和工程设备到货前24小时通知监理人检验。承</w:t>
      </w:r>
      <w:bookmarkStart w:id="234" w:name="_Toc250655469"/>
      <w:r>
        <w:rPr>
          <w:rFonts w:hint="eastAsia" w:ascii="宋体" w:hAnsi="宋体" w:cs="宋体"/>
          <w:color w:val="auto"/>
          <w:kern w:val="0"/>
          <w:szCs w:val="21"/>
        </w:rPr>
        <w:t>包人进行永久设备、材料的制造和生产的，应符合相关质量标准，并向监理人提交材料的样本以及有关资料，并应在使用该材料或工程设备之前获得监理人同意。</w:t>
      </w:r>
    </w:p>
    <w:bookmarkEnd w:id="234"/>
    <w:p w14:paraId="4FA1DB92">
      <w:pPr>
        <w:autoSpaceDE w:val="0"/>
        <w:autoSpaceDN w:val="0"/>
        <w:adjustRightInd w:val="0"/>
        <w:spacing w:line="36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69D7725D">
      <w:pPr>
        <w:pStyle w:val="6"/>
        <w:spacing w:before="120" w:after="120" w:line="360" w:lineRule="exact"/>
        <w:ind w:firstLine="422" w:firstLineChars="200"/>
        <w:rPr>
          <w:rFonts w:ascii="宋体" w:hAnsi="宋体" w:cs="宋体"/>
          <w:color w:val="auto"/>
          <w:sz w:val="21"/>
          <w:szCs w:val="21"/>
        </w:rPr>
      </w:pPr>
      <w:bookmarkStart w:id="235" w:name="_Toc351203556"/>
      <w:r>
        <w:rPr>
          <w:rFonts w:hint="eastAsia" w:ascii="宋体" w:hAnsi="宋体" w:cs="宋体"/>
          <w:color w:val="auto"/>
          <w:sz w:val="21"/>
          <w:szCs w:val="21"/>
        </w:rPr>
        <w:t>8</w:t>
      </w:r>
      <w:bookmarkStart w:id="236" w:name="_Toc337558780"/>
      <w:bookmarkStart w:id="237" w:name="_Toc296346563"/>
      <w:bookmarkStart w:id="238" w:name="_Toc296503062"/>
      <w:r>
        <w:rPr>
          <w:rFonts w:hint="eastAsia" w:ascii="宋体" w:hAnsi="宋体" w:cs="宋体"/>
          <w:color w:val="auto"/>
          <w:sz w:val="21"/>
          <w:szCs w:val="21"/>
        </w:rPr>
        <w:t>.4材料与工程设备的保管与使用</w:t>
      </w:r>
      <w:bookmarkEnd w:id="235"/>
    </w:p>
    <w:bookmarkEnd w:id="236"/>
    <w:bookmarkEnd w:id="237"/>
    <w:bookmarkEnd w:id="238"/>
    <w:p w14:paraId="4230654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8.4.1 发包人供应</w:t>
      </w:r>
      <w:r>
        <w:rPr>
          <w:rFonts w:hint="eastAsia" w:ascii="宋体" w:hAnsi="宋体" w:cs="宋体"/>
          <w:color w:val="auto"/>
          <w:szCs w:val="21"/>
        </w:rPr>
        <w:t>材料与</w:t>
      </w:r>
      <w:r>
        <w:rPr>
          <w:rFonts w:hint="eastAsia" w:ascii="宋体" w:hAnsi="宋体" w:cs="宋体"/>
          <w:color w:val="auto"/>
          <w:kern w:val="0"/>
          <w:szCs w:val="21"/>
        </w:rPr>
        <w:t>工程</w:t>
      </w:r>
      <w:r>
        <w:rPr>
          <w:rFonts w:hint="eastAsia" w:ascii="宋体" w:hAnsi="宋体" w:cs="宋体"/>
          <w:color w:val="auto"/>
          <w:szCs w:val="21"/>
        </w:rPr>
        <w:t>设备的保管与使用</w:t>
      </w:r>
    </w:p>
    <w:p w14:paraId="6D67970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E53E2F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发包人供应的材料和工程设备使用前，由承包人负责检验，检验费用由发包人承担，不合格的不得使用。</w:t>
      </w:r>
    </w:p>
    <w:p w14:paraId="09C1373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8.4.2 承包人采购</w:t>
      </w:r>
      <w:r>
        <w:rPr>
          <w:rFonts w:hint="eastAsia" w:ascii="宋体" w:hAnsi="宋体" w:cs="宋体"/>
          <w:color w:val="auto"/>
          <w:szCs w:val="21"/>
        </w:rPr>
        <w:t>材料与</w:t>
      </w:r>
      <w:r>
        <w:rPr>
          <w:rFonts w:hint="eastAsia" w:ascii="宋体" w:hAnsi="宋体" w:cs="宋体"/>
          <w:color w:val="auto"/>
          <w:kern w:val="0"/>
          <w:szCs w:val="21"/>
        </w:rPr>
        <w:t>工程</w:t>
      </w:r>
      <w:r>
        <w:rPr>
          <w:rFonts w:hint="eastAsia" w:ascii="宋体" w:hAnsi="宋体" w:cs="宋体"/>
          <w:color w:val="auto"/>
          <w:szCs w:val="21"/>
        </w:rPr>
        <w:t>设备的保管与使用</w:t>
      </w:r>
    </w:p>
    <w:p w14:paraId="324C9ED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4F46412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发包人或监理人发现承包人使用不符合设计或有关标准要求的材料和工程设备时，有权要求承包人进行修复、拆除或重新采购，由此增加的费用和（或）延误的工期，由承包人承担。</w:t>
      </w:r>
    </w:p>
    <w:p w14:paraId="59E0894B">
      <w:pPr>
        <w:pStyle w:val="6"/>
        <w:spacing w:before="120" w:after="120" w:line="360" w:lineRule="exact"/>
        <w:ind w:firstLine="422" w:firstLineChars="200"/>
        <w:rPr>
          <w:rFonts w:ascii="宋体" w:hAnsi="宋体" w:cs="宋体"/>
          <w:b w:val="0"/>
          <w:bCs w:val="0"/>
          <w:color w:val="auto"/>
          <w:sz w:val="21"/>
          <w:szCs w:val="21"/>
        </w:rPr>
      </w:pPr>
      <w:bookmarkStart w:id="239" w:name="_Toc351203557"/>
      <w:r>
        <w:rPr>
          <w:rFonts w:hint="eastAsia" w:ascii="宋体" w:hAnsi="宋体" w:cs="宋体"/>
          <w:color w:val="auto"/>
          <w:sz w:val="21"/>
          <w:szCs w:val="21"/>
        </w:rPr>
        <w:t>8.5禁止使用不合格的材料和工程设备</w:t>
      </w:r>
      <w:bookmarkEnd w:id="239"/>
    </w:p>
    <w:p w14:paraId="221227E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8.5.1 监理人有权拒绝承包人提供的不合格材料或工程设备，并要求承包人立即进行更换。监理人应在更换后再次进行检查和检验，由此增加的费用和（或）延误的工期由承包人承担。</w:t>
      </w:r>
    </w:p>
    <w:p w14:paraId="466995B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8.5.2 监理人发现承包人使用了不合格的材料和工程设备，承包人应按照监理人的指示立即改正，并禁止在工程中继续使用不合格的材料和工程设备。</w:t>
      </w:r>
    </w:p>
    <w:p w14:paraId="1BD6EA4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8.5.3 发包人提供的材料或工程设备不符合合同要求的，承包人有权拒绝，并可要求发包人更换，由此增加的费用和（或）延误的工期由发包人承担，并支付承包人合理的利润。</w:t>
      </w:r>
    </w:p>
    <w:p w14:paraId="71C1D1F5">
      <w:pPr>
        <w:pStyle w:val="6"/>
        <w:spacing w:before="120" w:after="120" w:line="360" w:lineRule="exact"/>
        <w:ind w:firstLine="422" w:firstLineChars="200"/>
        <w:rPr>
          <w:rFonts w:ascii="宋体" w:hAnsi="宋体" w:cs="宋体"/>
          <w:color w:val="auto"/>
          <w:sz w:val="21"/>
          <w:szCs w:val="21"/>
        </w:rPr>
      </w:pPr>
      <w:bookmarkStart w:id="240" w:name="_Toc351203558"/>
      <w:r>
        <w:rPr>
          <w:rFonts w:hint="eastAsia" w:ascii="宋体" w:hAnsi="宋体" w:cs="宋体"/>
          <w:color w:val="auto"/>
          <w:sz w:val="21"/>
          <w:szCs w:val="21"/>
        </w:rPr>
        <w:t>8.6 样品</w:t>
      </w:r>
      <w:bookmarkEnd w:id="240"/>
    </w:p>
    <w:p w14:paraId="640F38C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8.6.1</w:t>
      </w:r>
      <w:r>
        <w:rPr>
          <w:rFonts w:hint="eastAsia" w:ascii="宋体" w:hAnsi="宋体" w:cs="宋体"/>
          <w:color w:val="auto"/>
          <w:kern w:val="0"/>
          <w:szCs w:val="21"/>
        </w:rPr>
        <w:tab/>
      </w:r>
      <w:r>
        <w:rPr>
          <w:rFonts w:hint="eastAsia" w:ascii="宋体" w:hAnsi="宋体" w:cs="宋体"/>
          <w:color w:val="auto"/>
          <w:kern w:val="0"/>
          <w:szCs w:val="21"/>
        </w:rPr>
        <w:t>样品的报送与封存</w:t>
      </w:r>
    </w:p>
    <w:p w14:paraId="02BC100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需要承包人报送样品的材料或工程设备，样品的种类、名称、规格、数量等要求均应在专用合同条款中约定。样品的报送程序如下：</w:t>
      </w:r>
    </w:p>
    <w:p w14:paraId="7815C3E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A00E7F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17C8DFB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（3）经发包人和监理人审批确认的样品应按约定的方法封样，封存的样品作为检验工程相关部分的标准之一。承包人在施工过程中不得使用与样品不符的材料或工程设备。</w:t>
      </w:r>
    </w:p>
    <w:p w14:paraId="3828D03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D42517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8.6.2 样品的保管</w:t>
      </w:r>
    </w:p>
    <w:p w14:paraId="0FD5764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经批准的样品应由监理人负责封存于现场，承包人应在现场为保存样品提供适当和固定的场所并保持适当和良好的存储环境条件。</w:t>
      </w:r>
    </w:p>
    <w:p w14:paraId="07368BE7">
      <w:pPr>
        <w:pStyle w:val="6"/>
        <w:spacing w:before="120" w:after="120" w:line="360" w:lineRule="exact"/>
        <w:ind w:firstLine="422" w:firstLineChars="200"/>
        <w:rPr>
          <w:rFonts w:ascii="宋体" w:hAnsi="宋体" w:cs="宋体"/>
          <w:color w:val="auto"/>
          <w:sz w:val="21"/>
          <w:szCs w:val="21"/>
        </w:rPr>
      </w:pPr>
      <w:bookmarkStart w:id="241" w:name="_Toc351203559"/>
      <w:r>
        <w:rPr>
          <w:rFonts w:hint="eastAsia" w:ascii="宋体" w:hAnsi="宋体" w:cs="宋体"/>
          <w:color w:val="auto"/>
          <w:sz w:val="21"/>
          <w:szCs w:val="21"/>
        </w:rPr>
        <w:t>8.7材料与工程设备的替代</w:t>
      </w:r>
      <w:bookmarkEnd w:id="241"/>
    </w:p>
    <w:p w14:paraId="48FB914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8.7.1 出现下列情况需要使用替代材料和工程设备的，承包人应按照第8.7.2项约定的程序执行：</w:t>
      </w:r>
    </w:p>
    <w:p w14:paraId="5E589F3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（1）基准日期后生效的法律规定禁止使用的；</w:t>
      </w:r>
    </w:p>
    <w:p w14:paraId="1B995A0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（2）发包人要求使用替代品的；</w:t>
      </w:r>
    </w:p>
    <w:p w14:paraId="2FFACDD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（3）因其他原因必须使用替代品的。</w:t>
      </w:r>
    </w:p>
    <w:p w14:paraId="229213D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8.7.2 承包人应在使用替代材料和工程设备28天前书面通知监理人，并附下列文件：</w:t>
      </w:r>
    </w:p>
    <w:p w14:paraId="5C0B562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（1）被替代的材料和工程设备的名称、数量、规格、型号、品牌、性能、价格及其他相关资料；</w:t>
      </w:r>
    </w:p>
    <w:p w14:paraId="0E5F759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（2）替代品的名称、数量、规格、型号、品牌、性能、价格及其他相关资料；</w:t>
      </w:r>
    </w:p>
    <w:p w14:paraId="4F7BD82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（3）替代品与被替代产品之间的差异以及使用替代品可能对工程产生的影响；</w:t>
      </w:r>
    </w:p>
    <w:p w14:paraId="6F8B176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（4）替代品与被替代产品的价格差异；</w:t>
      </w:r>
    </w:p>
    <w:p w14:paraId="7B951C3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（5）使用替代品的理由和原因说明；</w:t>
      </w:r>
    </w:p>
    <w:p w14:paraId="7517A9D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（6）监理人要求的其他文件。</w:t>
      </w:r>
    </w:p>
    <w:p w14:paraId="34B613C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监理人应在收到通知后14天内向承包人发出经发包人签认的书面指示；监理人逾期发出书面指示的，视为发包人和监理人同意使用替代品。</w:t>
      </w:r>
    </w:p>
    <w:p w14:paraId="665B0E5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197B5FE">
      <w:pPr>
        <w:pStyle w:val="6"/>
        <w:spacing w:before="120" w:after="120" w:line="360" w:lineRule="exact"/>
        <w:ind w:firstLine="422" w:firstLineChars="200"/>
        <w:rPr>
          <w:rFonts w:ascii="宋体" w:hAnsi="宋体" w:cs="宋体"/>
          <w:color w:val="auto"/>
          <w:sz w:val="21"/>
          <w:szCs w:val="21"/>
        </w:rPr>
      </w:pPr>
      <w:bookmarkStart w:id="242" w:name="_Toc351203560"/>
      <w:r>
        <w:rPr>
          <w:rFonts w:hint="eastAsia" w:ascii="宋体" w:hAnsi="宋体" w:cs="宋体"/>
          <w:color w:val="auto"/>
          <w:sz w:val="21"/>
          <w:szCs w:val="21"/>
        </w:rPr>
        <w:t>8.8施工设备和临时设施</w:t>
      </w:r>
      <w:bookmarkEnd w:id="242"/>
    </w:p>
    <w:p w14:paraId="02C90BB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8.8.1 承包人提供的施工设备和临时设施</w:t>
      </w:r>
    </w:p>
    <w:p w14:paraId="06517E9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6108FA9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除专用合同条款另有约定外，承包人应自行承担修建临时设施的费用，需要临时占地的，应由发包人办理申请手续并承担相应费用。</w:t>
      </w:r>
    </w:p>
    <w:p w14:paraId="7987C71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8.8.2发包人提供的施工设备和临时设施</w:t>
      </w:r>
    </w:p>
    <w:p w14:paraId="55DDDB7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发包人提供的施工设备或临时设施在专用合同条款中约定。</w:t>
      </w:r>
    </w:p>
    <w:p w14:paraId="6A9680A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8.8.3要求承包人增加或更换施工设备</w:t>
      </w:r>
    </w:p>
    <w:p w14:paraId="7EF72F9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00379340">
      <w:pPr>
        <w:pStyle w:val="6"/>
        <w:spacing w:before="120" w:after="120" w:line="360" w:lineRule="exact"/>
        <w:ind w:firstLine="422" w:firstLineChars="200"/>
        <w:rPr>
          <w:rFonts w:ascii="宋体" w:hAnsi="宋体" w:cs="宋体"/>
          <w:color w:val="auto"/>
          <w:sz w:val="21"/>
          <w:szCs w:val="21"/>
        </w:rPr>
      </w:pPr>
      <w:bookmarkStart w:id="243" w:name="_Toc351203561"/>
      <w:r>
        <w:rPr>
          <w:rFonts w:hint="eastAsia" w:ascii="宋体" w:hAnsi="宋体" w:cs="宋体"/>
          <w:color w:val="auto"/>
          <w:sz w:val="21"/>
          <w:szCs w:val="21"/>
        </w:rPr>
        <w:t>8</w:t>
      </w:r>
      <w:bookmarkStart w:id="244" w:name="_Toc337558781"/>
      <w:bookmarkStart w:id="245" w:name="_Toc296503063"/>
      <w:bookmarkStart w:id="246" w:name="_Toc296346564"/>
      <w:r>
        <w:rPr>
          <w:rFonts w:hint="eastAsia" w:ascii="宋体" w:hAnsi="宋体" w:cs="宋体"/>
          <w:color w:val="auto"/>
          <w:sz w:val="21"/>
          <w:szCs w:val="21"/>
        </w:rPr>
        <w:t>.9材料与设备专用</w:t>
      </w:r>
      <w:bookmarkEnd w:id="243"/>
      <w:r>
        <w:rPr>
          <w:rFonts w:hint="eastAsia" w:ascii="宋体" w:hAnsi="宋体" w:cs="宋体"/>
          <w:color w:val="auto"/>
          <w:sz w:val="21"/>
          <w:szCs w:val="21"/>
        </w:rPr>
        <w:t>要求</w:t>
      </w:r>
    </w:p>
    <w:bookmarkEnd w:id="244"/>
    <w:bookmarkEnd w:id="245"/>
    <w:bookmarkEnd w:id="246"/>
    <w:p w14:paraId="078771A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225"/>
      <w:r>
        <w:rPr>
          <w:rFonts w:hint="eastAsia" w:ascii="宋体" w:hAnsi="宋体" w:cs="宋体"/>
          <w:color w:val="auto"/>
          <w:kern w:val="0"/>
          <w:szCs w:val="21"/>
        </w:rPr>
        <w:t>经发包人批准，承包人可以根据施工进度计划撤走闲置的施工设备和其他物品。</w:t>
      </w:r>
    </w:p>
    <w:p w14:paraId="21AEDD6C">
      <w:pPr>
        <w:pStyle w:val="5"/>
        <w:spacing w:before="120" w:after="120" w:line="360" w:lineRule="exact"/>
        <w:rPr>
          <w:rFonts w:ascii="宋体" w:hAnsi="宋体" w:cs="宋体"/>
          <w:bCs w:val="0"/>
          <w:color w:val="auto"/>
          <w:sz w:val="21"/>
          <w:szCs w:val="21"/>
        </w:rPr>
      </w:pPr>
      <w:bookmarkStart w:id="247" w:name="_Toc351203562"/>
      <w:r>
        <w:rPr>
          <w:rFonts w:hint="eastAsia" w:ascii="宋体" w:hAnsi="宋体" w:cs="宋体"/>
          <w:bCs w:val="0"/>
          <w:color w:val="auto"/>
          <w:sz w:val="21"/>
          <w:szCs w:val="21"/>
        </w:rPr>
        <w:t>9</w:t>
      </w:r>
      <w:bookmarkStart w:id="248" w:name="_Toc337558782"/>
      <w:bookmarkStart w:id="249" w:name="_Toc296503083"/>
      <w:bookmarkStart w:id="250" w:name="_Toc296346584"/>
      <w:r>
        <w:rPr>
          <w:rFonts w:hint="eastAsia" w:ascii="宋体" w:hAnsi="宋体" w:cs="宋体"/>
          <w:bCs w:val="0"/>
          <w:color w:val="auto"/>
          <w:sz w:val="21"/>
          <w:szCs w:val="21"/>
        </w:rPr>
        <w:t>. 试验与检验</w:t>
      </w:r>
      <w:bookmarkEnd w:id="247"/>
    </w:p>
    <w:bookmarkEnd w:id="248"/>
    <w:p w14:paraId="366FA6DB">
      <w:pPr>
        <w:pStyle w:val="6"/>
        <w:spacing w:before="120" w:after="120" w:line="360" w:lineRule="exact"/>
        <w:ind w:firstLine="422" w:firstLineChars="200"/>
        <w:rPr>
          <w:rFonts w:ascii="宋体" w:hAnsi="宋体" w:cs="宋体"/>
          <w:b w:val="0"/>
          <w:bCs w:val="0"/>
          <w:color w:val="auto"/>
          <w:sz w:val="21"/>
          <w:szCs w:val="21"/>
        </w:rPr>
      </w:pPr>
      <w:bookmarkStart w:id="251" w:name="_Toc351203563"/>
      <w:r>
        <w:rPr>
          <w:rFonts w:hint="eastAsia" w:ascii="宋体" w:hAnsi="宋体" w:cs="宋体"/>
          <w:color w:val="auto"/>
          <w:sz w:val="21"/>
          <w:szCs w:val="21"/>
        </w:rPr>
        <w:t>9</w:t>
      </w:r>
      <w:bookmarkStart w:id="252" w:name="_Toc337558783"/>
      <w:r>
        <w:rPr>
          <w:rFonts w:hint="eastAsia" w:ascii="宋体" w:hAnsi="宋体" w:cs="宋体"/>
          <w:color w:val="auto"/>
          <w:sz w:val="21"/>
          <w:szCs w:val="21"/>
        </w:rPr>
        <w:t>.1试验设备与试验人员</w:t>
      </w:r>
      <w:bookmarkEnd w:id="251"/>
    </w:p>
    <w:bookmarkEnd w:id="252"/>
    <w:p w14:paraId="29CF33B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2C249A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9.1.2 承包人应按专用合同条款的约定提供试验设备、取样装置、试验场所和试验条件，并向监理人提交相应进场计划表。</w:t>
      </w:r>
    </w:p>
    <w:p w14:paraId="4FA2155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承包人配置的试验设备要符合相应试验规程的要求并经过具有资质的检测单位检测，且在正式使用该试验设备前，需要经过监理人与承包人共同校定。</w:t>
      </w:r>
    </w:p>
    <w:p w14:paraId="67D85A9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9.1.3 承包人应向监理人提交试验人员的名单及其岗位、资格等证明资料，试验人员必须能够熟练进行相应的检测试验，承包人对试验人员的试验程序和试验结果的正确性负责。</w:t>
      </w:r>
    </w:p>
    <w:p w14:paraId="13ADA279">
      <w:pPr>
        <w:pStyle w:val="6"/>
        <w:spacing w:before="120" w:after="120" w:line="360" w:lineRule="exact"/>
        <w:ind w:firstLine="422" w:firstLineChars="200"/>
        <w:rPr>
          <w:rFonts w:ascii="宋体" w:hAnsi="宋体" w:cs="宋体"/>
          <w:b w:val="0"/>
          <w:bCs w:val="0"/>
          <w:color w:val="auto"/>
          <w:sz w:val="21"/>
          <w:szCs w:val="21"/>
        </w:rPr>
      </w:pPr>
      <w:bookmarkStart w:id="253" w:name="_Toc351203564"/>
      <w:r>
        <w:rPr>
          <w:rFonts w:hint="eastAsia" w:ascii="宋体" w:hAnsi="宋体" w:cs="宋体"/>
          <w:color w:val="auto"/>
          <w:sz w:val="21"/>
          <w:szCs w:val="21"/>
        </w:rPr>
        <w:t>9</w:t>
      </w:r>
      <w:bookmarkStart w:id="254" w:name="_Toc337558784"/>
      <w:r>
        <w:rPr>
          <w:rFonts w:hint="eastAsia" w:ascii="宋体" w:hAnsi="宋体" w:cs="宋体"/>
          <w:color w:val="auto"/>
          <w:sz w:val="21"/>
          <w:szCs w:val="21"/>
        </w:rPr>
        <w:t>.2取样</w:t>
      </w:r>
      <w:bookmarkEnd w:id="253"/>
    </w:p>
    <w:bookmarkEnd w:id="254"/>
    <w:p w14:paraId="27B894DD">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试验属于自检性质的，承包人可以单独取样。试验属于监理人抽检性质的，可由监理人取样，也可由承包人的试验人员在监理人的监督下取样。</w:t>
      </w:r>
    </w:p>
    <w:p w14:paraId="4703164F">
      <w:pPr>
        <w:pStyle w:val="6"/>
        <w:spacing w:before="120" w:after="120" w:line="360" w:lineRule="exact"/>
        <w:ind w:firstLine="422" w:firstLineChars="200"/>
        <w:rPr>
          <w:rFonts w:ascii="宋体" w:hAnsi="宋体" w:cs="宋体"/>
          <w:color w:val="auto"/>
          <w:sz w:val="21"/>
          <w:szCs w:val="21"/>
        </w:rPr>
      </w:pPr>
      <w:bookmarkStart w:id="255" w:name="_Toc351203565"/>
      <w:r>
        <w:rPr>
          <w:rFonts w:hint="eastAsia" w:ascii="宋体" w:hAnsi="宋体" w:cs="宋体"/>
          <w:color w:val="auto"/>
          <w:sz w:val="21"/>
          <w:szCs w:val="21"/>
        </w:rPr>
        <w:t>9</w:t>
      </w:r>
      <w:bookmarkStart w:id="256" w:name="_Toc337558785"/>
      <w:r>
        <w:rPr>
          <w:rFonts w:hint="eastAsia" w:ascii="宋体" w:hAnsi="宋体" w:cs="宋体"/>
          <w:color w:val="auto"/>
          <w:sz w:val="21"/>
          <w:szCs w:val="21"/>
        </w:rPr>
        <w:t>.3材料、工程设备和工程的试验和检验</w:t>
      </w:r>
      <w:bookmarkEnd w:id="255"/>
    </w:p>
    <w:bookmarkEnd w:id="256"/>
    <w:p w14:paraId="512C8EC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BD7B5B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35154C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C1DA544">
      <w:pPr>
        <w:pStyle w:val="6"/>
        <w:spacing w:before="120" w:after="120" w:line="360" w:lineRule="exact"/>
        <w:ind w:firstLine="422" w:firstLineChars="200"/>
        <w:rPr>
          <w:rFonts w:ascii="宋体" w:hAnsi="宋体" w:cs="宋体"/>
          <w:b w:val="0"/>
          <w:bCs w:val="0"/>
          <w:color w:val="auto"/>
          <w:sz w:val="21"/>
          <w:szCs w:val="21"/>
        </w:rPr>
      </w:pPr>
      <w:bookmarkStart w:id="257" w:name="_Toc351203566"/>
      <w:r>
        <w:rPr>
          <w:rFonts w:hint="eastAsia" w:ascii="宋体" w:hAnsi="宋体" w:cs="宋体"/>
          <w:color w:val="auto"/>
          <w:sz w:val="21"/>
          <w:szCs w:val="21"/>
        </w:rPr>
        <w:t>9</w:t>
      </w:r>
      <w:bookmarkStart w:id="258" w:name="_Toc337558786"/>
      <w:r>
        <w:rPr>
          <w:rFonts w:hint="eastAsia" w:ascii="宋体" w:hAnsi="宋体" w:cs="宋体"/>
          <w:color w:val="auto"/>
          <w:sz w:val="21"/>
          <w:szCs w:val="21"/>
        </w:rPr>
        <w:t>.4现场工艺试验</w:t>
      </w:r>
      <w:bookmarkEnd w:id="257"/>
    </w:p>
    <w:bookmarkEnd w:id="258"/>
    <w:p w14:paraId="1B2A72C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27FF6170">
      <w:pPr>
        <w:pStyle w:val="5"/>
        <w:spacing w:before="120" w:after="120" w:line="360" w:lineRule="exact"/>
        <w:rPr>
          <w:rFonts w:ascii="宋体" w:hAnsi="宋体" w:cs="宋体"/>
          <w:b w:val="0"/>
          <w:color w:val="auto"/>
          <w:sz w:val="21"/>
          <w:szCs w:val="21"/>
        </w:rPr>
      </w:pPr>
      <w:bookmarkStart w:id="259" w:name="_Toc351203567"/>
      <w:r>
        <w:rPr>
          <w:rFonts w:hint="eastAsia" w:ascii="宋体" w:hAnsi="宋体" w:cs="宋体"/>
          <w:bCs w:val="0"/>
          <w:color w:val="auto"/>
          <w:sz w:val="21"/>
          <w:szCs w:val="21"/>
        </w:rPr>
        <w:t>1</w:t>
      </w:r>
      <w:bookmarkStart w:id="260" w:name="_Toc337558787"/>
      <w:r>
        <w:rPr>
          <w:rFonts w:hint="eastAsia" w:ascii="宋体" w:hAnsi="宋体" w:cs="宋体"/>
          <w:bCs w:val="0"/>
          <w:color w:val="auto"/>
          <w:sz w:val="21"/>
          <w:szCs w:val="21"/>
        </w:rPr>
        <w:t>0. 变更</w:t>
      </w:r>
      <w:bookmarkEnd w:id="249"/>
      <w:bookmarkEnd w:id="250"/>
      <w:bookmarkEnd w:id="259"/>
    </w:p>
    <w:bookmarkEnd w:id="260"/>
    <w:p w14:paraId="4E061098">
      <w:pPr>
        <w:pStyle w:val="6"/>
        <w:spacing w:before="120" w:after="120" w:line="360" w:lineRule="exact"/>
        <w:ind w:firstLine="422" w:firstLineChars="200"/>
        <w:rPr>
          <w:rFonts w:ascii="宋体" w:hAnsi="宋体" w:cs="宋体"/>
          <w:color w:val="auto"/>
          <w:sz w:val="21"/>
          <w:szCs w:val="21"/>
        </w:rPr>
      </w:pPr>
      <w:bookmarkStart w:id="261" w:name="_Toc351203568"/>
      <w:r>
        <w:rPr>
          <w:rFonts w:hint="eastAsia" w:ascii="宋体" w:hAnsi="宋体" w:cs="宋体"/>
          <w:color w:val="auto"/>
          <w:sz w:val="21"/>
          <w:szCs w:val="21"/>
        </w:rPr>
        <w:t>1</w:t>
      </w:r>
      <w:bookmarkStart w:id="262" w:name="_Toc337558788"/>
      <w:bookmarkStart w:id="263" w:name="_Toc296503084"/>
      <w:bookmarkStart w:id="264" w:name="_Toc296346585"/>
      <w:r>
        <w:rPr>
          <w:rFonts w:hint="eastAsia" w:ascii="宋体" w:hAnsi="宋体" w:cs="宋体"/>
          <w:color w:val="auto"/>
          <w:sz w:val="21"/>
          <w:szCs w:val="21"/>
        </w:rPr>
        <w:t>0.1变更的范围</w:t>
      </w:r>
      <w:bookmarkEnd w:id="261"/>
    </w:p>
    <w:bookmarkEnd w:id="262"/>
    <w:bookmarkEnd w:id="263"/>
    <w:bookmarkEnd w:id="264"/>
    <w:p w14:paraId="716534B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除专用合同条款另有约定外，合同履行过程中发生以下情形的，应按照本条约定进行变更：</w:t>
      </w:r>
    </w:p>
    <w:p w14:paraId="18609A9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（1）增加或减少合同中任何工作，或追加额外的工作；</w:t>
      </w:r>
    </w:p>
    <w:p w14:paraId="4C4B790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（2）取消合同中任何工作，但转由他人实施的工作除外；</w:t>
      </w:r>
    </w:p>
    <w:p w14:paraId="2B60B52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（3）改变合同中任何工作的质量标准或其他特性；</w:t>
      </w:r>
    </w:p>
    <w:p w14:paraId="70F96AD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（4）改变工程的基线、标高、位置和尺寸；</w:t>
      </w:r>
    </w:p>
    <w:p w14:paraId="3803ED1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（5）改变工程的时间安排或实施顺序。</w:t>
      </w:r>
    </w:p>
    <w:p w14:paraId="47F514FC">
      <w:pPr>
        <w:pStyle w:val="6"/>
        <w:spacing w:before="120" w:after="120" w:line="360" w:lineRule="exact"/>
        <w:ind w:firstLine="422" w:firstLineChars="200"/>
        <w:rPr>
          <w:rFonts w:ascii="宋体" w:hAnsi="宋体" w:cs="宋体"/>
          <w:b w:val="0"/>
          <w:bCs w:val="0"/>
          <w:color w:val="auto"/>
          <w:sz w:val="21"/>
          <w:szCs w:val="21"/>
        </w:rPr>
      </w:pPr>
      <w:bookmarkStart w:id="265" w:name="_Toc351203569"/>
      <w:r>
        <w:rPr>
          <w:rFonts w:hint="eastAsia" w:ascii="宋体" w:hAnsi="宋体" w:cs="宋体"/>
          <w:color w:val="auto"/>
          <w:sz w:val="21"/>
          <w:szCs w:val="21"/>
        </w:rPr>
        <w:t>1</w:t>
      </w:r>
      <w:bookmarkStart w:id="266" w:name="_Toc296346586"/>
      <w:bookmarkStart w:id="267" w:name="_Toc296503085"/>
      <w:bookmarkStart w:id="268" w:name="_Toc337558789"/>
      <w:r>
        <w:rPr>
          <w:rFonts w:hint="eastAsia" w:ascii="宋体" w:hAnsi="宋体" w:cs="宋体"/>
          <w:color w:val="auto"/>
          <w:sz w:val="21"/>
          <w:szCs w:val="21"/>
        </w:rPr>
        <w:t>0.2变更权</w:t>
      </w:r>
      <w:bookmarkEnd w:id="265"/>
    </w:p>
    <w:bookmarkEnd w:id="266"/>
    <w:bookmarkEnd w:id="267"/>
    <w:bookmarkEnd w:id="268"/>
    <w:p w14:paraId="628C02E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687484A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涉及设计变更的，应由设计人提供变更后的图纸和说明。如变更超过原设计标准或批准的建设规模时，发包人应及时办理规划、设计变更等审批手续。</w:t>
      </w:r>
    </w:p>
    <w:p w14:paraId="490DB09F">
      <w:pPr>
        <w:pStyle w:val="6"/>
        <w:spacing w:before="120" w:after="120" w:line="360" w:lineRule="exact"/>
        <w:ind w:firstLine="422" w:firstLineChars="200"/>
        <w:rPr>
          <w:rFonts w:ascii="宋体" w:hAnsi="宋体" w:cs="宋体"/>
          <w:color w:val="auto"/>
          <w:sz w:val="21"/>
          <w:szCs w:val="21"/>
        </w:rPr>
      </w:pPr>
      <w:bookmarkStart w:id="269" w:name="_Toc351203570"/>
      <w:r>
        <w:rPr>
          <w:rFonts w:hint="eastAsia" w:ascii="宋体" w:hAnsi="宋体" w:cs="宋体"/>
          <w:color w:val="auto"/>
          <w:sz w:val="21"/>
          <w:szCs w:val="21"/>
        </w:rPr>
        <w:t>1</w:t>
      </w:r>
      <w:bookmarkStart w:id="270" w:name="_Toc337558790"/>
      <w:bookmarkStart w:id="271" w:name="_Toc296503086"/>
      <w:bookmarkStart w:id="272" w:name="_Toc296346587"/>
      <w:r>
        <w:rPr>
          <w:rFonts w:hint="eastAsia" w:ascii="宋体" w:hAnsi="宋体" w:cs="宋体"/>
          <w:color w:val="auto"/>
          <w:sz w:val="21"/>
          <w:szCs w:val="21"/>
        </w:rPr>
        <w:t>0.3变更程序</w:t>
      </w:r>
      <w:bookmarkEnd w:id="269"/>
    </w:p>
    <w:bookmarkEnd w:id="270"/>
    <w:bookmarkEnd w:id="271"/>
    <w:bookmarkEnd w:id="272"/>
    <w:p w14:paraId="74FBB98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szCs w:val="21"/>
        </w:rPr>
        <w:t>10</w:t>
      </w:r>
      <w:r>
        <w:rPr>
          <w:rFonts w:hint="eastAsia" w:ascii="宋体" w:hAnsi="宋体" w:cs="宋体"/>
          <w:color w:val="auto"/>
          <w:kern w:val="0"/>
          <w:szCs w:val="21"/>
        </w:rPr>
        <w:t>.3.1 发包人提出变更</w:t>
      </w:r>
    </w:p>
    <w:p w14:paraId="32C03D5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发包人提出变更的，应通过监理人向承包人发出变更指示，变更指示应说明计划变更的工程范围和变更的内容。</w:t>
      </w:r>
    </w:p>
    <w:p w14:paraId="30B736B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szCs w:val="21"/>
        </w:rPr>
        <w:t>10</w:t>
      </w:r>
      <w:r>
        <w:rPr>
          <w:rFonts w:hint="eastAsia" w:ascii="宋体" w:hAnsi="宋体" w:cs="宋体"/>
          <w:color w:val="auto"/>
          <w:kern w:val="0"/>
          <w:szCs w:val="21"/>
        </w:rPr>
        <w:t>.3.2 监理人提出变更建议</w:t>
      </w:r>
    </w:p>
    <w:p w14:paraId="60C45AB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30BD0CC">
      <w:pPr>
        <w:autoSpaceDE w:val="0"/>
        <w:autoSpaceDN w:val="0"/>
        <w:adjustRightIn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10.3.3 变更执行</w:t>
      </w:r>
    </w:p>
    <w:p w14:paraId="67A3B54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38855B3D">
      <w:pPr>
        <w:pStyle w:val="6"/>
        <w:spacing w:before="120" w:after="120" w:line="360" w:lineRule="exact"/>
        <w:ind w:firstLine="422" w:firstLineChars="200"/>
        <w:rPr>
          <w:rFonts w:ascii="宋体" w:hAnsi="宋体" w:cs="宋体"/>
          <w:b w:val="0"/>
          <w:bCs w:val="0"/>
          <w:color w:val="auto"/>
          <w:sz w:val="21"/>
          <w:szCs w:val="21"/>
        </w:rPr>
      </w:pPr>
      <w:bookmarkStart w:id="273" w:name="_Toc351203571"/>
      <w:r>
        <w:rPr>
          <w:rFonts w:hint="eastAsia" w:ascii="宋体" w:hAnsi="宋体" w:cs="宋体"/>
          <w:color w:val="auto"/>
          <w:sz w:val="21"/>
          <w:szCs w:val="21"/>
        </w:rPr>
        <w:t>1</w:t>
      </w:r>
      <w:bookmarkStart w:id="274" w:name="_Toc296346588"/>
      <w:bookmarkStart w:id="275" w:name="_Toc296503087"/>
      <w:bookmarkStart w:id="276" w:name="_Toc337558791"/>
      <w:r>
        <w:rPr>
          <w:rFonts w:hint="eastAsia" w:ascii="宋体" w:hAnsi="宋体" w:cs="宋体"/>
          <w:color w:val="auto"/>
          <w:sz w:val="21"/>
          <w:szCs w:val="21"/>
        </w:rPr>
        <w:t>0.4变更估价</w:t>
      </w:r>
      <w:bookmarkEnd w:id="273"/>
    </w:p>
    <w:bookmarkEnd w:id="274"/>
    <w:bookmarkEnd w:id="275"/>
    <w:bookmarkEnd w:id="276"/>
    <w:p w14:paraId="4D4EB5A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10.4.1 变更估价原则</w:t>
      </w:r>
    </w:p>
    <w:p w14:paraId="64235E4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除专用合同条款另有约定外，变更估价按照本款约定处理：</w:t>
      </w:r>
    </w:p>
    <w:p w14:paraId="0123D55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（1）已标价工程量清单或预算书有相同项目的，按照相同项目单价认定；</w:t>
      </w:r>
    </w:p>
    <w:p w14:paraId="061EE94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（2）已标价工程量清单或预算书中无相同项目，但有类似项目的，参照类似项目的单价认定；</w:t>
      </w:r>
    </w:p>
    <w:p w14:paraId="29E8EDC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73B050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10.4.2 变更估价程序</w:t>
      </w:r>
    </w:p>
    <w:p w14:paraId="565152D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1632D04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因变更引起的价格调整应计入最近一期的进度款中支付。</w:t>
      </w:r>
    </w:p>
    <w:p w14:paraId="5EFBD07B">
      <w:pPr>
        <w:pStyle w:val="6"/>
        <w:spacing w:before="120" w:after="120" w:line="360" w:lineRule="exact"/>
        <w:ind w:firstLine="422" w:firstLineChars="200"/>
        <w:rPr>
          <w:rFonts w:ascii="宋体" w:hAnsi="宋体" w:cs="宋体"/>
          <w:color w:val="auto"/>
          <w:sz w:val="21"/>
          <w:szCs w:val="21"/>
        </w:rPr>
      </w:pPr>
      <w:bookmarkStart w:id="277" w:name="_Toc351203572"/>
      <w:r>
        <w:rPr>
          <w:rFonts w:hint="eastAsia" w:ascii="宋体" w:hAnsi="宋体" w:cs="宋体"/>
          <w:color w:val="auto"/>
          <w:sz w:val="21"/>
          <w:szCs w:val="21"/>
        </w:rPr>
        <w:t>1</w:t>
      </w:r>
      <w:bookmarkStart w:id="278" w:name="_Toc296503094"/>
      <w:bookmarkStart w:id="279" w:name="_Toc296346595"/>
      <w:bookmarkStart w:id="280" w:name="_Toc337558792"/>
      <w:r>
        <w:rPr>
          <w:rFonts w:hint="eastAsia" w:ascii="宋体" w:hAnsi="宋体" w:cs="宋体"/>
          <w:color w:val="auto"/>
          <w:sz w:val="21"/>
          <w:szCs w:val="21"/>
        </w:rPr>
        <w:t>0.5承包人的合理化建议</w:t>
      </w:r>
      <w:bookmarkEnd w:id="277"/>
    </w:p>
    <w:bookmarkEnd w:id="278"/>
    <w:bookmarkEnd w:id="279"/>
    <w:bookmarkEnd w:id="280"/>
    <w:p w14:paraId="6F1EB88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承包人提出合理化建议的，应向监理人提交合理化建议说明，说明建议的内容和理由，以及实施该建议对合同价格和工期的影响。</w:t>
      </w:r>
    </w:p>
    <w:p w14:paraId="3EF5448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26BB0C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合理化建议降低了合同价格或者提高了工程经济效益的，发包人可对承包人给予奖励，奖励的方法和金额在专用合同条款中约定。</w:t>
      </w:r>
    </w:p>
    <w:p w14:paraId="324D482C">
      <w:pPr>
        <w:pStyle w:val="6"/>
        <w:spacing w:before="120" w:after="120" w:line="360" w:lineRule="exact"/>
        <w:ind w:firstLine="422" w:firstLineChars="200"/>
        <w:rPr>
          <w:rFonts w:ascii="宋体" w:hAnsi="宋体" w:cs="宋体"/>
          <w:b w:val="0"/>
          <w:bCs w:val="0"/>
          <w:color w:val="auto"/>
          <w:sz w:val="21"/>
          <w:szCs w:val="21"/>
        </w:rPr>
      </w:pPr>
      <w:bookmarkStart w:id="281" w:name="_Toc351203573"/>
      <w:r>
        <w:rPr>
          <w:rFonts w:hint="eastAsia" w:ascii="宋体" w:hAnsi="宋体" w:cs="宋体"/>
          <w:color w:val="auto"/>
          <w:sz w:val="21"/>
          <w:szCs w:val="21"/>
        </w:rPr>
        <w:t>1</w:t>
      </w:r>
      <w:bookmarkStart w:id="282" w:name="_Toc337558793"/>
      <w:r>
        <w:rPr>
          <w:rFonts w:hint="eastAsia" w:ascii="宋体" w:hAnsi="宋体" w:cs="宋体"/>
          <w:color w:val="auto"/>
          <w:sz w:val="21"/>
          <w:szCs w:val="21"/>
        </w:rPr>
        <w:t>0.6变更引起的工期调整</w:t>
      </w:r>
      <w:bookmarkEnd w:id="281"/>
      <w:r>
        <w:rPr>
          <w:rFonts w:hint="eastAsia" w:ascii="宋体" w:hAnsi="宋体" w:cs="宋体"/>
          <w:b w:val="0"/>
          <w:bCs w:val="0"/>
          <w:color w:val="auto"/>
          <w:sz w:val="21"/>
          <w:szCs w:val="21"/>
        </w:rPr>
        <w:t xml:space="preserve"> </w:t>
      </w:r>
      <w:bookmarkEnd w:id="282"/>
      <w:r>
        <w:rPr>
          <w:rFonts w:hint="eastAsia" w:ascii="宋体" w:hAnsi="宋体" w:cs="宋体"/>
          <w:b w:val="0"/>
          <w:bCs w:val="0"/>
          <w:color w:val="auto"/>
          <w:sz w:val="21"/>
          <w:szCs w:val="21"/>
        </w:rPr>
        <w:t xml:space="preserve">  </w:t>
      </w:r>
    </w:p>
    <w:p w14:paraId="7970F92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因变更引起工期变化的，合同当事人均可要求调整合同工期，由合同当事人按照第4.4款〔商定或确定〕并参考工程所在地的工期定额标准确定增减工期天数。</w:t>
      </w:r>
    </w:p>
    <w:p w14:paraId="0F803DEA">
      <w:pPr>
        <w:pStyle w:val="6"/>
        <w:spacing w:before="120" w:after="120" w:line="360" w:lineRule="exact"/>
        <w:ind w:firstLine="422" w:firstLineChars="200"/>
        <w:rPr>
          <w:rFonts w:ascii="宋体" w:hAnsi="宋体" w:cs="宋体"/>
          <w:b w:val="0"/>
          <w:bCs w:val="0"/>
          <w:color w:val="auto"/>
          <w:sz w:val="21"/>
          <w:szCs w:val="21"/>
        </w:rPr>
      </w:pPr>
      <w:bookmarkStart w:id="283" w:name="_Toc351203574"/>
      <w:r>
        <w:rPr>
          <w:rFonts w:hint="eastAsia" w:ascii="宋体" w:hAnsi="宋体" w:cs="宋体"/>
          <w:color w:val="auto"/>
          <w:sz w:val="21"/>
          <w:szCs w:val="21"/>
        </w:rPr>
        <w:t>10.7暂估价</w:t>
      </w:r>
      <w:bookmarkEnd w:id="283"/>
    </w:p>
    <w:p w14:paraId="1E6F277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暂估价专业分包工程、服务、材料和工程设备的明细由合同当事人在专用合同条款中约定。</w:t>
      </w:r>
    </w:p>
    <w:p w14:paraId="06DFD7CB">
      <w:pPr>
        <w:spacing w:line="360" w:lineRule="exact"/>
        <w:ind w:firstLine="420" w:firstLineChars="200"/>
        <w:jc w:val="left"/>
        <w:rPr>
          <w:rFonts w:ascii="宋体" w:hAnsi="宋体" w:cs="宋体"/>
          <w:color w:val="auto"/>
          <w:kern w:val="0"/>
          <w:szCs w:val="21"/>
        </w:rPr>
      </w:pPr>
      <w:r>
        <w:rPr>
          <w:rFonts w:hint="eastAsia" w:ascii="宋体" w:hAnsi="宋体" w:cs="宋体"/>
          <w:color w:val="auto"/>
          <w:szCs w:val="21"/>
        </w:rPr>
        <w:t>10.7.1</w:t>
      </w:r>
      <w:r>
        <w:rPr>
          <w:rFonts w:hint="eastAsia" w:ascii="宋体" w:hAnsi="宋体" w:cs="宋体"/>
          <w:color w:val="auto"/>
          <w:kern w:val="0"/>
          <w:szCs w:val="21"/>
        </w:rPr>
        <w:t xml:space="preserve"> 依法必须招标的暂估价项目</w:t>
      </w:r>
    </w:p>
    <w:p w14:paraId="50DB1B4D">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对于依法必须招标的暂估价项目，采取以下第1种方式确定。合同当事人也可以在专用合同条款中选择其他招标方式。</w:t>
      </w:r>
    </w:p>
    <w:p w14:paraId="7204FE6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第1种方式：对于依法必须招标的暂估价项目，由承包人招标，对该暂估价项目的确认和批准按照以下约定执行：</w:t>
      </w:r>
    </w:p>
    <w:p w14:paraId="2BA5FA04">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66BDD5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6F3D2514">
      <w:pPr>
        <w:spacing w:line="360" w:lineRule="exact"/>
        <w:jc w:val="left"/>
        <w:rPr>
          <w:rFonts w:ascii="宋体" w:hAnsi="宋体" w:cs="宋体"/>
          <w:color w:val="auto"/>
          <w:kern w:val="0"/>
          <w:szCs w:val="21"/>
        </w:rPr>
      </w:pPr>
      <w:r>
        <w:rPr>
          <w:rFonts w:hint="eastAsia" w:ascii="宋体" w:hAnsi="宋体" w:cs="宋体"/>
          <w:color w:val="auto"/>
          <w:kern w:val="0"/>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FD217E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CA4EFF4">
      <w:pPr>
        <w:spacing w:line="360" w:lineRule="exact"/>
        <w:ind w:firstLine="420" w:firstLineChars="200"/>
        <w:jc w:val="left"/>
        <w:rPr>
          <w:rFonts w:ascii="宋体" w:hAnsi="宋体" w:cs="宋体"/>
          <w:color w:val="auto"/>
          <w:kern w:val="0"/>
          <w:szCs w:val="21"/>
        </w:rPr>
      </w:pPr>
      <w:r>
        <w:rPr>
          <w:rFonts w:hint="eastAsia" w:ascii="宋体" w:hAnsi="宋体" w:cs="宋体"/>
          <w:color w:val="auto"/>
          <w:szCs w:val="21"/>
        </w:rPr>
        <w:t>10.7.2</w:t>
      </w:r>
      <w:r>
        <w:rPr>
          <w:rFonts w:hint="eastAsia" w:ascii="宋体" w:hAnsi="宋体" w:cs="宋体"/>
          <w:color w:val="auto"/>
          <w:kern w:val="0"/>
          <w:szCs w:val="21"/>
        </w:rPr>
        <w:t>不属于依法必须招标的暂估价项目</w:t>
      </w:r>
    </w:p>
    <w:p w14:paraId="1116701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除专用合同条款另有约定外，对于不属于依法必须招标的暂估价项目，采取以下第1种方式确定： </w:t>
      </w:r>
    </w:p>
    <w:p w14:paraId="646AF486">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第1种方式：对于不属于依法必须招标的暂估价项目，按本项约定确认和批准：</w:t>
      </w:r>
    </w:p>
    <w:p w14:paraId="54D318CA">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899DF95">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（2）发包人认为承包人确定的供应商、分包人无法满足工程质量或合同要求的，发包人可以要求承包人重新确定暂估价项目的供应商、分包人;</w:t>
      </w:r>
    </w:p>
    <w:p w14:paraId="2A8D92A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（3）承包人应当在签订暂估价合同后7天内，将暂估价合同副本报送发包人留存。</w:t>
      </w:r>
    </w:p>
    <w:p w14:paraId="2B4BC50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第2种方式：承包人按照第10.7.1项〔依法必须招标的暂估价项目〕约定的第1种方式确定暂估价项目。</w:t>
      </w:r>
    </w:p>
    <w:p w14:paraId="1E6A1026">
      <w:pPr>
        <w:spacing w:line="360" w:lineRule="exact"/>
        <w:ind w:firstLine="420" w:firstLineChars="200"/>
        <w:jc w:val="left"/>
        <w:rPr>
          <w:rFonts w:ascii="宋体" w:hAnsi="宋体" w:cs="宋体"/>
          <w:color w:val="auto"/>
          <w:kern w:val="0"/>
          <w:szCs w:val="21"/>
        </w:rPr>
      </w:pPr>
      <w:r>
        <w:rPr>
          <w:rFonts w:hint="eastAsia" w:ascii="宋体" w:hAnsi="宋体" w:cs="宋体"/>
          <w:color w:val="auto"/>
          <w:szCs w:val="21"/>
        </w:rPr>
        <w:t>第3种方式：</w:t>
      </w:r>
      <w:r>
        <w:rPr>
          <w:rFonts w:hint="eastAsia" w:ascii="宋体" w:hAnsi="宋体" w:cs="宋体"/>
          <w:color w:val="auto"/>
          <w:kern w:val="0"/>
          <w:szCs w:val="21"/>
        </w:rPr>
        <w:t>承包人直接实施的暂估价项目</w:t>
      </w:r>
    </w:p>
    <w:p w14:paraId="56B409D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承包人具备实施暂估价项目的资格和条件的，经发包人和承包人协商一致后，可由承包人自行实施暂估价项目，合同当事人可以在专用合同条款约定具体事项。</w:t>
      </w:r>
    </w:p>
    <w:p w14:paraId="0FFE8FA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3B81DC2">
      <w:pPr>
        <w:pStyle w:val="6"/>
        <w:spacing w:before="120" w:after="120" w:line="360" w:lineRule="exact"/>
        <w:ind w:firstLine="422" w:firstLineChars="200"/>
        <w:rPr>
          <w:rFonts w:ascii="宋体" w:hAnsi="宋体" w:cs="宋体"/>
          <w:color w:val="auto"/>
          <w:sz w:val="21"/>
          <w:szCs w:val="21"/>
        </w:rPr>
      </w:pPr>
      <w:bookmarkStart w:id="284" w:name="_Toc351203575"/>
      <w:r>
        <w:rPr>
          <w:rFonts w:hint="eastAsia" w:ascii="宋体" w:hAnsi="宋体" w:cs="宋体"/>
          <w:color w:val="auto"/>
          <w:sz w:val="21"/>
          <w:szCs w:val="21"/>
        </w:rPr>
        <w:t>1</w:t>
      </w:r>
      <w:bookmarkStart w:id="285" w:name="_Toc337558794"/>
      <w:bookmarkStart w:id="286" w:name="_Toc322522561"/>
      <w:bookmarkStart w:id="287" w:name="_Toc296503090"/>
      <w:bookmarkStart w:id="288" w:name="_Toc296346591"/>
      <w:r>
        <w:rPr>
          <w:rFonts w:hint="eastAsia" w:ascii="宋体" w:hAnsi="宋体" w:cs="宋体"/>
          <w:color w:val="auto"/>
          <w:sz w:val="21"/>
          <w:szCs w:val="21"/>
        </w:rPr>
        <w:t>0.8暂列金额</w:t>
      </w:r>
      <w:bookmarkEnd w:id="284"/>
    </w:p>
    <w:bookmarkEnd w:id="285"/>
    <w:p w14:paraId="1503004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暂列金额应按照发包人的要求使用，发包人的要求应通过监理人发出。合同当事人可以在专用合同条款中协商确定有关事项。</w:t>
      </w:r>
    </w:p>
    <w:bookmarkEnd w:id="286"/>
    <w:bookmarkEnd w:id="287"/>
    <w:bookmarkEnd w:id="288"/>
    <w:p w14:paraId="148F9B8C">
      <w:pPr>
        <w:pStyle w:val="6"/>
        <w:spacing w:before="120" w:after="120" w:line="360" w:lineRule="exact"/>
        <w:ind w:firstLine="422" w:firstLineChars="200"/>
        <w:rPr>
          <w:rFonts w:ascii="宋体" w:hAnsi="宋体" w:cs="宋体"/>
          <w:b w:val="0"/>
          <w:bCs w:val="0"/>
          <w:color w:val="auto"/>
          <w:sz w:val="21"/>
          <w:szCs w:val="21"/>
        </w:rPr>
      </w:pPr>
      <w:bookmarkStart w:id="289" w:name="_Toc351203576"/>
      <w:r>
        <w:rPr>
          <w:rFonts w:hint="eastAsia" w:ascii="宋体" w:hAnsi="宋体" w:cs="宋体"/>
          <w:color w:val="auto"/>
          <w:sz w:val="21"/>
          <w:szCs w:val="21"/>
        </w:rPr>
        <w:t>1</w:t>
      </w:r>
      <w:bookmarkStart w:id="290" w:name="_Toc337558796"/>
      <w:bookmarkStart w:id="291" w:name="_Toc296346592"/>
      <w:bookmarkStart w:id="292" w:name="_Toc296503091"/>
      <w:r>
        <w:rPr>
          <w:rFonts w:hint="eastAsia" w:ascii="宋体" w:hAnsi="宋体" w:cs="宋体"/>
          <w:color w:val="auto"/>
          <w:sz w:val="21"/>
          <w:szCs w:val="21"/>
        </w:rPr>
        <w:t>0.9计日工</w:t>
      </w:r>
      <w:bookmarkEnd w:id="289"/>
      <w:r>
        <w:rPr>
          <w:rFonts w:hint="eastAsia" w:ascii="宋体" w:hAnsi="宋体" w:cs="宋体"/>
          <w:color w:val="auto"/>
          <w:sz w:val="21"/>
          <w:szCs w:val="21"/>
        </w:rPr>
        <w:t xml:space="preserve"> </w:t>
      </w:r>
      <w:bookmarkEnd w:id="290"/>
      <w:bookmarkEnd w:id="291"/>
      <w:bookmarkEnd w:id="292"/>
    </w:p>
    <w:p w14:paraId="3C8A315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ADBA32F">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采用计日工计价的任何一项工作，承包人应在该项工作实施过程中，每天提交以下报表和有关凭证报送监理人审查：</w:t>
      </w:r>
    </w:p>
    <w:p w14:paraId="6869859E">
      <w:pPr>
        <w:spacing w:line="36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（1）工作名称、内容和数量；</w:t>
      </w:r>
    </w:p>
    <w:p w14:paraId="281035B8">
      <w:pPr>
        <w:spacing w:line="36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（2）投入该工作的所有人员的姓名、专业、工种、级别和耗用工时；</w:t>
      </w:r>
    </w:p>
    <w:p w14:paraId="590FA822">
      <w:pPr>
        <w:spacing w:line="36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（3）投入该工作的材料类别和数量；</w:t>
      </w:r>
    </w:p>
    <w:p w14:paraId="271ADFAF">
      <w:pPr>
        <w:spacing w:line="36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（4）投入该工作的施工设备型号、台数和耗用台时；</w:t>
      </w:r>
    </w:p>
    <w:p w14:paraId="6B6330D4">
      <w:pPr>
        <w:spacing w:line="36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（5）其他有关资料和凭证。</w:t>
      </w:r>
    </w:p>
    <w:p w14:paraId="111EAB7D">
      <w:pPr>
        <w:spacing w:line="36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 xml:space="preserve"> 计日工由承包人汇总后，列入最近一期进度付款申请单，由监理人审查并经发包人批准后列入进度付款。</w:t>
      </w:r>
    </w:p>
    <w:p w14:paraId="15EC2557">
      <w:pPr>
        <w:pStyle w:val="5"/>
        <w:spacing w:before="120" w:after="120" w:line="360" w:lineRule="exact"/>
        <w:rPr>
          <w:rFonts w:ascii="宋体" w:hAnsi="宋体" w:cs="宋体"/>
          <w:bCs w:val="0"/>
          <w:color w:val="auto"/>
          <w:sz w:val="21"/>
          <w:szCs w:val="21"/>
        </w:rPr>
      </w:pPr>
      <w:bookmarkStart w:id="293" w:name="_Toc351203577"/>
      <w:r>
        <w:rPr>
          <w:rFonts w:hint="eastAsia" w:ascii="宋体" w:hAnsi="宋体" w:cs="宋体"/>
          <w:bCs w:val="0"/>
          <w:color w:val="auto"/>
          <w:sz w:val="21"/>
          <w:szCs w:val="21"/>
        </w:rPr>
        <w:t>11. 价格调整</w:t>
      </w:r>
      <w:bookmarkEnd w:id="293"/>
    </w:p>
    <w:p w14:paraId="063DD840">
      <w:pPr>
        <w:pStyle w:val="6"/>
        <w:spacing w:before="120" w:after="120" w:line="360" w:lineRule="exact"/>
        <w:ind w:firstLine="422" w:firstLineChars="200"/>
        <w:rPr>
          <w:rFonts w:ascii="宋体" w:hAnsi="宋体" w:cs="宋体"/>
          <w:color w:val="auto"/>
          <w:sz w:val="21"/>
          <w:szCs w:val="21"/>
        </w:rPr>
      </w:pPr>
      <w:bookmarkStart w:id="294" w:name="_Toc351203578"/>
      <w:bookmarkStart w:id="295" w:name="_Toc296503092"/>
      <w:bookmarkStart w:id="296" w:name="_Toc337558797"/>
      <w:bookmarkStart w:id="297" w:name="_Toc296346593"/>
      <w:r>
        <w:rPr>
          <w:rFonts w:hint="eastAsia" w:ascii="宋体" w:hAnsi="宋体" w:cs="宋体"/>
          <w:color w:val="auto"/>
          <w:sz w:val="21"/>
          <w:szCs w:val="21"/>
        </w:rPr>
        <w:t>11.1市场价格波动引起的调整</w:t>
      </w:r>
      <w:bookmarkEnd w:id="294"/>
    </w:p>
    <w:bookmarkEnd w:id="295"/>
    <w:bookmarkEnd w:id="296"/>
    <w:bookmarkEnd w:id="297"/>
    <w:p w14:paraId="7CF822E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除专用合同条款另有约定外，市场价格波动超过合同当事人约定的范围，合同价格应当调整。合同当事人可以在专用合同条款中约定选择以下一种方式对合同价格进行调整：</w:t>
      </w:r>
    </w:p>
    <w:p w14:paraId="7BDE2E0A">
      <w:pPr>
        <w:spacing w:line="360" w:lineRule="exact"/>
        <w:ind w:firstLine="420" w:firstLineChars="200"/>
        <w:rPr>
          <w:rFonts w:ascii="宋体" w:hAnsi="宋体" w:cs="宋体"/>
          <w:color w:val="auto"/>
          <w:szCs w:val="21"/>
        </w:rPr>
      </w:pPr>
      <w:r>
        <w:rPr>
          <w:rFonts w:hint="eastAsia" w:ascii="宋体" w:hAnsi="宋体" w:cs="宋体"/>
          <w:color w:val="auto"/>
          <w:szCs w:val="21"/>
        </w:rPr>
        <w:t>第1种方式：采用价格指数进行价格调整。</w:t>
      </w:r>
    </w:p>
    <w:p w14:paraId="23BB6D17">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szCs w:val="21"/>
        </w:rPr>
        <w:t>（1）价格调整公式</w:t>
      </w:r>
    </w:p>
    <w:p w14:paraId="2E5C4D3F">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szCs w:val="21"/>
        </w:rPr>
        <w:t>因人工、材料和设备等价格波动影响合同价格时，根据专用合同条款中约定的数据，按以下公式计算差额并调整合同价格：</w:t>
      </w:r>
    </w:p>
    <w:p w14:paraId="6BDF6011">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position w:val="-30"/>
          <w:szCs w:val="21"/>
        </w:rPr>
        <w:object>
          <v:shape id="_x0000_i1025" o:spt="75" type="#_x0000_t75" style="height:43.9pt;width:359.85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p>
    <w:p w14:paraId="22B0E810">
      <w:pPr>
        <w:tabs>
          <w:tab w:val="left" w:pos="0"/>
          <w:tab w:val="left" w:pos="360"/>
          <w:tab w:val="left" w:pos="540"/>
        </w:tabs>
        <w:spacing w:line="360" w:lineRule="exact"/>
        <w:ind w:firstLine="640"/>
        <w:rPr>
          <w:rFonts w:ascii="宋体" w:hAnsi="宋体" w:cs="宋体"/>
          <w:color w:val="auto"/>
          <w:szCs w:val="21"/>
        </w:rPr>
      </w:pPr>
      <w:r>
        <w:rPr>
          <w:rFonts w:hint="eastAsia" w:ascii="宋体" w:hAnsi="宋体" w:cs="宋体"/>
          <w:color w:val="auto"/>
          <w:szCs w:val="21"/>
        </w:rPr>
        <w:t>公式中：ΔP——需调整的价格差额；</w:t>
      </w:r>
    </w:p>
    <w:p w14:paraId="1E77CE20">
      <w:pPr>
        <w:tabs>
          <w:tab w:val="left" w:pos="0"/>
          <w:tab w:val="left" w:pos="360"/>
          <w:tab w:val="left" w:pos="540"/>
        </w:tabs>
        <w:spacing w:line="360" w:lineRule="exact"/>
        <w:ind w:firstLine="1260" w:firstLineChars="600"/>
        <w:rPr>
          <w:rFonts w:ascii="宋体" w:hAnsi="宋体" w:cs="宋体"/>
          <w:color w:val="auto"/>
          <w:szCs w:val="21"/>
        </w:rPr>
      </w:pPr>
      <w:r>
        <w:rPr>
          <w:rFonts w:hint="eastAsia" w:ascii="宋体" w:hAnsi="宋体" w:cs="宋体"/>
          <w:color w:val="auto"/>
          <w:position w:val="-6"/>
          <w:szCs w:val="21"/>
        </w:rPr>
        <w:object>
          <v:shape id="_x0000_i1026" o:spt="75" type="#_x0000_t75" style="height:17.95pt;width:17.95pt;" o:ole="t" filled="f" o:preferrelative="t" stroked="f" coordsize="21600,21600">
            <v:path/>
            <v:fill on="f" focussize="0,0"/>
            <v:stroke on="f" joinstyle="miter"/>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宋体" w:hAnsi="宋体" w:cs="宋体"/>
          <w:color w:val="auto"/>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15271850">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szCs w:val="21"/>
        </w:rPr>
        <w:t>A——定值权重（即不调部分的权重）；</w:t>
      </w:r>
    </w:p>
    <w:p w14:paraId="5FDFD319">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position w:val="-10"/>
          <w:szCs w:val="21"/>
        </w:rPr>
        <w:object>
          <v:shape id="_x0000_i1027" o:spt="75" type="#_x0000_t75" style="height:21.05pt;width:101pt;" o:ole="t" filled="f" o:preferrelative="t" stroked="f" coordsize="21600,21600">
            <v:path/>
            <v:fill on="f" focussize="0,0"/>
            <v:stroke on="f" joinstyle="miter"/>
            <v:imagedata r:id="rId12" o:title=""/>
            <o:lock v:ext="edit" aspectratio="t"/>
            <w10:wrap type="none"/>
            <w10:anchorlock/>
          </v:shape>
          <o:OLEObject Type="Embed" ProgID="Equation.KSEE3" ShapeID="_x0000_i1027" DrawAspect="Content" ObjectID="_1468075727" r:id="rId11">
            <o:LockedField>false</o:LockedField>
          </o:OLEObject>
        </w:object>
      </w:r>
      <w:r>
        <w:rPr>
          <w:rFonts w:hint="eastAsia" w:ascii="宋体" w:hAnsi="宋体" w:cs="宋体"/>
          <w:color w:val="auto"/>
          <w:szCs w:val="21"/>
        </w:rPr>
        <w:t>——各可调因子的变值权重（即可调部分的权重），为各可调因子在签约合同价中所占的比例；</w:t>
      </w:r>
    </w:p>
    <w:p w14:paraId="03A06078">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position w:val="-10"/>
          <w:szCs w:val="21"/>
        </w:rPr>
        <w:object>
          <v:shape id="_x0000_i1028" o:spt="75" type="#_x0000_t75" style="height:20.6pt;width:102.05pt;" o:ole="t" filled="f" o:preferrelative="t" stroked="f" coordsize="21600,21600">
            <v:path/>
            <v:fill on="f" focussize="0,0"/>
            <v:stroke on="f" joinstyle="miter"/>
            <v:imagedata r:id="rId14" o:title=""/>
            <o:lock v:ext="edit" aspectratio="t"/>
            <w10:wrap type="none"/>
            <w10:anchorlock/>
          </v:shape>
          <o:OLEObject Type="Embed" ProgID="Equation.KSEE3" ShapeID="_x0000_i1028" DrawAspect="Content" ObjectID="_1468075728" r:id="rId13">
            <o:LockedField>false</o:LockedField>
          </o:OLEObject>
        </w:object>
      </w:r>
      <w:r>
        <w:rPr>
          <w:rFonts w:hint="eastAsia" w:ascii="宋体" w:hAnsi="宋体" w:cs="宋体"/>
          <w:color w:val="auto"/>
          <w:szCs w:val="21"/>
        </w:rPr>
        <w:t>——各可调因子的现行价格指数，指约定的付款证书相关周期最后一天的前42天的各可调因子的价格指数；</w:t>
      </w:r>
    </w:p>
    <w:p w14:paraId="5179131C">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position w:val="-10"/>
          <w:szCs w:val="21"/>
        </w:rPr>
        <w:object>
          <v:shape id="_x0000_i1029" o:spt="75" type="#_x0000_t75" style="height:20.2pt;width:108pt;" o:ole="t" filled="f" o:preferrelative="t" stroked="f" coordsize="21600,21600">
            <v:path/>
            <v:fill on="f" focussize="0,0"/>
            <v:stroke on="f" joinstyle="miter"/>
            <v:imagedata r:id="rId16" o:title=""/>
            <o:lock v:ext="edit" aspectratio="t"/>
            <w10:wrap type="none"/>
            <w10:anchorlock/>
          </v:shape>
          <o:OLEObject Type="Embed" ProgID="Equation.KSEE3" ShapeID="_x0000_i1029" DrawAspect="Content" ObjectID="_1468075729" r:id="rId15">
            <o:LockedField>false</o:LockedField>
          </o:OLEObject>
        </w:object>
      </w:r>
      <w:r>
        <w:rPr>
          <w:rFonts w:hint="eastAsia" w:ascii="宋体" w:hAnsi="宋体" w:cs="宋体"/>
          <w:color w:val="auto"/>
          <w:szCs w:val="21"/>
        </w:rPr>
        <w:t>——各可调因子的基本价格指数，指基准日期的各可调因子的价格指数。</w:t>
      </w:r>
    </w:p>
    <w:p w14:paraId="548071CA">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DFAAB00">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szCs w:val="21"/>
        </w:rPr>
        <w:t>（2）暂时确定调整差额</w:t>
      </w:r>
    </w:p>
    <w:p w14:paraId="7B8F760F">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szCs w:val="21"/>
        </w:rPr>
        <w:t>在计算调整差额时无现行价格指数的，合同当事人同意暂用前次价格指数计算。实际价格指数有调整的，合同当事人进行相应调整。</w:t>
      </w:r>
    </w:p>
    <w:p w14:paraId="5E623342">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szCs w:val="21"/>
        </w:rPr>
        <w:t>（3）权重的调整</w:t>
      </w:r>
    </w:p>
    <w:p w14:paraId="4D72878F">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szCs w:val="21"/>
        </w:rPr>
        <w:t>因变更导致合同约定的权重不合理时，按照第4.4款〔商定或确定〕执行。</w:t>
      </w:r>
    </w:p>
    <w:p w14:paraId="078D8442">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szCs w:val="21"/>
        </w:rPr>
        <w:t>（4）因承包人原因工期延误后的价格调整</w:t>
      </w:r>
    </w:p>
    <w:p w14:paraId="3554693E">
      <w:pPr>
        <w:tabs>
          <w:tab w:val="left" w:pos="0"/>
          <w:tab w:val="left" w:pos="360"/>
          <w:tab w:val="left" w:pos="540"/>
        </w:tabs>
        <w:spacing w:line="360" w:lineRule="exact"/>
        <w:ind w:firstLine="420" w:firstLineChars="200"/>
        <w:rPr>
          <w:rFonts w:ascii="宋体" w:hAnsi="宋体" w:cs="宋体"/>
          <w:color w:val="auto"/>
          <w:szCs w:val="21"/>
        </w:rPr>
      </w:pPr>
      <w:r>
        <w:rPr>
          <w:rFonts w:hint="eastAsia" w:ascii="宋体" w:hAnsi="宋体" w:cs="宋体"/>
          <w:color w:val="auto"/>
          <w:szCs w:val="21"/>
        </w:rPr>
        <w:t>因承包人原因未按期竣工的，对合同约定的竣工日期后继续施工的工程，在使用价格调整公式时，应采用计划竣工日期与实际竣工日期的两个价格指数中较低的一个作为现行价格指数。</w:t>
      </w:r>
    </w:p>
    <w:p w14:paraId="6AFBA290">
      <w:pPr>
        <w:spacing w:line="360" w:lineRule="exact"/>
        <w:ind w:firstLine="420" w:firstLineChars="200"/>
        <w:rPr>
          <w:rFonts w:ascii="宋体" w:hAnsi="宋体" w:cs="宋体"/>
          <w:color w:val="auto"/>
          <w:szCs w:val="21"/>
        </w:rPr>
      </w:pPr>
      <w:r>
        <w:rPr>
          <w:rFonts w:hint="eastAsia" w:ascii="宋体" w:hAnsi="宋体" w:cs="宋体"/>
          <w:color w:val="auto"/>
          <w:szCs w:val="21"/>
        </w:rPr>
        <w:t>第2种方式：采用造价信息进行价格调整。</w:t>
      </w:r>
    </w:p>
    <w:p w14:paraId="40CA9190">
      <w:pPr>
        <w:spacing w:line="360" w:lineRule="exact"/>
        <w:ind w:firstLine="420" w:firstLineChars="200"/>
        <w:rPr>
          <w:rFonts w:ascii="宋体" w:hAnsi="宋体" w:cs="宋体"/>
          <w:color w:val="auto"/>
          <w:szCs w:val="21"/>
        </w:rPr>
      </w:pPr>
      <w:r>
        <w:rPr>
          <w:rFonts w:hint="eastAsia" w:ascii="宋体" w:hAnsi="宋体" w:cs="宋体"/>
          <w:color w:val="auto"/>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285E389">
      <w:pPr>
        <w:spacing w:line="360" w:lineRule="exact"/>
        <w:ind w:firstLine="420" w:firstLineChars="200"/>
        <w:rPr>
          <w:rFonts w:ascii="宋体" w:hAnsi="宋体" w:cs="宋体"/>
          <w:color w:val="auto"/>
          <w:szCs w:val="21"/>
        </w:rPr>
      </w:pPr>
      <w:r>
        <w:rPr>
          <w:rFonts w:hint="eastAsia" w:ascii="宋体" w:hAnsi="宋体" w:cs="宋体"/>
          <w:color w:val="auto"/>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1ED2C33">
      <w:pPr>
        <w:spacing w:line="360" w:lineRule="exact"/>
        <w:ind w:firstLine="420" w:firstLineChars="200"/>
        <w:rPr>
          <w:rFonts w:ascii="宋体" w:hAnsi="宋体" w:cs="宋体"/>
          <w:color w:val="auto"/>
          <w:szCs w:val="21"/>
        </w:rPr>
      </w:pPr>
      <w:r>
        <w:rPr>
          <w:rFonts w:hint="eastAsia" w:ascii="宋体" w:hAnsi="宋体" w:cs="宋体"/>
          <w:color w:val="auto"/>
          <w:szCs w:val="21"/>
        </w:rPr>
        <w:t>（2）材料、工程设备价格变化的价款调整按照发包人提供的基准价格，按以下风险范围规定执行:</w:t>
      </w:r>
    </w:p>
    <w:p w14:paraId="4253FB02">
      <w:pPr>
        <w:spacing w:line="360" w:lineRule="exact"/>
        <w:ind w:firstLine="420" w:firstLineChars="200"/>
        <w:rPr>
          <w:rFonts w:ascii="宋体" w:hAnsi="宋体" w:cs="宋体"/>
          <w:color w:val="auto"/>
          <w:szCs w:val="21"/>
        </w:rPr>
      </w:pPr>
      <w:r>
        <w:rPr>
          <w:rFonts w:hint="eastAsia" w:ascii="宋体" w:hAnsi="宋体" w:cs="宋体"/>
          <w:color w:val="auto"/>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3C53583D">
      <w:pPr>
        <w:spacing w:line="360" w:lineRule="exact"/>
        <w:ind w:firstLine="420" w:firstLineChars="200"/>
        <w:rPr>
          <w:rFonts w:ascii="宋体" w:hAnsi="宋体" w:cs="宋体"/>
          <w:color w:val="auto"/>
          <w:szCs w:val="21"/>
        </w:rPr>
      </w:pPr>
      <w:r>
        <w:rPr>
          <w:rFonts w:hint="eastAsia" w:ascii="宋体" w:hAnsi="宋体" w:cs="宋体"/>
          <w:color w:val="auto"/>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2CFEF72">
      <w:pPr>
        <w:spacing w:line="360" w:lineRule="exact"/>
        <w:ind w:firstLine="420" w:firstLineChars="200"/>
        <w:rPr>
          <w:rFonts w:ascii="宋体" w:hAnsi="宋体" w:cs="宋体"/>
          <w:color w:val="auto"/>
          <w:szCs w:val="21"/>
        </w:rPr>
      </w:pPr>
      <w:r>
        <w:rPr>
          <w:rFonts w:hint="eastAsia" w:ascii="宋体" w:hAnsi="宋体" w:cs="宋体"/>
          <w:color w:val="auto"/>
          <w:szCs w:val="21"/>
        </w:rPr>
        <w:t>③承包人在已标价工程量清单或预算书中载明材料单价等于基准价格的：除专用合同条款另有约定外，合同履行期间材料单价涨跌幅以基准价格为基础超过±5%时，其超过部分据实调整。</w:t>
      </w:r>
    </w:p>
    <w:p w14:paraId="3FEC665B">
      <w:pPr>
        <w:spacing w:line="360" w:lineRule="exact"/>
        <w:ind w:firstLine="420" w:firstLineChars="200"/>
        <w:rPr>
          <w:rFonts w:ascii="宋体" w:hAnsi="宋体" w:cs="宋体"/>
          <w:color w:val="auto"/>
          <w:szCs w:val="21"/>
        </w:rPr>
      </w:pPr>
      <w:r>
        <w:rPr>
          <w:rFonts w:hint="eastAsia" w:ascii="宋体" w:hAnsi="宋体" w:cs="宋体"/>
          <w:color w:val="auto"/>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B158E56">
      <w:pPr>
        <w:spacing w:line="360" w:lineRule="exact"/>
        <w:ind w:firstLine="420" w:firstLineChars="200"/>
        <w:rPr>
          <w:rFonts w:ascii="宋体" w:hAnsi="宋体" w:cs="宋体"/>
          <w:color w:val="auto"/>
          <w:szCs w:val="21"/>
        </w:rPr>
      </w:pPr>
      <w:bookmarkStart w:id="298" w:name="OLE_LINK3"/>
      <w:r>
        <w:rPr>
          <w:rFonts w:hint="eastAsia" w:ascii="宋体" w:hAnsi="宋体" w:cs="宋体"/>
          <w:color w:val="auto"/>
          <w:szCs w:val="21"/>
        </w:rPr>
        <w:t>前述基准价格是指由发包人在招标文件或专用合同条款中给定的材料、工程设备的价格，该价格原则上应当按照省级或行业建设主管部门或其授权的工程造价管理机构发布的信息价编制。</w:t>
      </w:r>
    </w:p>
    <w:p w14:paraId="7DFB9FB2">
      <w:pPr>
        <w:spacing w:line="360" w:lineRule="exact"/>
        <w:ind w:firstLine="420" w:firstLineChars="200"/>
        <w:rPr>
          <w:rFonts w:ascii="宋体" w:hAnsi="宋体" w:cs="宋体"/>
          <w:color w:val="auto"/>
          <w:szCs w:val="21"/>
        </w:rPr>
      </w:pPr>
      <w:r>
        <w:rPr>
          <w:rFonts w:hint="eastAsia" w:ascii="宋体" w:hAnsi="宋体" w:cs="宋体"/>
          <w:color w:val="auto"/>
          <w:szCs w:val="21"/>
        </w:rPr>
        <w:t>（3）施工机械台班单价或施工机械使用费发生变化超过省级或行业建设主管部门或其授权的工程造价管理机构规定的范围时，按规定调整合同价格。</w:t>
      </w:r>
    </w:p>
    <w:p w14:paraId="2D74BE08">
      <w:pPr>
        <w:spacing w:line="360" w:lineRule="exact"/>
        <w:ind w:firstLine="420" w:firstLineChars="200"/>
        <w:rPr>
          <w:rFonts w:ascii="宋体" w:hAnsi="宋体" w:cs="宋体"/>
          <w:color w:val="auto"/>
          <w:szCs w:val="21"/>
        </w:rPr>
      </w:pPr>
      <w:r>
        <w:rPr>
          <w:rFonts w:hint="eastAsia" w:ascii="宋体" w:hAnsi="宋体" w:cs="宋体"/>
          <w:color w:val="auto"/>
          <w:szCs w:val="21"/>
        </w:rPr>
        <w:t>第3种方式：专用合同条款约定的其他方式。</w:t>
      </w:r>
    </w:p>
    <w:p w14:paraId="06BA949E">
      <w:pPr>
        <w:pStyle w:val="6"/>
        <w:spacing w:before="120" w:after="120" w:line="360" w:lineRule="exact"/>
        <w:ind w:firstLine="422" w:firstLineChars="200"/>
        <w:rPr>
          <w:rFonts w:ascii="宋体" w:hAnsi="宋体" w:cs="宋体"/>
          <w:b w:val="0"/>
          <w:color w:val="auto"/>
          <w:sz w:val="21"/>
          <w:szCs w:val="21"/>
        </w:rPr>
      </w:pPr>
      <w:bookmarkStart w:id="299" w:name="_Toc351203579"/>
      <w:bookmarkStart w:id="300" w:name="_Toc296503093"/>
      <w:bookmarkStart w:id="301" w:name="_Toc337558798"/>
      <w:bookmarkStart w:id="302" w:name="_Toc296346594"/>
      <w:r>
        <w:rPr>
          <w:rFonts w:hint="eastAsia" w:ascii="宋体" w:hAnsi="宋体" w:cs="宋体"/>
          <w:color w:val="auto"/>
          <w:sz w:val="21"/>
          <w:szCs w:val="21"/>
        </w:rPr>
        <w:t>11.2法律变化引起的调整</w:t>
      </w:r>
      <w:bookmarkEnd w:id="299"/>
    </w:p>
    <w:bookmarkEnd w:id="300"/>
    <w:bookmarkEnd w:id="301"/>
    <w:bookmarkEnd w:id="302"/>
    <w:p w14:paraId="099D64EA">
      <w:pPr>
        <w:spacing w:line="360" w:lineRule="exact"/>
        <w:ind w:firstLine="420" w:firstLineChars="200"/>
        <w:rPr>
          <w:rFonts w:ascii="宋体" w:hAnsi="宋体" w:cs="宋体"/>
          <w:color w:val="auto"/>
          <w:szCs w:val="21"/>
        </w:rPr>
      </w:pPr>
      <w:r>
        <w:rPr>
          <w:rFonts w:hint="eastAsia" w:ascii="宋体" w:hAnsi="宋体" w:cs="宋体"/>
          <w:color w:val="auto"/>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29B0BDE">
      <w:pPr>
        <w:spacing w:line="360" w:lineRule="exact"/>
        <w:ind w:firstLine="420" w:firstLineChars="200"/>
        <w:rPr>
          <w:rFonts w:ascii="宋体" w:hAnsi="宋体" w:cs="宋体"/>
          <w:color w:val="auto"/>
          <w:szCs w:val="21"/>
        </w:rPr>
      </w:pPr>
      <w:r>
        <w:rPr>
          <w:rFonts w:hint="eastAsia" w:ascii="宋体" w:hAnsi="宋体" w:cs="宋体"/>
          <w:color w:val="auto"/>
          <w:szCs w:val="21"/>
        </w:rPr>
        <w:t>因法律变化引起的合同价格和工期调整，合同当事人无法达成一致的，由总监理工程师按第4.4款〔商定或确定〕的约定处理。</w:t>
      </w:r>
    </w:p>
    <w:p w14:paraId="1527AE06">
      <w:pPr>
        <w:spacing w:line="360" w:lineRule="exact"/>
        <w:ind w:firstLine="420" w:firstLineChars="200"/>
        <w:rPr>
          <w:rFonts w:ascii="宋体" w:hAnsi="宋体" w:cs="宋体"/>
          <w:color w:val="auto"/>
          <w:szCs w:val="21"/>
        </w:rPr>
      </w:pPr>
      <w:r>
        <w:rPr>
          <w:rFonts w:hint="eastAsia" w:ascii="宋体" w:hAnsi="宋体" w:cs="宋体"/>
          <w:color w:val="auto"/>
          <w:kern w:val="0"/>
          <w:szCs w:val="21"/>
        </w:rPr>
        <w:t>因承包人原因造成工期延误，在工期延误期间出现法律变化的，由此增加的费用和（或）延误的工期由承包人承担。</w:t>
      </w:r>
    </w:p>
    <w:p w14:paraId="285F5D9A">
      <w:pPr>
        <w:pStyle w:val="5"/>
        <w:spacing w:before="120" w:after="120" w:line="360" w:lineRule="exact"/>
        <w:rPr>
          <w:rFonts w:ascii="宋体" w:hAnsi="宋体" w:cs="宋体"/>
          <w:bCs w:val="0"/>
          <w:color w:val="auto"/>
          <w:sz w:val="21"/>
          <w:szCs w:val="21"/>
        </w:rPr>
      </w:pPr>
      <w:bookmarkStart w:id="303" w:name="_Toc351203580"/>
      <w:bookmarkStart w:id="304" w:name="_Toc337558799"/>
      <w:bookmarkStart w:id="305" w:name="_Toc296503096"/>
      <w:bookmarkStart w:id="306" w:name="_Toc296346597"/>
      <w:r>
        <w:rPr>
          <w:rFonts w:hint="eastAsia" w:ascii="宋体" w:hAnsi="宋体" w:cs="宋体"/>
          <w:bCs w:val="0"/>
          <w:color w:val="auto"/>
          <w:sz w:val="21"/>
          <w:szCs w:val="21"/>
        </w:rPr>
        <w:t>12. 合同价格、计量与支付</w:t>
      </w:r>
      <w:bookmarkEnd w:id="303"/>
    </w:p>
    <w:bookmarkEnd w:id="304"/>
    <w:p w14:paraId="00F3AC80">
      <w:pPr>
        <w:pStyle w:val="6"/>
        <w:spacing w:before="120" w:after="120" w:line="360" w:lineRule="exact"/>
        <w:ind w:firstLine="422" w:firstLineChars="200"/>
        <w:rPr>
          <w:rFonts w:ascii="宋体" w:hAnsi="宋体" w:cs="宋体"/>
          <w:color w:val="auto"/>
          <w:sz w:val="21"/>
          <w:szCs w:val="21"/>
        </w:rPr>
      </w:pPr>
      <w:bookmarkStart w:id="307" w:name="_Toc351203581"/>
      <w:bookmarkStart w:id="308" w:name="_Toc337558800"/>
      <w:r>
        <w:rPr>
          <w:rFonts w:hint="eastAsia" w:ascii="宋体" w:hAnsi="宋体" w:cs="宋体"/>
          <w:color w:val="auto"/>
          <w:sz w:val="21"/>
          <w:szCs w:val="21"/>
        </w:rPr>
        <w:t>12.1 合同价</w:t>
      </w:r>
      <w:bookmarkEnd w:id="305"/>
      <w:bookmarkEnd w:id="306"/>
      <w:r>
        <w:rPr>
          <w:rFonts w:hint="eastAsia" w:ascii="宋体" w:hAnsi="宋体" w:cs="宋体"/>
          <w:color w:val="auto"/>
          <w:sz w:val="21"/>
          <w:szCs w:val="21"/>
        </w:rPr>
        <w:t>格形式</w:t>
      </w:r>
      <w:bookmarkEnd w:id="307"/>
    </w:p>
    <w:bookmarkEnd w:id="308"/>
    <w:p w14:paraId="40501E0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发包人和承包人应在合同协议书中选择下列一种合同价格形式： </w:t>
      </w:r>
    </w:p>
    <w:p w14:paraId="08B9D86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1.单价合同</w:t>
      </w:r>
    </w:p>
    <w:p w14:paraId="457FED5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单价合同是指合同当事人约定以工程量清单及其综合单价进行合同价格计算、调整和确认的建设工程施工合同，</w:t>
      </w:r>
      <w:r>
        <w:rPr>
          <w:rFonts w:hint="eastAsia" w:ascii="宋体" w:hAnsi="宋体" w:cs="宋体"/>
          <w:color w:val="auto"/>
          <w:szCs w:val="21"/>
        </w:rPr>
        <w:t>在约定的范围内合同单价不作调整</w:t>
      </w:r>
      <w:r>
        <w:rPr>
          <w:rFonts w:hint="eastAsia" w:ascii="宋体" w:hAnsi="宋体" w:cs="宋体"/>
          <w:color w:val="auto"/>
          <w:kern w:val="0"/>
          <w:szCs w:val="21"/>
        </w:rPr>
        <w:t>。合同当事人应在专用合同条款中约定综合单价包含的风险范围和风险费用的计算方法</w:t>
      </w:r>
      <w:r>
        <w:rPr>
          <w:rFonts w:hint="eastAsia" w:ascii="宋体" w:hAnsi="宋体" w:cs="宋体"/>
          <w:color w:val="auto"/>
          <w:szCs w:val="21"/>
        </w:rPr>
        <w:t>，</w:t>
      </w:r>
      <w:r>
        <w:rPr>
          <w:rFonts w:hint="eastAsia" w:ascii="宋体" w:hAnsi="宋体" w:cs="宋体"/>
          <w:color w:val="auto"/>
          <w:kern w:val="0"/>
          <w:szCs w:val="21"/>
        </w:rPr>
        <w:t>并约定风险范围以外的合同价格的调整方法，其中因市场价格波动引起的调整按第11.1款〔市场价格波动引起的调整〕约定执行。</w:t>
      </w:r>
    </w:p>
    <w:p w14:paraId="753155F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2.总价合同</w:t>
      </w:r>
    </w:p>
    <w:p w14:paraId="4126098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总价合同是指合同当事人约定以施工图、已标价工程量清单或预算书及有关条件进行合同价格计算、调整和确认的建设工程施工合同，</w:t>
      </w:r>
      <w:r>
        <w:rPr>
          <w:rFonts w:hint="eastAsia" w:ascii="宋体" w:hAnsi="宋体" w:cs="宋体"/>
          <w:color w:val="auto"/>
          <w:szCs w:val="21"/>
        </w:rPr>
        <w:t>在约定的范围内合同总价不作调整</w:t>
      </w:r>
      <w:r>
        <w:rPr>
          <w:rFonts w:hint="eastAsia" w:ascii="宋体" w:hAnsi="宋体" w:cs="宋体"/>
          <w:color w:val="auto"/>
          <w:kern w:val="0"/>
          <w:szCs w:val="21"/>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87E2D6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3.其它价格形式</w:t>
      </w:r>
    </w:p>
    <w:p w14:paraId="11E32B4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合同当事人可在专用合同条款中约定其他合同价格形式。</w:t>
      </w:r>
    </w:p>
    <w:p w14:paraId="57853389">
      <w:pPr>
        <w:pStyle w:val="6"/>
        <w:spacing w:before="120" w:after="120" w:line="360" w:lineRule="exact"/>
        <w:ind w:firstLine="422" w:firstLineChars="200"/>
        <w:rPr>
          <w:rFonts w:ascii="宋体" w:hAnsi="宋体" w:cs="宋体"/>
          <w:color w:val="auto"/>
          <w:sz w:val="21"/>
          <w:szCs w:val="21"/>
        </w:rPr>
      </w:pPr>
      <w:bookmarkStart w:id="309" w:name="_Toc296503097"/>
      <w:bookmarkStart w:id="310" w:name="_Toc296346598"/>
      <w:bookmarkStart w:id="311" w:name="_Toc351203582"/>
      <w:bookmarkStart w:id="312" w:name="_Toc337558801"/>
      <w:r>
        <w:rPr>
          <w:rFonts w:hint="eastAsia" w:ascii="宋体" w:hAnsi="宋体" w:cs="宋体"/>
          <w:color w:val="auto"/>
          <w:sz w:val="21"/>
          <w:szCs w:val="21"/>
        </w:rPr>
        <w:t>12.2预</w:t>
      </w:r>
      <w:bookmarkEnd w:id="309"/>
      <w:bookmarkEnd w:id="310"/>
      <w:bookmarkStart w:id="313" w:name="_Toc296346601"/>
      <w:bookmarkStart w:id="314" w:name="_Toc296503100"/>
      <w:r>
        <w:rPr>
          <w:rFonts w:hint="eastAsia" w:ascii="宋体" w:hAnsi="宋体" w:cs="宋体"/>
          <w:color w:val="auto"/>
          <w:sz w:val="21"/>
          <w:szCs w:val="21"/>
        </w:rPr>
        <w:t>付款</w:t>
      </w:r>
      <w:bookmarkEnd w:id="311"/>
    </w:p>
    <w:bookmarkEnd w:id="312"/>
    <w:bookmarkEnd w:id="313"/>
    <w:bookmarkEnd w:id="314"/>
    <w:p w14:paraId="3B2F6C29">
      <w:pPr>
        <w:spacing w:line="360" w:lineRule="exact"/>
        <w:ind w:firstLine="420" w:firstLineChars="200"/>
        <w:jc w:val="left"/>
        <w:rPr>
          <w:rFonts w:ascii="宋体" w:hAnsi="宋体" w:cs="宋体"/>
          <w:color w:val="auto"/>
          <w:kern w:val="0"/>
          <w:szCs w:val="21"/>
        </w:rPr>
      </w:pPr>
      <w:r>
        <w:rPr>
          <w:rFonts w:hint="eastAsia" w:ascii="宋体" w:hAnsi="宋体" w:cs="宋体"/>
          <w:color w:val="auto"/>
          <w:szCs w:val="21"/>
        </w:rPr>
        <w:t>12.2.</w:t>
      </w:r>
      <w:r>
        <w:rPr>
          <w:rFonts w:hint="eastAsia" w:ascii="宋体" w:hAnsi="宋体" w:cs="宋体"/>
          <w:color w:val="auto"/>
          <w:kern w:val="0"/>
          <w:szCs w:val="21"/>
        </w:rPr>
        <w:t>1预付款的支付</w:t>
      </w:r>
    </w:p>
    <w:p w14:paraId="4950D1B6">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预付款的支付按照专用合同条款约定执行，但至迟应在开工通知载明的开工日期7天前支付。预付款应当用于材料、工程设备、施工设备的采购及修建临时工程、组织施工队伍进场等。</w:t>
      </w:r>
    </w:p>
    <w:p w14:paraId="11D9F80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除专用合同条款另有约定外，预付款在进度付款中同比例扣回。</w:t>
      </w:r>
      <w:bookmarkEnd w:id="298"/>
      <w:r>
        <w:rPr>
          <w:rFonts w:hint="eastAsia" w:ascii="宋体" w:hAnsi="宋体" w:cs="宋体"/>
          <w:color w:val="auto"/>
          <w:kern w:val="0"/>
          <w:szCs w:val="21"/>
        </w:rPr>
        <w:t>在颁发工程接收证书前，提前解除合同的，尚未扣完的预付款应与合同价款一并结算。</w:t>
      </w:r>
    </w:p>
    <w:p w14:paraId="7E0DBCE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发包人逾期支付预付款超过7天的，承包人有权向发包人发出要求预付的催告通知，发包人收到通知后7天内仍未支付的，承包人有权暂停施工，并按第16.1.1项〔发包人违约的情形〕执行。</w:t>
      </w:r>
    </w:p>
    <w:p w14:paraId="42247188">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12.2.2 预付款担保</w:t>
      </w:r>
    </w:p>
    <w:p w14:paraId="280B50E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0252CD0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发包人在工程款中逐期扣回预付款后，预付款担保额度应相应减少，但剩余的预付款担保金额不得低于未被扣回的预付款金额。</w:t>
      </w:r>
    </w:p>
    <w:p w14:paraId="594FDAE0">
      <w:pPr>
        <w:pStyle w:val="6"/>
        <w:spacing w:before="120" w:after="120" w:line="360" w:lineRule="exact"/>
        <w:ind w:firstLine="422" w:firstLineChars="200"/>
        <w:rPr>
          <w:rFonts w:ascii="宋体" w:hAnsi="宋体" w:cs="宋体"/>
          <w:color w:val="auto"/>
          <w:sz w:val="21"/>
          <w:szCs w:val="21"/>
        </w:rPr>
      </w:pPr>
      <w:bookmarkStart w:id="315" w:name="_Toc351203583"/>
      <w:bookmarkStart w:id="316" w:name="_Toc337558802"/>
      <w:r>
        <w:rPr>
          <w:rFonts w:hint="eastAsia" w:ascii="宋体" w:hAnsi="宋体" w:cs="宋体"/>
          <w:color w:val="auto"/>
          <w:sz w:val="21"/>
          <w:szCs w:val="21"/>
        </w:rPr>
        <w:t>12.3计量</w:t>
      </w:r>
      <w:bookmarkEnd w:id="315"/>
    </w:p>
    <w:bookmarkEnd w:id="316"/>
    <w:p w14:paraId="3711EA8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12.3.1 计量原则</w:t>
      </w:r>
    </w:p>
    <w:p w14:paraId="1021B99D">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工程量计量按照合同约定的工程量计算规则、图纸及变更指示等进行计量。工程量计算规则应以相关的国家标准、行业标准等为依据，由合同当事人在专用合同条款中约定。</w:t>
      </w:r>
    </w:p>
    <w:p w14:paraId="6A58821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12.3.2 计量周期</w:t>
      </w:r>
    </w:p>
    <w:p w14:paraId="0790C4E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除专用合同条款另有约定外，工程量的计量按月进行。</w:t>
      </w:r>
    </w:p>
    <w:p w14:paraId="40EE26E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12.3.3 单价合同的计量</w:t>
      </w:r>
    </w:p>
    <w:p w14:paraId="4315F37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除专用合同条款另有约定外，单价合同的计量按照本项约定执行：</w:t>
      </w:r>
    </w:p>
    <w:p w14:paraId="37DE362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（1）承包人应于每月25日向监理人报送上月20日至当月19日已完成的工程量报告，并附具进度付款申请单、已完成工程量报表和有关资料。</w:t>
      </w:r>
    </w:p>
    <w:p w14:paraId="0B95120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5205CD6">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（3）监理人未在收到承包人提交的工程量报表后的7天内完成审核的，承包人报送的工程量报告中的工程量视为承包人实际完成的工程量，据此计算工程价款。</w:t>
      </w:r>
    </w:p>
    <w:p w14:paraId="15E3F55A">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12.3.4 总价合同的计量</w:t>
      </w:r>
    </w:p>
    <w:p w14:paraId="3DFB8BE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除专用合同条款另有约定外，按月计量支付的总价合同，按照本项约定执行：</w:t>
      </w:r>
    </w:p>
    <w:p w14:paraId="5AD3AD34">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（1）承包人应于每月25日向监理人报送上月20日至当月19日已完成的工程量报告，并附具进度付款申请单、已完成工程量报表和有关资料。</w:t>
      </w:r>
    </w:p>
    <w:p w14:paraId="56BFDB5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84EC1C4">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（3）监理人未在收到承包人提交的工程量报表后的7天内完成复核的，承包人提交的工程量报告中的工程量视为承包人实际完成的工程量。</w:t>
      </w:r>
    </w:p>
    <w:p w14:paraId="629BD5A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12.3.5 总价合同采用支付分解表计量支付的，可以按照第12.3.4项〔总价合同的计量〕约定进行计量，但合同价款按照支付分解表进行支付。</w:t>
      </w:r>
    </w:p>
    <w:p w14:paraId="22AF5F8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12.3.6 其他价格形式合同的计量</w:t>
      </w:r>
    </w:p>
    <w:p w14:paraId="0E61A95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合同当事人可在专用合同条款中约定其他价格形式合同的计量方式和程序。</w:t>
      </w:r>
    </w:p>
    <w:p w14:paraId="14578CA7">
      <w:pPr>
        <w:pStyle w:val="6"/>
        <w:spacing w:before="120" w:after="120" w:line="360" w:lineRule="exact"/>
        <w:ind w:firstLine="422" w:firstLineChars="200"/>
        <w:rPr>
          <w:rFonts w:ascii="宋体" w:hAnsi="宋体" w:cs="宋体"/>
          <w:b w:val="0"/>
          <w:color w:val="auto"/>
          <w:sz w:val="21"/>
          <w:szCs w:val="21"/>
        </w:rPr>
      </w:pPr>
      <w:bookmarkStart w:id="317" w:name="_Toc296503101"/>
      <w:bookmarkStart w:id="318" w:name="_Toc296346602"/>
      <w:bookmarkStart w:id="319" w:name="_Toc351203584"/>
      <w:bookmarkStart w:id="320" w:name="_Toc337558803"/>
      <w:r>
        <w:rPr>
          <w:rFonts w:hint="eastAsia" w:ascii="宋体" w:hAnsi="宋体" w:cs="宋体"/>
          <w:color w:val="auto"/>
          <w:sz w:val="21"/>
          <w:szCs w:val="21"/>
        </w:rPr>
        <w:t>12.4工程进度款支</w:t>
      </w:r>
      <w:bookmarkEnd w:id="317"/>
      <w:bookmarkEnd w:id="318"/>
      <w:r>
        <w:rPr>
          <w:rFonts w:hint="eastAsia" w:ascii="宋体" w:hAnsi="宋体" w:cs="宋体"/>
          <w:color w:val="auto"/>
          <w:sz w:val="21"/>
          <w:szCs w:val="21"/>
        </w:rPr>
        <w:t>付</w:t>
      </w:r>
      <w:bookmarkEnd w:id="319"/>
    </w:p>
    <w:bookmarkEnd w:id="320"/>
    <w:p w14:paraId="02AA2BB1">
      <w:pPr>
        <w:autoSpaceDE w:val="0"/>
        <w:autoSpaceDN w:val="0"/>
        <w:adjustRightInd w:val="0"/>
        <w:spacing w:line="360" w:lineRule="exact"/>
        <w:ind w:firstLine="420" w:firstLineChars="200"/>
        <w:jc w:val="left"/>
        <w:outlineLvl w:val="0"/>
        <w:rPr>
          <w:rFonts w:ascii="宋体" w:hAnsi="宋体" w:cs="宋体"/>
          <w:color w:val="auto"/>
          <w:kern w:val="0"/>
          <w:szCs w:val="21"/>
        </w:rPr>
      </w:pPr>
      <w:bookmarkStart w:id="321" w:name="_Toc23254"/>
      <w:bookmarkStart w:id="322" w:name="_Toc20774"/>
      <w:bookmarkStart w:id="323" w:name="_Toc1259"/>
      <w:bookmarkStart w:id="324" w:name="_Toc10241"/>
      <w:r>
        <w:rPr>
          <w:rFonts w:hint="eastAsia" w:ascii="宋体" w:hAnsi="宋体" w:cs="宋体"/>
          <w:color w:val="auto"/>
          <w:szCs w:val="21"/>
        </w:rPr>
        <w:t>12.4</w:t>
      </w:r>
      <w:r>
        <w:rPr>
          <w:rFonts w:hint="eastAsia" w:ascii="宋体" w:hAnsi="宋体" w:cs="宋体"/>
          <w:color w:val="auto"/>
          <w:kern w:val="0"/>
          <w:szCs w:val="21"/>
        </w:rPr>
        <w:t>.1 付款周期</w:t>
      </w:r>
      <w:bookmarkEnd w:id="321"/>
      <w:bookmarkEnd w:id="322"/>
      <w:bookmarkEnd w:id="323"/>
      <w:bookmarkEnd w:id="324"/>
    </w:p>
    <w:p w14:paraId="5BD4FFD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除专用合同条款另有约定外，付款周期应按照第12.3.2项〔计量周期〕的约定与计量周期保持一致。</w:t>
      </w:r>
    </w:p>
    <w:p w14:paraId="7693E2C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szCs w:val="21"/>
        </w:rPr>
        <w:t>12.4</w:t>
      </w:r>
      <w:r>
        <w:rPr>
          <w:rFonts w:hint="eastAsia" w:ascii="宋体" w:hAnsi="宋体" w:cs="宋体"/>
          <w:color w:val="auto"/>
          <w:kern w:val="0"/>
          <w:szCs w:val="21"/>
        </w:rPr>
        <w:t>.2 进度付款申请单的编制</w:t>
      </w:r>
    </w:p>
    <w:p w14:paraId="2A76C24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除专用合同条款另有约定外，进度付款申请单应包括下列内容：</w:t>
      </w:r>
    </w:p>
    <w:p w14:paraId="17830B4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（1）截至本次付款周期已完成工作对应的金额；</w:t>
      </w:r>
    </w:p>
    <w:p w14:paraId="7DFFBF1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（2）根据第10条〔变更〕应增加和扣减的变更金额；</w:t>
      </w:r>
    </w:p>
    <w:p w14:paraId="4EB4E5D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（3）根据第12.2款〔预付款〕约定应支付的预付款和扣减的返还预付款；</w:t>
      </w:r>
    </w:p>
    <w:p w14:paraId="4F9DEF8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（4）根据第15.3款〔质量保证金〕约定应扣减的质量保证金；</w:t>
      </w:r>
    </w:p>
    <w:p w14:paraId="00C7895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（5）根据第19条〔索赔〕应增加和扣减的索赔金额；</w:t>
      </w:r>
    </w:p>
    <w:p w14:paraId="38AE8DE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（6）对已签发的进度款支付证书中出现错误的修正，应在本次进度付款中支付或扣除的金额；</w:t>
      </w:r>
    </w:p>
    <w:p w14:paraId="5AF97CB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（7）根据合同约定应增加和扣减的其他金额。</w:t>
      </w:r>
    </w:p>
    <w:p w14:paraId="4AED29DB">
      <w:pPr>
        <w:autoSpaceDE w:val="0"/>
        <w:autoSpaceDN w:val="0"/>
        <w:adjustRightInd w:val="0"/>
        <w:spacing w:line="360" w:lineRule="exact"/>
        <w:ind w:firstLine="420" w:firstLineChars="200"/>
        <w:jc w:val="left"/>
        <w:outlineLvl w:val="0"/>
        <w:rPr>
          <w:rFonts w:ascii="宋体" w:hAnsi="宋体" w:cs="宋体"/>
          <w:color w:val="auto"/>
          <w:kern w:val="0"/>
          <w:szCs w:val="21"/>
        </w:rPr>
      </w:pPr>
      <w:bookmarkStart w:id="325" w:name="_Toc11601"/>
      <w:bookmarkStart w:id="326" w:name="_Toc7643"/>
      <w:bookmarkStart w:id="327" w:name="_Toc28855"/>
      <w:bookmarkStart w:id="328" w:name="_Toc19652"/>
      <w:r>
        <w:rPr>
          <w:rFonts w:hint="eastAsia" w:ascii="宋体" w:hAnsi="宋体" w:cs="宋体"/>
          <w:color w:val="auto"/>
          <w:kern w:val="0"/>
          <w:szCs w:val="21"/>
        </w:rPr>
        <w:t>12.4.3 进度付款申请单的提交</w:t>
      </w:r>
      <w:bookmarkEnd w:id="325"/>
      <w:bookmarkEnd w:id="326"/>
      <w:bookmarkEnd w:id="327"/>
      <w:bookmarkEnd w:id="328"/>
    </w:p>
    <w:p w14:paraId="2243383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（1）单价合同进度付款申请单的提交</w:t>
      </w:r>
    </w:p>
    <w:p w14:paraId="2C414E8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8E8406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（2）总价合同进度付款申请单的提交</w:t>
      </w:r>
    </w:p>
    <w:p w14:paraId="033A758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总价合同按月计量支付的，承包人按照第12.3.4项〔总价合同的计量〕约定的时间按月向监理人提交进度付款申请单，并附上已完成工程量报表和有关资料。</w:t>
      </w:r>
    </w:p>
    <w:p w14:paraId="4D7DE13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总价合同按支付分解表支付的，承包人应按照第12.4.6项〔支付分解表〕及第12.4.2项〔进度付款申请单的编制〕的约定向监理人提交进度付款申请单。</w:t>
      </w:r>
    </w:p>
    <w:p w14:paraId="5A3DB67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（3）其他价格形式合同的进度付款申请单的提交</w:t>
      </w:r>
    </w:p>
    <w:p w14:paraId="34793B2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合同当事人可在专用合同条款中约定其他价格形式合同的进度付款申请单的编制和提交程序。</w:t>
      </w:r>
    </w:p>
    <w:p w14:paraId="01171D1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szCs w:val="21"/>
        </w:rPr>
        <w:t>12.4</w:t>
      </w:r>
      <w:r>
        <w:rPr>
          <w:rFonts w:hint="eastAsia" w:ascii="宋体" w:hAnsi="宋体" w:cs="宋体"/>
          <w:color w:val="auto"/>
          <w:kern w:val="0"/>
          <w:szCs w:val="21"/>
        </w:rPr>
        <w:t>.4 进度款审核和支付</w:t>
      </w:r>
    </w:p>
    <w:p w14:paraId="172E006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AD614C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7D87FE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609D99A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（3）发包人签发进度款支付证书或临时进度款支付证书，不表明发包人已同意、批准或接受了承包人完成的相应部分的工作。</w:t>
      </w:r>
    </w:p>
    <w:p w14:paraId="74E5FFB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12.4.5 进度付款的修正</w:t>
      </w:r>
    </w:p>
    <w:p w14:paraId="470FC17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004DE55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12.4.6 支付分解表</w:t>
      </w:r>
    </w:p>
    <w:p w14:paraId="1C41CD4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1.支付分解表的编制要求</w:t>
      </w:r>
    </w:p>
    <w:p w14:paraId="590FDD7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（1）支付分解表中所列的每期付款金额，应为第12.4.2项〔进度付款申请单的编制〕第（1）目的估算金额；</w:t>
      </w:r>
    </w:p>
    <w:p w14:paraId="1AC4FFD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（2）实际进度与施工进度计划不一致的，合同当事人可按照第4.4款〔商定或确定〕修改支付分解表；</w:t>
      </w:r>
    </w:p>
    <w:p w14:paraId="379FF6B5">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（3）不采用支付分解表的，承包人应向发包人和监理人提交按季度编制的支付估算分解表，用于支付参考。</w:t>
      </w:r>
    </w:p>
    <w:p w14:paraId="0A559B8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2.总价合同支付分解表的编制与审批</w:t>
      </w:r>
    </w:p>
    <w:p w14:paraId="700606C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E0B7EE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（2）监理人应在收到支付分解表后7天内完成审核并报送发包人。发包人应在收到经监理人审核的支付分解表后7天内完成审批，经发包人批准的支付分解表为有约束力的支付分解表。</w:t>
      </w:r>
    </w:p>
    <w:p w14:paraId="315E2CD9">
      <w:pPr>
        <w:spacing w:line="360" w:lineRule="exact"/>
        <w:jc w:val="left"/>
        <w:rPr>
          <w:rFonts w:ascii="宋体" w:hAnsi="宋体" w:cs="宋体"/>
          <w:color w:val="auto"/>
          <w:kern w:val="0"/>
          <w:szCs w:val="21"/>
        </w:rPr>
      </w:pPr>
      <w:r>
        <w:rPr>
          <w:rFonts w:hint="eastAsia" w:ascii="宋体" w:hAnsi="宋体" w:cs="宋体"/>
          <w:color w:val="auto"/>
          <w:kern w:val="0"/>
          <w:szCs w:val="21"/>
        </w:rPr>
        <w:t xml:space="preserve">    （3）发包人逾期未完成支付分解表审批的，也未及时要求承包人进行修正和提供补充资料的，则承包人提交的支付分解表视为已经获得发包人批准。</w:t>
      </w:r>
    </w:p>
    <w:p w14:paraId="50CC8804">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3.单价合同的总价项目支付分解表的编制与审批</w:t>
      </w:r>
    </w:p>
    <w:p w14:paraId="2040AC1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7C73720">
      <w:pPr>
        <w:pStyle w:val="6"/>
        <w:spacing w:before="120" w:after="120" w:line="360" w:lineRule="exact"/>
        <w:ind w:firstLine="422" w:firstLineChars="200"/>
        <w:rPr>
          <w:rFonts w:ascii="宋体" w:hAnsi="宋体" w:cs="宋体"/>
          <w:color w:val="auto"/>
          <w:sz w:val="21"/>
          <w:szCs w:val="21"/>
        </w:rPr>
      </w:pPr>
      <w:bookmarkStart w:id="329" w:name="_Toc351203585"/>
      <w:r>
        <w:rPr>
          <w:rFonts w:hint="eastAsia" w:ascii="宋体" w:hAnsi="宋体" w:cs="宋体"/>
          <w:color w:val="auto"/>
          <w:sz w:val="21"/>
          <w:szCs w:val="21"/>
        </w:rPr>
        <w:t>12.5支付账户</w:t>
      </w:r>
      <w:bookmarkEnd w:id="329"/>
    </w:p>
    <w:p w14:paraId="4B3354B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发包人应将合同价款支付至合同协议书中约定的承包人账户。</w:t>
      </w:r>
    </w:p>
    <w:p w14:paraId="6262A9F3">
      <w:pPr>
        <w:pStyle w:val="5"/>
        <w:spacing w:before="120" w:after="120" w:line="360" w:lineRule="exact"/>
        <w:rPr>
          <w:rFonts w:ascii="宋体" w:hAnsi="宋体" w:cs="宋体"/>
          <w:b w:val="0"/>
          <w:color w:val="auto"/>
          <w:sz w:val="21"/>
          <w:szCs w:val="21"/>
        </w:rPr>
      </w:pPr>
      <w:bookmarkStart w:id="330" w:name="_Toc351203586"/>
      <w:bookmarkStart w:id="331" w:name="_Toc296503106"/>
      <w:bookmarkStart w:id="332" w:name="_Toc322522574"/>
      <w:bookmarkStart w:id="333" w:name="_Toc337558804"/>
      <w:bookmarkStart w:id="334" w:name="_Toc296346607"/>
      <w:r>
        <w:rPr>
          <w:rFonts w:hint="eastAsia" w:ascii="宋体" w:hAnsi="宋体" w:cs="宋体"/>
          <w:bCs w:val="0"/>
          <w:color w:val="auto"/>
          <w:sz w:val="21"/>
          <w:szCs w:val="21"/>
        </w:rPr>
        <w:t>13. 验收和工程试车</w:t>
      </w:r>
      <w:bookmarkEnd w:id="330"/>
    </w:p>
    <w:bookmarkEnd w:id="331"/>
    <w:bookmarkEnd w:id="332"/>
    <w:bookmarkEnd w:id="333"/>
    <w:bookmarkEnd w:id="334"/>
    <w:p w14:paraId="492109A3">
      <w:pPr>
        <w:pStyle w:val="6"/>
        <w:spacing w:before="120" w:after="120" w:line="360" w:lineRule="exact"/>
        <w:ind w:firstLine="422" w:firstLineChars="200"/>
        <w:rPr>
          <w:rFonts w:ascii="宋体" w:hAnsi="宋体" w:cs="宋体"/>
          <w:b w:val="0"/>
          <w:color w:val="auto"/>
          <w:sz w:val="21"/>
          <w:szCs w:val="21"/>
        </w:rPr>
      </w:pPr>
      <w:bookmarkStart w:id="335" w:name="_Toc351203587"/>
      <w:bookmarkStart w:id="336" w:name="_Toc337558805"/>
      <w:bookmarkStart w:id="337" w:name="_Toc296346611"/>
      <w:bookmarkStart w:id="338" w:name="_Toc296503110"/>
      <w:r>
        <w:rPr>
          <w:rFonts w:hint="eastAsia" w:ascii="宋体" w:hAnsi="宋体" w:cs="宋体"/>
          <w:color w:val="auto"/>
          <w:sz w:val="21"/>
          <w:szCs w:val="21"/>
        </w:rPr>
        <w:t>13.1分部分项工程验收</w:t>
      </w:r>
      <w:bookmarkEnd w:id="335"/>
    </w:p>
    <w:bookmarkEnd w:id="336"/>
    <w:p w14:paraId="48579254">
      <w:pPr>
        <w:spacing w:line="360" w:lineRule="exact"/>
        <w:ind w:firstLine="420" w:firstLineChars="200"/>
        <w:rPr>
          <w:rFonts w:ascii="宋体" w:hAnsi="宋体" w:cs="宋体"/>
          <w:color w:val="auto"/>
          <w:szCs w:val="21"/>
        </w:rPr>
      </w:pPr>
      <w:r>
        <w:rPr>
          <w:rFonts w:hint="eastAsia" w:ascii="宋体" w:hAnsi="宋体" w:cs="宋体"/>
          <w:color w:val="auto"/>
          <w:szCs w:val="21"/>
        </w:rPr>
        <w:t>13.1.1 分部分项工程质量应符合国家有关工程施工验收规范、标准及合同约定，承包人应按照施工组织设计的要求完成分部分项工程施工。</w:t>
      </w:r>
    </w:p>
    <w:p w14:paraId="202B6E16">
      <w:pPr>
        <w:spacing w:line="360" w:lineRule="exact"/>
        <w:ind w:firstLine="420" w:firstLineChars="200"/>
        <w:rPr>
          <w:rFonts w:ascii="宋体" w:hAnsi="宋体" w:cs="宋体"/>
          <w:color w:val="auto"/>
          <w:szCs w:val="21"/>
        </w:rPr>
      </w:pPr>
      <w:r>
        <w:rPr>
          <w:rFonts w:hint="eastAsia" w:ascii="宋体" w:hAnsi="宋体" w:cs="宋体"/>
          <w:color w:val="auto"/>
          <w:szCs w:val="21"/>
        </w:rPr>
        <w:t>13.1.2 除专用合同条款另有约定外，分部分项工程经承包人自检合格并具备验收条件的，承包人应提前48小时通知监理人进行验收。</w:t>
      </w:r>
      <w:r>
        <w:rPr>
          <w:rFonts w:hint="eastAsia" w:ascii="宋体" w:hAnsi="宋体" w:cs="宋体"/>
          <w:color w:val="auto"/>
          <w:kern w:val="0"/>
          <w:szCs w:val="21"/>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auto"/>
          <w:szCs w:val="21"/>
        </w:rPr>
        <w:t>分部分项工程未经验收的，不得进入下一道工序施工。</w:t>
      </w:r>
    </w:p>
    <w:p w14:paraId="29DB0F24">
      <w:pPr>
        <w:spacing w:line="360" w:lineRule="exact"/>
        <w:ind w:firstLine="420" w:firstLineChars="200"/>
        <w:rPr>
          <w:rFonts w:ascii="宋体" w:hAnsi="宋体" w:cs="宋体"/>
          <w:color w:val="auto"/>
          <w:szCs w:val="21"/>
        </w:rPr>
      </w:pPr>
      <w:r>
        <w:rPr>
          <w:rFonts w:hint="eastAsia" w:ascii="宋体" w:hAnsi="宋体" w:cs="宋体"/>
          <w:color w:val="auto"/>
          <w:szCs w:val="21"/>
        </w:rPr>
        <w:t>分部分项工程的验收资料应当作为竣工资料的组成部分。</w:t>
      </w:r>
    </w:p>
    <w:p w14:paraId="5F8BF916">
      <w:pPr>
        <w:pStyle w:val="6"/>
        <w:spacing w:before="120" w:after="120" w:line="360" w:lineRule="exact"/>
        <w:ind w:firstLine="422" w:firstLineChars="200"/>
        <w:rPr>
          <w:rFonts w:ascii="宋体" w:hAnsi="宋体" w:cs="宋体"/>
          <w:color w:val="auto"/>
          <w:sz w:val="21"/>
          <w:szCs w:val="21"/>
        </w:rPr>
      </w:pPr>
      <w:bookmarkStart w:id="339" w:name="_Toc351203588"/>
      <w:bookmarkStart w:id="340" w:name="_Toc337558806"/>
      <w:r>
        <w:rPr>
          <w:rFonts w:hint="eastAsia" w:ascii="宋体" w:hAnsi="宋体" w:cs="宋体"/>
          <w:color w:val="auto"/>
          <w:sz w:val="21"/>
          <w:szCs w:val="21"/>
        </w:rPr>
        <w:t>13.2竣工验收</w:t>
      </w:r>
      <w:bookmarkEnd w:id="339"/>
    </w:p>
    <w:bookmarkEnd w:id="337"/>
    <w:bookmarkEnd w:id="338"/>
    <w:bookmarkEnd w:id="340"/>
    <w:p w14:paraId="238F8E54">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13.2.1竣工验收条件</w:t>
      </w:r>
    </w:p>
    <w:p w14:paraId="358002C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工程具备以下条件的，承包人可以申请竣工验收：</w:t>
      </w:r>
    </w:p>
    <w:p w14:paraId="3840DFA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（1）除发包人同意的甩项工作和缺陷修补工作外，合同范围内的全部工程以及有关工作，包括合同要求的试验、试运行以及检验均已完成，并符合合同要求；</w:t>
      </w:r>
    </w:p>
    <w:p w14:paraId="17EB3C7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（2）已按合同约定编制了甩项工作和缺陷修补工作清单以及相应的施工计划；</w:t>
      </w:r>
    </w:p>
    <w:p w14:paraId="4B1ED27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（3）已按合同约定的内容和份数备齐竣工资料。</w:t>
      </w:r>
    </w:p>
    <w:p w14:paraId="3781D8B6">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13.2.2竣工验收程序</w:t>
      </w:r>
    </w:p>
    <w:p w14:paraId="30234D4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除专用合同条款另有约定外，承包人申请竣工验收的，应当按照以下程序进行：</w:t>
      </w:r>
    </w:p>
    <w:p w14:paraId="50F4A67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380BD53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3032126F">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（3）竣工验收合格的，发包人应在验收合格后14天内向承包人签发工程接收证书。发包人无正当理由逾期不颁发工程接收证书的，自验收合格后第15天起视为已颁发工程接收证书。</w:t>
      </w:r>
    </w:p>
    <w:p w14:paraId="51F39DA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5CFFC6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030F08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5B9D349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13.2.3竣工日期</w:t>
      </w:r>
    </w:p>
    <w:p w14:paraId="229C2E7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41" w:name="#go14"/>
      <w:bookmarkEnd w:id="341"/>
      <w:r>
        <w:rPr>
          <w:rFonts w:hint="eastAsia" w:ascii="宋体" w:hAnsi="宋体" w:cs="宋体"/>
          <w:color w:val="auto"/>
          <w:kern w:val="0"/>
          <w:szCs w:val="21"/>
        </w:rPr>
        <w:t>收申请报告的日期为实际竣工日期；工程未经竣工验收，发包人擅自使用的，以转移占有工程之日为实际竣工日期。</w:t>
      </w:r>
    </w:p>
    <w:p w14:paraId="567EF59E">
      <w:pPr>
        <w:spacing w:line="360" w:lineRule="exact"/>
        <w:ind w:firstLine="420" w:firstLineChars="200"/>
        <w:jc w:val="left"/>
        <w:outlineLvl w:val="0"/>
        <w:rPr>
          <w:rFonts w:ascii="宋体" w:hAnsi="宋体" w:cs="宋体"/>
          <w:color w:val="auto"/>
          <w:kern w:val="0"/>
          <w:szCs w:val="21"/>
        </w:rPr>
      </w:pPr>
      <w:bookmarkStart w:id="342" w:name="_Toc15552"/>
      <w:bookmarkStart w:id="343" w:name="_Toc21806"/>
      <w:bookmarkStart w:id="344" w:name="_Toc23108"/>
      <w:bookmarkStart w:id="345" w:name="_Toc2187"/>
      <w:r>
        <w:rPr>
          <w:rFonts w:hint="eastAsia" w:ascii="宋体" w:hAnsi="宋体" w:cs="宋体"/>
          <w:color w:val="auto"/>
          <w:kern w:val="0"/>
          <w:szCs w:val="21"/>
        </w:rPr>
        <w:t>13.2.4 拒绝接收全部或部分工程</w:t>
      </w:r>
      <w:bookmarkEnd w:id="342"/>
      <w:bookmarkEnd w:id="343"/>
      <w:bookmarkEnd w:id="344"/>
      <w:bookmarkEnd w:id="345"/>
    </w:p>
    <w:p w14:paraId="6EF3210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58B83A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13.2.5 移交、接收全部与部分工程</w:t>
      </w:r>
    </w:p>
    <w:p w14:paraId="7975136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除专用合同条款另有约定外，合同当事人应当在颁发工程接收证书后7天内完成工程的移交。</w:t>
      </w:r>
    </w:p>
    <w:p w14:paraId="3373567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53D92C9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14:paraId="7528B750">
      <w:pPr>
        <w:pStyle w:val="6"/>
        <w:spacing w:before="120" w:after="120" w:line="360" w:lineRule="exact"/>
        <w:ind w:firstLine="422" w:firstLineChars="200"/>
        <w:rPr>
          <w:rFonts w:ascii="宋体" w:hAnsi="宋体" w:cs="宋体"/>
          <w:color w:val="auto"/>
          <w:sz w:val="21"/>
          <w:szCs w:val="21"/>
        </w:rPr>
      </w:pPr>
      <w:bookmarkStart w:id="346" w:name="_Toc351203589"/>
      <w:bookmarkStart w:id="347" w:name="_Toc296346612"/>
      <w:bookmarkStart w:id="348" w:name="_Toc296503111"/>
      <w:bookmarkStart w:id="349" w:name="_Toc337558807"/>
      <w:r>
        <w:rPr>
          <w:rFonts w:hint="eastAsia" w:ascii="宋体" w:hAnsi="宋体" w:cs="宋体"/>
          <w:color w:val="auto"/>
          <w:sz w:val="21"/>
          <w:szCs w:val="21"/>
        </w:rPr>
        <w:t>13.3工程试车</w:t>
      </w:r>
      <w:bookmarkEnd w:id="346"/>
    </w:p>
    <w:bookmarkEnd w:id="347"/>
    <w:bookmarkEnd w:id="348"/>
    <w:bookmarkEnd w:id="349"/>
    <w:p w14:paraId="1F08BBC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13.3.1试车程序</w:t>
      </w:r>
    </w:p>
    <w:p w14:paraId="57A8403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工程需要试车的，除专用合同条款另有约定外，试车内容应与承包人承包范围相一致，试车费用由承包人承担。工程试车应按如下程序进行：</w:t>
      </w:r>
    </w:p>
    <w:p w14:paraId="27903125">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2D8634D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A92BF6D">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24E4EE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13.3.2 试车中的责任</w:t>
      </w:r>
    </w:p>
    <w:p w14:paraId="6A8CA40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A921225">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97F59E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13.3.3 投料试车</w:t>
      </w:r>
    </w:p>
    <w:p w14:paraId="107FCC1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如需进行投料试车的，发包人应在工程竣工验收后组织投料试车。发包人要求在工程竣工验收前进行或需要承包人配合时，应征得承包人同意，并在专用合同条款中约定有关事项。</w:t>
      </w:r>
    </w:p>
    <w:p w14:paraId="646114F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ADA065D">
      <w:pPr>
        <w:pStyle w:val="6"/>
        <w:spacing w:before="120" w:after="120" w:line="360" w:lineRule="exact"/>
        <w:rPr>
          <w:rFonts w:ascii="宋体" w:hAnsi="宋体" w:cs="宋体"/>
          <w:b w:val="0"/>
          <w:color w:val="auto"/>
          <w:sz w:val="21"/>
          <w:szCs w:val="21"/>
        </w:rPr>
      </w:pPr>
      <w:bookmarkStart w:id="350" w:name="_Toc337558808"/>
      <w:r>
        <w:rPr>
          <w:rFonts w:hint="eastAsia" w:ascii="宋体" w:hAnsi="宋体" w:cs="宋体"/>
          <w:b w:val="0"/>
          <w:color w:val="auto"/>
          <w:sz w:val="21"/>
          <w:szCs w:val="21"/>
        </w:rPr>
        <w:t xml:space="preserve">   </w:t>
      </w:r>
      <w:r>
        <w:rPr>
          <w:rFonts w:hint="eastAsia" w:ascii="宋体" w:hAnsi="宋体" w:cs="宋体"/>
          <w:color w:val="auto"/>
          <w:sz w:val="21"/>
          <w:szCs w:val="21"/>
        </w:rPr>
        <w:t xml:space="preserve"> </w:t>
      </w:r>
      <w:bookmarkStart w:id="351" w:name="_Toc351203590"/>
      <w:r>
        <w:rPr>
          <w:rFonts w:hint="eastAsia" w:ascii="宋体" w:hAnsi="宋体" w:cs="宋体"/>
          <w:color w:val="auto"/>
          <w:sz w:val="21"/>
          <w:szCs w:val="21"/>
        </w:rPr>
        <w:t>13.4提前交付单位工程的验收</w:t>
      </w:r>
      <w:bookmarkEnd w:id="351"/>
    </w:p>
    <w:bookmarkEnd w:id="350"/>
    <w:p w14:paraId="0B7DEA5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13.4.1 发包人需要在工程竣工前使用单位工程的，或承包人提出提前交付已经竣工的单位工程且经发包人同意的，可进行单位工程验收，验收的程序按照第13.2款〔竣工验收〕的约定进行。</w:t>
      </w:r>
    </w:p>
    <w:p w14:paraId="7921030A">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3C4C06E6">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13.4.2 发包人要求在工程竣工前交付单位工程，由此导致承包人费用增加和（或）工期延误的，由发包人承担由此增加的费用和（或）延误的工期，并支付承包人合理的利润。</w:t>
      </w:r>
    </w:p>
    <w:p w14:paraId="0BB0C25B">
      <w:pPr>
        <w:pStyle w:val="6"/>
        <w:spacing w:before="120" w:after="120" w:line="360" w:lineRule="exact"/>
        <w:ind w:firstLine="422" w:firstLineChars="200"/>
        <w:rPr>
          <w:rFonts w:ascii="宋体" w:hAnsi="宋体" w:cs="宋体"/>
          <w:color w:val="auto"/>
          <w:sz w:val="21"/>
          <w:szCs w:val="21"/>
        </w:rPr>
      </w:pPr>
      <w:bookmarkStart w:id="352" w:name="_Toc351203591"/>
      <w:r>
        <w:rPr>
          <w:rFonts w:hint="eastAsia" w:ascii="宋体" w:hAnsi="宋体" w:cs="宋体"/>
          <w:color w:val="auto"/>
          <w:sz w:val="21"/>
          <w:szCs w:val="21"/>
        </w:rPr>
        <w:t>13.5 施工期运行</w:t>
      </w:r>
      <w:bookmarkEnd w:id="352"/>
    </w:p>
    <w:p w14:paraId="3B346B2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BE3ADF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13.5.2 在施工期运行中发现工程或工程设备损坏或存在缺陷的，由承包人按第15.2款〔缺陷责任期〕约定进行修复。</w:t>
      </w:r>
    </w:p>
    <w:p w14:paraId="38171A9A">
      <w:pPr>
        <w:pStyle w:val="6"/>
        <w:spacing w:before="120" w:after="120" w:line="360" w:lineRule="exact"/>
        <w:ind w:firstLine="422" w:firstLineChars="200"/>
        <w:rPr>
          <w:rFonts w:ascii="宋体" w:hAnsi="宋体" w:cs="宋体"/>
          <w:color w:val="auto"/>
          <w:sz w:val="21"/>
          <w:szCs w:val="21"/>
        </w:rPr>
      </w:pPr>
      <w:bookmarkStart w:id="353" w:name="_Toc296503112"/>
      <w:bookmarkStart w:id="354" w:name="_Toc296346613"/>
      <w:bookmarkStart w:id="355" w:name="_Toc351203592"/>
      <w:bookmarkStart w:id="356" w:name="_Toc337558809"/>
      <w:r>
        <w:rPr>
          <w:rFonts w:hint="eastAsia" w:ascii="宋体" w:hAnsi="宋体" w:cs="宋体"/>
          <w:color w:val="auto"/>
          <w:sz w:val="21"/>
          <w:szCs w:val="21"/>
        </w:rPr>
        <w:t>13.6 竣工退</w:t>
      </w:r>
      <w:bookmarkEnd w:id="353"/>
      <w:bookmarkEnd w:id="354"/>
      <w:r>
        <w:rPr>
          <w:rFonts w:hint="eastAsia" w:ascii="宋体" w:hAnsi="宋体" w:cs="宋体"/>
          <w:color w:val="auto"/>
          <w:sz w:val="21"/>
          <w:szCs w:val="21"/>
        </w:rPr>
        <w:t>场</w:t>
      </w:r>
      <w:bookmarkEnd w:id="355"/>
    </w:p>
    <w:bookmarkEnd w:id="356"/>
    <w:p w14:paraId="442AC87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13.6.1 竣工退场</w:t>
      </w:r>
    </w:p>
    <w:p w14:paraId="2F98EBA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颁发工程接收证书后，承包人应按以下要求对施工现场进行清理：</w:t>
      </w:r>
    </w:p>
    <w:p w14:paraId="40CA78C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（1）施工现场内残留的垃圾已全部清除出场；</w:t>
      </w:r>
    </w:p>
    <w:p w14:paraId="0749701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（2）临时工程已拆除，场地已进行清理、平整或复原；</w:t>
      </w:r>
    </w:p>
    <w:p w14:paraId="7CA3458A">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（3）按合同约定应撤离的人员、承包人施工设备和剩余的材料，包括废弃的施工设备和材料，已按计划撤离施工现场；</w:t>
      </w:r>
    </w:p>
    <w:p w14:paraId="5DCC6F2F">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（4）施工现场周边及其附近道路、河道的施工堆积物，已全部清理；</w:t>
      </w:r>
    </w:p>
    <w:p w14:paraId="0523F004">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（5）施工现场其他场地清理工作已全部完成。</w:t>
      </w:r>
    </w:p>
    <w:p w14:paraId="7851F27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EF4584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13.6.2 地表还原</w:t>
      </w:r>
    </w:p>
    <w:p w14:paraId="493EBF4A">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62D1BC19">
      <w:pPr>
        <w:pStyle w:val="5"/>
        <w:spacing w:before="120" w:after="120" w:line="360" w:lineRule="exact"/>
        <w:rPr>
          <w:rFonts w:ascii="宋体" w:hAnsi="宋体" w:cs="宋体"/>
          <w:b w:val="0"/>
          <w:color w:val="auto"/>
          <w:sz w:val="21"/>
          <w:szCs w:val="21"/>
        </w:rPr>
      </w:pPr>
      <w:bookmarkStart w:id="357" w:name="_Toc351203593"/>
      <w:bookmarkStart w:id="358" w:name="_Toc337558810"/>
      <w:bookmarkStart w:id="359" w:name="_Toc296346614"/>
      <w:bookmarkStart w:id="360" w:name="_Toc296503113"/>
      <w:r>
        <w:rPr>
          <w:rFonts w:hint="eastAsia" w:ascii="宋体" w:hAnsi="宋体" w:cs="宋体"/>
          <w:bCs w:val="0"/>
          <w:color w:val="auto"/>
          <w:sz w:val="21"/>
          <w:szCs w:val="21"/>
        </w:rPr>
        <w:t>14. 竣工结算</w:t>
      </w:r>
      <w:bookmarkEnd w:id="357"/>
    </w:p>
    <w:bookmarkEnd w:id="358"/>
    <w:p w14:paraId="57052370">
      <w:pPr>
        <w:pStyle w:val="6"/>
        <w:spacing w:before="120" w:after="120" w:line="360" w:lineRule="exact"/>
        <w:ind w:firstLine="422" w:firstLineChars="200"/>
        <w:rPr>
          <w:rFonts w:ascii="宋体" w:hAnsi="宋体" w:cs="宋体"/>
          <w:color w:val="auto"/>
          <w:sz w:val="21"/>
          <w:szCs w:val="21"/>
        </w:rPr>
      </w:pPr>
      <w:bookmarkStart w:id="361" w:name="_Toc351203594"/>
      <w:bookmarkStart w:id="362" w:name="_Toc337558811"/>
      <w:r>
        <w:rPr>
          <w:rFonts w:hint="eastAsia" w:ascii="宋体" w:hAnsi="宋体" w:cs="宋体"/>
          <w:color w:val="auto"/>
          <w:sz w:val="21"/>
          <w:szCs w:val="21"/>
        </w:rPr>
        <w:t>14.1 竣工结算申请</w:t>
      </w:r>
      <w:bookmarkEnd w:id="361"/>
    </w:p>
    <w:bookmarkEnd w:id="362"/>
    <w:p w14:paraId="400DED37">
      <w:pPr>
        <w:autoSpaceDE w:val="0"/>
        <w:autoSpaceDN w:val="0"/>
        <w:adjustRightInd w:val="0"/>
        <w:spacing w:line="360" w:lineRule="exact"/>
        <w:ind w:firstLine="420" w:firstLineChars="200"/>
        <w:jc w:val="left"/>
        <w:rPr>
          <w:rFonts w:ascii="宋体" w:hAnsi="宋体" w:cs="宋体"/>
          <w:color w:val="auto"/>
          <w:szCs w:val="21"/>
        </w:rPr>
      </w:pPr>
      <w:r>
        <w:rPr>
          <w:rFonts w:hint="eastAsia" w:ascii="宋体" w:hAnsi="宋体" w:cs="宋体"/>
          <w:color w:val="auto"/>
          <w:kern w:val="0"/>
          <w:szCs w:val="21"/>
        </w:rPr>
        <w:t>除专用合同条款另有约定外，</w:t>
      </w:r>
      <w:r>
        <w:rPr>
          <w:rFonts w:hint="eastAsia" w:ascii="宋体" w:hAnsi="宋体" w:cs="宋体"/>
          <w:color w:val="auto"/>
          <w:szCs w:val="21"/>
        </w:rPr>
        <w:t>承包人应在工程竣工验收合格后28天内向发包人和监理人提交竣工结算申请单，并提交完整的结算资料，有关竣工结算申请单的资料清单和份数等要求由合同当事人在专用合同条款中约定。</w:t>
      </w:r>
    </w:p>
    <w:p w14:paraId="2D3D6491">
      <w:pPr>
        <w:autoSpaceDE w:val="0"/>
        <w:autoSpaceDN w:val="0"/>
        <w:adjustRightIn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除专用合同条款另有约定外，竣工结算申请单应包括以下内容：</w:t>
      </w:r>
    </w:p>
    <w:p w14:paraId="5287B4BF">
      <w:pPr>
        <w:autoSpaceDE w:val="0"/>
        <w:autoSpaceDN w:val="0"/>
        <w:adjustRightIn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（1）竣工结算合同价格；</w:t>
      </w:r>
    </w:p>
    <w:p w14:paraId="5BAEB3C7">
      <w:pPr>
        <w:autoSpaceDE w:val="0"/>
        <w:autoSpaceDN w:val="0"/>
        <w:adjustRightIn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（2）发包人已支付承包人的款项；</w:t>
      </w:r>
    </w:p>
    <w:p w14:paraId="4FA2A152">
      <w:pPr>
        <w:autoSpaceDE w:val="0"/>
        <w:autoSpaceDN w:val="0"/>
        <w:adjustRightIn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 xml:space="preserve">（3）应扣留的质量保证金。已缴纳履约保证金的或提供其他工程质量担保方式的除外； </w:t>
      </w:r>
    </w:p>
    <w:p w14:paraId="6F902243">
      <w:pPr>
        <w:autoSpaceDE w:val="0"/>
        <w:autoSpaceDN w:val="0"/>
        <w:adjustRightIn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（4）发包人应支付承包人的合同价款。</w:t>
      </w:r>
    </w:p>
    <w:p w14:paraId="3968B29A">
      <w:pPr>
        <w:pStyle w:val="6"/>
        <w:spacing w:before="120" w:after="120" w:line="360" w:lineRule="exact"/>
        <w:ind w:firstLine="422" w:firstLineChars="200"/>
        <w:rPr>
          <w:rFonts w:ascii="宋体" w:hAnsi="宋体" w:cs="宋体"/>
          <w:color w:val="auto"/>
          <w:sz w:val="21"/>
          <w:szCs w:val="21"/>
        </w:rPr>
      </w:pPr>
      <w:bookmarkStart w:id="363" w:name="_Toc351203595"/>
      <w:bookmarkStart w:id="364" w:name="_Toc337558812"/>
      <w:r>
        <w:rPr>
          <w:rFonts w:hint="eastAsia" w:ascii="宋体" w:hAnsi="宋体" w:cs="宋体"/>
          <w:color w:val="auto"/>
          <w:sz w:val="21"/>
          <w:szCs w:val="21"/>
        </w:rPr>
        <w:t>14.2 竣工结算审核</w:t>
      </w:r>
      <w:bookmarkEnd w:id="363"/>
    </w:p>
    <w:bookmarkEnd w:id="364"/>
    <w:p w14:paraId="529BF40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auto"/>
          <w:szCs w:val="21"/>
        </w:rPr>
        <w:t>发包人对竣工</w:t>
      </w:r>
      <w:r>
        <w:rPr>
          <w:rFonts w:hint="eastAsia" w:ascii="宋体" w:hAnsi="宋体" w:cs="宋体"/>
          <w:color w:val="auto"/>
          <w:kern w:val="0"/>
          <w:szCs w:val="21"/>
        </w:rPr>
        <w:t>结算</w:t>
      </w:r>
      <w:r>
        <w:rPr>
          <w:rFonts w:hint="eastAsia" w:ascii="宋体" w:hAnsi="宋体" w:cs="宋体"/>
          <w:color w:val="auto"/>
          <w:szCs w:val="21"/>
        </w:rPr>
        <w:t>申请单有异议的，有权要求承包人进行修正和提供补充资料，承包人应提交修正后的竣工</w:t>
      </w:r>
      <w:r>
        <w:rPr>
          <w:rFonts w:hint="eastAsia" w:ascii="宋体" w:hAnsi="宋体" w:cs="宋体"/>
          <w:color w:val="auto"/>
          <w:kern w:val="0"/>
          <w:szCs w:val="21"/>
        </w:rPr>
        <w:t>结算</w:t>
      </w:r>
      <w:r>
        <w:rPr>
          <w:rFonts w:hint="eastAsia" w:ascii="宋体" w:hAnsi="宋体" w:cs="宋体"/>
          <w:color w:val="auto"/>
          <w:szCs w:val="21"/>
        </w:rPr>
        <w:t>申请单。</w:t>
      </w:r>
    </w:p>
    <w:p w14:paraId="0B9F535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038FBF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350791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6918B8D2">
      <w:pPr>
        <w:pStyle w:val="6"/>
        <w:spacing w:before="120" w:after="120" w:line="360" w:lineRule="exact"/>
        <w:ind w:firstLine="422" w:firstLineChars="200"/>
        <w:rPr>
          <w:rFonts w:ascii="宋体" w:hAnsi="宋体" w:cs="宋体"/>
          <w:b w:val="0"/>
          <w:color w:val="auto"/>
          <w:sz w:val="21"/>
          <w:szCs w:val="21"/>
        </w:rPr>
      </w:pPr>
      <w:bookmarkStart w:id="365" w:name="_Toc351203596"/>
      <w:bookmarkStart w:id="366" w:name="_Toc337558813"/>
      <w:r>
        <w:rPr>
          <w:rFonts w:hint="eastAsia" w:ascii="宋体" w:hAnsi="宋体" w:cs="宋体"/>
          <w:color w:val="auto"/>
          <w:sz w:val="21"/>
          <w:szCs w:val="21"/>
        </w:rPr>
        <w:t>14.3 甩项竣工协议</w:t>
      </w:r>
      <w:bookmarkEnd w:id="365"/>
    </w:p>
    <w:bookmarkEnd w:id="366"/>
    <w:p w14:paraId="04F30574">
      <w:pPr>
        <w:autoSpaceDE w:val="0"/>
        <w:autoSpaceDN w:val="0"/>
        <w:adjustRightInd w:val="0"/>
        <w:spacing w:line="360" w:lineRule="exact"/>
        <w:ind w:firstLine="411" w:firstLineChars="196"/>
        <w:jc w:val="left"/>
        <w:rPr>
          <w:rFonts w:ascii="宋体" w:hAnsi="宋体" w:cs="宋体"/>
          <w:color w:val="auto"/>
          <w:kern w:val="0"/>
          <w:szCs w:val="21"/>
        </w:rPr>
      </w:pPr>
      <w:r>
        <w:rPr>
          <w:rFonts w:hint="eastAsia" w:ascii="宋体" w:hAnsi="宋体" w:cs="宋体"/>
          <w:color w:val="auto"/>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379EEDDA">
      <w:pPr>
        <w:pStyle w:val="6"/>
        <w:spacing w:before="120" w:after="120" w:line="360" w:lineRule="exact"/>
        <w:ind w:firstLine="422" w:firstLineChars="200"/>
        <w:rPr>
          <w:rFonts w:ascii="宋体" w:hAnsi="宋体" w:cs="宋体"/>
          <w:color w:val="auto"/>
          <w:sz w:val="21"/>
          <w:szCs w:val="21"/>
        </w:rPr>
      </w:pPr>
      <w:bookmarkStart w:id="367" w:name="_Toc351203597"/>
      <w:bookmarkStart w:id="368" w:name="_Toc337558814"/>
      <w:r>
        <w:rPr>
          <w:rFonts w:hint="eastAsia" w:ascii="宋体" w:hAnsi="宋体" w:cs="宋体"/>
          <w:color w:val="auto"/>
          <w:sz w:val="21"/>
          <w:szCs w:val="21"/>
        </w:rPr>
        <w:t>14.4 最终结清</w:t>
      </w:r>
      <w:bookmarkEnd w:id="367"/>
    </w:p>
    <w:bookmarkEnd w:id="368"/>
    <w:p w14:paraId="70179FF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14.4.1 最终结清申请单</w:t>
      </w:r>
    </w:p>
    <w:p w14:paraId="31371E5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（1）除专用合同条款另有约定外，承包人应在缺陷责任期终止证书颁发后7天内，按专用合同条款约定的份数向发包人提交最终结清申请单，并提供相关证明材料。</w:t>
      </w:r>
    </w:p>
    <w:p w14:paraId="16EBE27E">
      <w:pPr>
        <w:autoSpaceDE w:val="0"/>
        <w:autoSpaceDN w:val="0"/>
        <w:adjustRightInd w:val="0"/>
        <w:spacing w:line="36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w:t>
      </w:r>
      <w:r>
        <w:rPr>
          <w:rFonts w:hint="eastAsia" w:ascii="宋体" w:hAnsi="宋体" w:cs="宋体"/>
          <w:color w:val="auto"/>
          <w:kern w:val="0"/>
          <w:szCs w:val="21"/>
        </w:rPr>
        <w:t>最终结清申请单</w:t>
      </w:r>
      <w:r>
        <w:rPr>
          <w:rFonts w:hint="eastAsia" w:ascii="宋体" w:hAnsi="宋体" w:cs="宋体"/>
          <w:color w:val="auto"/>
          <w:szCs w:val="21"/>
        </w:rPr>
        <w:t>应列明质量保证金、应扣除的质量保证金、缺陷责任期内发生的增减费用。</w:t>
      </w:r>
    </w:p>
    <w:p w14:paraId="342C077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（2）发包人对最终结清申请单内容有异议的，有权要求承包人进行修正和提供补充资料，承包人应向发包人提交修正后的最终结清申请单。</w:t>
      </w:r>
    </w:p>
    <w:p w14:paraId="09B66B3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14.4.2 最终结清证书和支付</w:t>
      </w:r>
    </w:p>
    <w:p w14:paraId="3CE6C87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EE97FA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4C46A8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（3）承包人对发包人颁发的最终结清证书有异议的，按第20条〔争议解决〕的约定办理。</w:t>
      </w:r>
    </w:p>
    <w:p w14:paraId="1E6C0B46">
      <w:pPr>
        <w:pStyle w:val="5"/>
        <w:spacing w:before="120" w:after="120" w:line="360" w:lineRule="exact"/>
        <w:rPr>
          <w:rFonts w:ascii="宋体" w:hAnsi="宋体" w:cs="宋体"/>
          <w:bCs w:val="0"/>
          <w:color w:val="auto"/>
          <w:sz w:val="21"/>
          <w:szCs w:val="21"/>
        </w:rPr>
      </w:pPr>
      <w:bookmarkStart w:id="369" w:name="_Toc351203598"/>
      <w:bookmarkStart w:id="370" w:name="_Toc337558815"/>
      <w:r>
        <w:rPr>
          <w:rFonts w:hint="eastAsia" w:ascii="宋体" w:hAnsi="宋体" w:cs="宋体"/>
          <w:bCs w:val="0"/>
          <w:color w:val="auto"/>
          <w:sz w:val="21"/>
          <w:szCs w:val="21"/>
        </w:rPr>
        <w:t>15. 缺陷责任与保修</w:t>
      </w:r>
      <w:bookmarkEnd w:id="369"/>
    </w:p>
    <w:bookmarkEnd w:id="359"/>
    <w:bookmarkEnd w:id="360"/>
    <w:bookmarkEnd w:id="370"/>
    <w:p w14:paraId="021C5A5B">
      <w:pPr>
        <w:pStyle w:val="6"/>
        <w:spacing w:before="120" w:after="120" w:line="360" w:lineRule="exact"/>
        <w:ind w:firstLine="422" w:firstLineChars="200"/>
        <w:rPr>
          <w:rFonts w:ascii="宋体" w:hAnsi="宋体" w:cs="宋体"/>
          <w:b w:val="0"/>
          <w:color w:val="auto"/>
          <w:sz w:val="21"/>
          <w:szCs w:val="21"/>
        </w:rPr>
      </w:pPr>
      <w:bookmarkStart w:id="371" w:name="_Toc351203599"/>
      <w:bookmarkStart w:id="372" w:name="_Toc337558816"/>
      <w:bookmarkStart w:id="373" w:name="_Toc296503114"/>
      <w:bookmarkStart w:id="374" w:name="_Toc296346615"/>
      <w:r>
        <w:rPr>
          <w:rFonts w:hint="eastAsia" w:ascii="宋体" w:hAnsi="宋体" w:cs="宋体"/>
          <w:color w:val="auto"/>
          <w:sz w:val="21"/>
          <w:szCs w:val="21"/>
        </w:rPr>
        <w:t>15.1 工程保修的原则</w:t>
      </w:r>
      <w:bookmarkEnd w:id="371"/>
    </w:p>
    <w:bookmarkEnd w:id="372"/>
    <w:p w14:paraId="200B5B3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在工程移交发包人后，因承包人原因产生的质量缺陷，承包人应承担质量缺陷责任和保修义务。缺陷责任期届满，承包人仍应按合同约定的工程各部位保修年限承担保修义务。</w:t>
      </w:r>
    </w:p>
    <w:p w14:paraId="03EEC86A">
      <w:pPr>
        <w:pStyle w:val="6"/>
        <w:spacing w:before="120" w:after="120" w:line="360" w:lineRule="exact"/>
        <w:ind w:firstLine="422" w:firstLineChars="200"/>
        <w:rPr>
          <w:rFonts w:ascii="宋体" w:hAnsi="宋体" w:cs="宋体"/>
          <w:b w:val="0"/>
          <w:color w:val="auto"/>
          <w:sz w:val="21"/>
          <w:szCs w:val="21"/>
        </w:rPr>
      </w:pPr>
      <w:bookmarkStart w:id="375" w:name="_Toc351203600"/>
      <w:bookmarkStart w:id="376" w:name="_Toc337558817"/>
      <w:r>
        <w:rPr>
          <w:rFonts w:hint="eastAsia" w:ascii="宋体" w:hAnsi="宋体" w:cs="宋体"/>
          <w:color w:val="auto"/>
          <w:sz w:val="21"/>
          <w:szCs w:val="21"/>
        </w:rPr>
        <w:t>15.2 缺陷责任期</w:t>
      </w:r>
      <w:bookmarkEnd w:id="373"/>
      <w:bookmarkEnd w:id="374"/>
      <w:bookmarkEnd w:id="375"/>
    </w:p>
    <w:bookmarkEnd w:id="376"/>
    <w:p w14:paraId="572A2B3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15.2.1 缺陷责任期从工程通过竣工验收之日起计算，合同当事人应在专用合同条款约定缺陷责任期的具体期限，但该期限最长不超过24个月。</w:t>
      </w:r>
    </w:p>
    <w:p w14:paraId="5D90747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2A41CDF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cs="宋体"/>
          <w:bCs/>
          <w:color w:val="auto"/>
          <w:szCs w:val="21"/>
        </w:rPr>
        <w:t>包人延长缺陷责任期，</w:t>
      </w:r>
      <w:r>
        <w:rPr>
          <w:rFonts w:hint="eastAsia" w:ascii="宋体" w:hAnsi="宋体" w:cs="宋体"/>
          <w:color w:val="auto"/>
          <w:kern w:val="0"/>
          <w:szCs w:val="21"/>
        </w:rPr>
        <w:t>并应在原缺陷责任期届满前发出延长通知。</w:t>
      </w:r>
      <w:r>
        <w:rPr>
          <w:rFonts w:hint="eastAsia" w:ascii="宋体" w:hAnsi="宋体" w:cs="宋体"/>
          <w:bCs/>
          <w:color w:val="auto"/>
          <w:szCs w:val="21"/>
        </w:rPr>
        <w:t>但缺陷责任期（含延长部分）最长</w:t>
      </w:r>
      <w:r>
        <w:rPr>
          <w:rFonts w:hint="eastAsia" w:ascii="宋体" w:hAnsi="宋体" w:cs="宋体"/>
          <w:color w:val="auto"/>
          <w:kern w:val="0"/>
          <w:szCs w:val="21"/>
        </w:rPr>
        <w:t>不能超过24个月。</w:t>
      </w:r>
    </w:p>
    <w:p w14:paraId="423BE46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由他人原因造成的缺陷，发包人负责组织维修，承包人不承担费用，且发包人不得从保证金中扣除费用。</w:t>
      </w:r>
    </w:p>
    <w:p w14:paraId="2C30038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15.2.3 任何一项缺陷或损坏修复后，经检查证明其影响了工程或工程设备的使用性能，承包人应重新进行合同约定的试验和试运行，试验和试运行的全部费用应由责任方承担。</w:t>
      </w:r>
    </w:p>
    <w:p w14:paraId="1AA8423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444E124">
      <w:pPr>
        <w:pStyle w:val="6"/>
        <w:spacing w:before="120" w:after="120" w:line="360" w:lineRule="exact"/>
        <w:ind w:firstLine="422" w:firstLineChars="200"/>
        <w:rPr>
          <w:rFonts w:ascii="宋体" w:hAnsi="宋体" w:cs="宋体"/>
          <w:color w:val="auto"/>
          <w:sz w:val="21"/>
          <w:szCs w:val="21"/>
        </w:rPr>
      </w:pPr>
      <w:bookmarkStart w:id="377" w:name="_Toc351203601"/>
      <w:bookmarkStart w:id="378" w:name="_Toc337558818"/>
      <w:bookmarkStart w:id="379" w:name="_Toc296503115"/>
      <w:bookmarkStart w:id="380" w:name="_Toc296346616"/>
      <w:r>
        <w:rPr>
          <w:rFonts w:hint="eastAsia" w:ascii="宋体" w:hAnsi="宋体" w:cs="宋体"/>
          <w:color w:val="auto"/>
          <w:sz w:val="21"/>
          <w:szCs w:val="21"/>
        </w:rPr>
        <w:t>15.3 质量保证金</w:t>
      </w:r>
      <w:bookmarkEnd w:id="377"/>
    </w:p>
    <w:bookmarkEnd w:id="378"/>
    <w:p w14:paraId="2D5088C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经合同当事人协商一致扣留质量保证金的，应在专用合同条款中予以明确。</w:t>
      </w:r>
    </w:p>
    <w:p w14:paraId="45C2C4E3">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在工程项目竣工前，承包人已经提供履约担保的，发包人不得同时预留工程质量保证金。</w:t>
      </w:r>
    </w:p>
    <w:p w14:paraId="73D881F9">
      <w:pPr>
        <w:autoSpaceDE w:val="0"/>
        <w:autoSpaceDN w:val="0"/>
        <w:adjustRightInd w:val="0"/>
        <w:spacing w:line="360" w:lineRule="exact"/>
        <w:ind w:firstLine="420" w:firstLineChars="200"/>
        <w:jc w:val="left"/>
        <w:rPr>
          <w:rFonts w:ascii="宋体" w:hAnsi="宋体" w:cs="宋体"/>
          <w:color w:val="auto"/>
          <w:kern w:val="0"/>
          <w:szCs w:val="21"/>
        </w:rPr>
      </w:pPr>
    </w:p>
    <w:p w14:paraId="522A315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15.3.1 承包人提供质量保证金的方式</w:t>
      </w:r>
    </w:p>
    <w:p w14:paraId="09BD2C3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承包人提供质量保证金有以下三种方式：</w:t>
      </w:r>
    </w:p>
    <w:p w14:paraId="2063FE5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（1）质量保证金保函； </w:t>
      </w:r>
    </w:p>
    <w:p w14:paraId="71D5BBB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（2）相应比例的工程款；</w:t>
      </w:r>
    </w:p>
    <w:p w14:paraId="624A62A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（3）双方约定的其他方式。</w:t>
      </w:r>
    </w:p>
    <w:p w14:paraId="06864BE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除专用合同条款另有约定外，质量保证金原则上采用上述第（1）种方式。</w:t>
      </w:r>
    </w:p>
    <w:p w14:paraId="3B0262B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15.3.2 质量保证金的扣留</w:t>
      </w:r>
    </w:p>
    <w:p w14:paraId="1092F85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质量保证金的扣留有以下三种方式：</w:t>
      </w:r>
    </w:p>
    <w:p w14:paraId="1C9763F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（1）在支付工程进度款时逐次扣留，在此情形下，质量保证金的计算基数不包括预付款的支付、扣回以及价格调整的金额；</w:t>
      </w:r>
    </w:p>
    <w:p w14:paraId="2F6011B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（2）工</w:t>
      </w:r>
      <w:bookmarkStart w:id="381" w:name="#go6"/>
      <w:bookmarkEnd w:id="381"/>
      <w:r>
        <w:rPr>
          <w:rFonts w:hint="eastAsia" w:ascii="宋体" w:hAnsi="宋体" w:cs="宋体"/>
          <w:color w:val="auto"/>
          <w:kern w:val="0"/>
          <w:szCs w:val="21"/>
        </w:rPr>
        <w:t>程竣工结算时一次性扣留质量保证金；</w:t>
      </w:r>
    </w:p>
    <w:p w14:paraId="64B2F8F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（3）双方约定的其他扣留方式。</w:t>
      </w:r>
    </w:p>
    <w:p w14:paraId="43AB1A2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除专用合同条款另有约定外，质量保证金的扣留原则上采用上述第（1）种方式。</w:t>
      </w:r>
    </w:p>
    <w:p w14:paraId="2165AB6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w:t>
      </w:r>
      <w:bookmarkStart w:id="382" w:name="#go4"/>
      <w:bookmarkEnd w:id="382"/>
      <w:r>
        <w:rPr>
          <w:rFonts w:hint="eastAsia" w:ascii="宋体" w:hAnsi="宋体" w:cs="宋体"/>
          <w:color w:val="auto"/>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4EF44D4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发包人在退还质量保证金的同时按照中国人民银行发布的同期同类贷款基准利率支付利息。</w:t>
      </w:r>
    </w:p>
    <w:p w14:paraId="72BE99C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15.3.3 </w:t>
      </w:r>
      <w:r>
        <w:rPr>
          <w:rFonts w:hint="eastAsia" w:ascii="宋体" w:hAnsi="宋体" w:cs="宋体"/>
          <w:color w:val="auto"/>
          <w:szCs w:val="21"/>
        </w:rPr>
        <w:t>质量保证金</w:t>
      </w:r>
      <w:r>
        <w:rPr>
          <w:rFonts w:hint="eastAsia" w:ascii="宋体" w:hAnsi="宋体" w:cs="宋体"/>
          <w:color w:val="auto"/>
          <w:kern w:val="0"/>
          <w:szCs w:val="21"/>
        </w:rPr>
        <w:t>的退还</w:t>
      </w:r>
    </w:p>
    <w:p w14:paraId="40D1455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缺陷责任期内，承包人认真履行合同约定的责任，到期后，承包人可向发包人申请返还保证金。</w:t>
      </w:r>
    </w:p>
    <w:p w14:paraId="737D3D6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75589F1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发包人和承包人对保证金预留、返还以及工程维修质量、费用有争议的，按本合同第20条约定的争议和纠纷解决程序处理。</w:t>
      </w:r>
    </w:p>
    <w:p w14:paraId="569F82D2">
      <w:pPr>
        <w:pStyle w:val="6"/>
        <w:spacing w:before="120" w:after="120" w:line="360" w:lineRule="exact"/>
        <w:ind w:firstLine="422" w:firstLineChars="200"/>
        <w:rPr>
          <w:rFonts w:ascii="宋体" w:hAnsi="宋体" w:cs="宋体"/>
          <w:color w:val="auto"/>
          <w:sz w:val="21"/>
          <w:szCs w:val="21"/>
        </w:rPr>
      </w:pPr>
      <w:bookmarkStart w:id="383" w:name="_Toc351203602"/>
      <w:bookmarkStart w:id="384" w:name="_Toc337558819"/>
      <w:r>
        <w:rPr>
          <w:rFonts w:hint="eastAsia" w:ascii="宋体" w:hAnsi="宋体" w:cs="宋体"/>
          <w:color w:val="auto"/>
          <w:sz w:val="21"/>
          <w:szCs w:val="21"/>
        </w:rPr>
        <w:t>15.4 保修</w:t>
      </w:r>
      <w:bookmarkEnd w:id="383"/>
    </w:p>
    <w:bookmarkEnd w:id="379"/>
    <w:bookmarkEnd w:id="380"/>
    <w:bookmarkEnd w:id="384"/>
    <w:p w14:paraId="5486ACEF">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15.4.1保修责任</w:t>
      </w:r>
    </w:p>
    <w:p w14:paraId="2BECA474">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5104FC7">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发包人未经竣工验收擅自使用工程的，保修期自</w:t>
      </w:r>
      <w:r>
        <w:rPr>
          <w:rFonts w:hint="eastAsia" w:ascii="宋体" w:hAnsi="宋体" w:cs="宋体"/>
          <w:color w:val="auto"/>
          <w:kern w:val="0"/>
          <w:szCs w:val="21"/>
        </w:rPr>
        <w:t>转移占有之日起算</w:t>
      </w:r>
      <w:r>
        <w:rPr>
          <w:rFonts w:hint="eastAsia" w:ascii="宋体" w:hAnsi="宋体" w:cs="宋体"/>
          <w:color w:val="auto"/>
          <w:szCs w:val="21"/>
        </w:rPr>
        <w:t>。</w:t>
      </w:r>
    </w:p>
    <w:p w14:paraId="41DEBCF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15.4.2 修复费用</w:t>
      </w:r>
    </w:p>
    <w:p w14:paraId="5DD6A1C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保修期内，修复的费用按照以下约定处理：</w:t>
      </w:r>
    </w:p>
    <w:p w14:paraId="6EE502D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（1）保修期内，因承包人原因造成工程的缺陷、损坏，承包人应负责修复，并承担修复的费用以及因工程的缺陷、损坏造成的人身伤害和财产损失；</w:t>
      </w:r>
    </w:p>
    <w:p w14:paraId="7E9EF35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（2）保修期内，因发包人使用不当造成工程的缺陷、损坏，可以委托承包人修复，但发包人应承担修复的费用，并支付承包人合理利润；</w:t>
      </w:r>
    </w:p>
    <w:p w14:paraId="23915BC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（3）因其他原因造成工程的缺陷、损坏，可以委托承包人修复，发包人应承担修复的费用，并支付承包人合理的利润，因工程的缺陷、损坏造成的人身伤害和财产损失由责任方承担。</w:t>
      </w:r>
    </w:p>
    <w:p w14:paraId="6FA98A4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15.4.3 修复通知</w:t>
      </w:r>
    </w:p>
    <w:p w14:paraId="22A941A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073076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15.4.4 未能修复</w:t>
      </w:r>
    </w:p>
    <w:p w14:paraId="1F4FED45">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5A594F4">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15.4.5 承包人出入权</w:t>
      </w:r>
    </w:p>
    <w:p w14:paraId="4C4FF35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5B2815D">
      <w:pPr>
        <w:pStyle w:val="5"/>
        <w:spacing w:before="120" w:after="120" w:line="360" w:lineRule="exact"/>
        <w:rPr>
          <w:rFonts w:ascii="宋体" w:hAnsi="宋体" w:cs="宋体"/>
          <w:bCs w:val="0"/>
          <w:color w:val="auto"/>
          <w:sz w:val="21"/>
          <w:szCs w:val="21"/>
        </w:rPr>
      </w:pPr>
      <w:bookmarkStart w:id="385" w:name="_Toc351203603"/>
      <w:bookmarkStart w:id="386" w:name="_Toc337558820"/>
      <w:r>
        <w:rPr>
          <w:rFonts w:hint="eastAsia" w:ascii="宋体" w:hAnsi="宋体" w:cs="宋体"/>
          <w:bCs w:val="0"/>
          <w:color w:val="auto"/>
          <w:sz w:val="21"/>
          <w:szCs w:val="21"/>
        </w:rPr>
        <w:t>16. 违约</w:t>
      </w:r>
      <w:bookmarkEnd w:id="385"/>
    </w:p>
    <w:bookmarkEnd w:id="386"/>
    <w:p w14:paraId="58B143D4">
      <w:pPr>
        <w:pStyle w:val="6"/>
        <w:spacing w:before="120" w:after="120" w:line="360" w:lineRule="exact"/>
        <w:ind w:firstLine="422" w:firstLineChars="200"/>
        <w:rPr>
          <w:rFonts w:ascii="宋体" w:hAnsi="宋体" w:cs="宋体"/>
          <w:bCs w:val="0"/>
          <w:color w:val="auto"/>
          <w:sz w:val="21"/>
          <w:szCs w:val="21"/>
        </w:rPr>
      </w:pPr>
      <w:bookmarkStart w:id="387" w:name="_Toc296503129"/>
      <w:bookmarkStart w:id="388" w:name="_Toc296346630"/>
      <w:bookmarkStart w:id="389" w:name="_Toc351203604"/>
      <w:bookmarkStart w:id="390" w:name="_Toc337558821"/>
      <w:r>
        <w:rPr>
          <w:rFonts w:hint="eastAsia" w:ascii="宋体" w:hAnsi="宋体" w:cs="宋体"/>
          <w:bCs w:val="0"/>
          <w:color w:val="auto"/>
          <w:sz w:val="21"/>
          <w:szCs w:val="21"/>
        </w:rPr>
        <w:t>16.1 发</w:t>
      </w:r>
      <w:bookmarkEnd w:id="387"/>
      <w:bookmarkEnd w:id="388"/>
      <w:r>
        <w:rPr>
          <w:rFonts w:hint="eastAsia" w:ascii="宋体" w:hAnsi="宋体" w:cs="宋体"/>
          <w:bCs w:val="0"/>
          <w:color w:val="auto"/>
          <w:sz w:val="21"/>
          <w:szCs w:val="21"/>
        </w:rPr>
        <w:t>包人违约</w:t>
      </w:r>
      <w:bookmarkEnd w:id="389"/>
    </w:p>
    <w:bookmarkEnd w:id="390"/>
    <w:p w14:paraId="20926D2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16.1.1 发包人违约的情形</w:t>
      </w:r>
    </w:p>
    <w:p w14:paraId="3406490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在合同履行过程中发生的下列情形，属于发包人违约：</w:t>
      </w:r>
    </w:p>
    <w:p w14:paraId="6CF1BD7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（1）因发包人原因未能在计划开工日期前7天内下达开工通知的；</w:t>
      </w:r>
    </w:p>
    <w:p w14:paraId="7A5C915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（2）因发包人原因未能按合同约定支付合同价款的；</w:t>
      </w:r>
    </w:p>
    <w:p w14:paraId="74B8F91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（3）发包人违反第10.1款〔变更的范围〕第（2）项约定，自行实施被取消的工作或转由他人实施的；</w:t>
      </w:r>
    </w:p>
    <w:p w14:paraId="3A69BB0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（4）发包人提供的材料、工程设备的规格、数量或质量不符合合同约定，或因发包人原因导致交货日期延误或交货地点变更等情况的；</w:t>
      </w:r>
    </w:p>
    <w:p w14:paraId="7229226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（5）因发包人违反合同约定造成暂停施工的；</w:t>
      </w:r>
    </w:p>
    <w:p w14:paraId="5AA4300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（6）发包人无正当理由没有在约定期限内发出复工指示，导致承包人无法复工的；</w:t>
      </w:r>
    </w:p>
    <w:p w14:paraId="07F0943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（7）发包人明确表示或者以其行为表明不履行合同主要义务的；</w:t>
      </w:r>
    </w:p>
    <w:p w14:paraId="506E01C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（8）发包人未能按照合同约定履行其他义务的。</w:t>
      </w:r>
    </w:p>
    <w:p w14:paraId="75D8448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A56118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16.1.2 发包人违约的责任</w:t>
      </w:r>
    </w:p>
    <w:p w14:paraId="4F2C62A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发包人应承担因其违约给承包人增加的费用和（或）延误的工期，并支付承包人合理的利润。此外，合同当事人可在专用合同条款中另行约定发包人违约责任的承担方式和计算方法。</w:t>
      </w:r>
    </w:p>
    <w:p w14:paraId="5A6D05A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16.1.3 因发包人违约解除合同</w:t>
      </w:r>
    </w:p>
    <w:p w14:paraId="76A6482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297D5B1">
      <w:pPr>
        <w:autoSpaceDE w:val="0"/>
        <w:autoSpaceDN w:val="0"/>
        <w:adjustRightInd w:val="0"/>
        <w:spacing w:line="360" w:lineRule="exact"/>
        <w:ind w:firstLine="420" w:firstLineChars="200"/>
        <w:jc w:val="left"/>
        <w:rPr>
          <w:rFonts w:ascii="宋体" w:hAnsi="宋体" w:cs="宋体"/>
          <w:color w:val="auto"/>
          <w:szCs w:val="21"/>
        </w:rPr>
      </w:pPr>
      <w:r>
        <w:rPr>
          <w:rFonts w:hint="eastAsia" w:ascii="宋体" w:hAnsi="宋体" w:cs="宋体"/>
          <w:color w:val="auto"/>
          <w:kern w:val="0"/>
          <w:szCs w:val="21"/>
        </w:rPr>
        <w:t>16.1.4 因发包人违约解除合同后的付款</w:t>
      </w:r>
    </w:p>
    <w:p w14:paraId="19E7C17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承包人按照本款约定解除合同的，发包人应在解除合同后28天内支付下列款项，并解除履约担保：</w:t>
      </w:r>
    </w:p>
    <w:p w14:paraId="5F0E5E7F">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（1）合同解除前所完成工作的价款；</w:t>
      </w:r>
    </w:p>
    <w:p w14:paraId="14813A6F">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（2）承包人为工程施工订购并已付款的材料、工程设备和其他物品的价款；</w:t>
      </w:r>
    </w:p>
    <w:p w14:paraId="045D5CE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（3）承包人撤离施工现场以及遣散承包人人员的款项；</w:t>
      </w:r>
    </w:p>
    <w:p w14:paraId="4793C9D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（4）按照合同约定在合同解除前应支付的违约金；</w:t>
      </w:r>
    </w:p>
    <w:p w14:paraId="2CF5BF6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（5）按照合同约定应当支付给承包人的其他款项；</w:t>
      </w:r>
    </w:p>
    <w:p w14:paraId="121D1EA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（6）按照合同约定应退还的质量保证金；</w:t>
      </w:r>
    </w:p>
    <w:p w14:paraId="133E7AC0">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（7）因解除合同给承包人造成的损失。</w:t>
      </w:r>
    </w:p>
    <w:p w14:paraId="6564B3E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合同当事人未能就解除合同后的结清达成一致的，按照第20条〔争议解决〕的约定处理。</w:t>
      </w:r>
    </w:p>
    <w:p w14:paraId="4501310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承包人应妥善做好已完工程和与工程有关的已购材料、工程设备的保护和移交工作，并将施工设备和人员撤出施工现场，发包人应为承包人撤出提供必要条件。</w:t>
      </w:r>
    </w:p>
    <w:p w14:paraId="776F43F3">
      <w:pPr>
        <w:pStyle w:val="6"/>
        <w:spacing w:before="120" w:after="120" w:line="360" w:lineRule="exact"/>
        <w:ind w:firstLine="422" w:firstLineChars="200"/>
        <w:rPr>
          <w:rFonts w:ascii="宋体" w:hAnsi="宋体" w:cs="宋体"/>
          <w:b w:val="0"/>
          <w:color w:val="auto"/>
          <w:sz w:val="21"/>
          <w:szCs w:val="21"/>
        </w:rPr>
      </w:pPr>
      <w:bookmarkStart w:id="391" w:name="_Toc351203605"/>
      <w:bookmarkStart w:id="392" w:name="_Toc296503131"/>
      <w:bookmarkStart w:id="393" w:name="_Toc337558822"/>
      <w:bookmarkStart w:id="394" w:name="_Toc296346632"/>
      <w:r>
        <w:rPr>
          <w:rFonts w:hint="eastAsia" w:ascii="宋体" w:hAnsi="宋体" w:cs="宋体"/>
          <w:color w:val="auto"/>
          <w:sz w:val="21"/>
          <w:szCs w:val="21"/>
        </w:rPr>
        <w:t>16.2 承包人违约</w:t>
      </w:r>
      <w:bookmarkEnd w:id="391"/>
    </w:p>
    <w:bookmarkEnd w:id="392"/>
    <w:bookmarkEnd w:id="393"/>
    <w:bookmarkEnd w:id="394"/>
    <w:p w14:paraId="3899E3E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16.2.1 承包人违约的情形</w:t>
      </w:r>
    </w:p>
    <w:p w14:paraId="5AFDFBC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在合同履行过程中发生的下列情形，属于承包人违约：</w:t>
      </w:r>
    </w:p>
    <w:p w14:paraId="078872B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（1）承包人违反合同约定进行转包或违法分包的；</w:t>
      </w:r>
    </w:p>
    <w:p w14:paraId="50E1F6D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（2）承包人违反合同约定采购和使用不合格的材料和工程设备的；</w:t>
      </w:r>
    </w:p>
    <w:p w14:paraId="2BF0B00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（3）因承包人原因导致工程质量不符合合同要求的； </w:t>
      </w:r>
    </w:p>
    <w:p w14:paraId="79D8891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（4）承包人违反第8.9款〔材料与设备专用要求〕的约定，未经批准，私自将已按照合同约定进入施工现场的材料或设备撤离施工现场的；</w:t>
      </w:r>
    </w:p>
    <w:p w14:paraId="1CB3890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（5）承包人未能按施工进度计划及时完成合同约定的工作，造成工期延误的；</w:t>
      </w:r>
    </w:p>
    <w:p w14:paraId="25CC45D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（6）承包人在缺陷责任期及保修期内，未能在合理期限对工程缺陷进行修复，或拒绝按发包人要求进行修复的；</w:t>
      </w:r>
    </w:p>
    <w:p w14:paraId="44A8B15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（7）承包人明确表示或者以其行为表明不履行合同主要义务的；</w:t>
      </w:r>
    </w:p>
    <w:p w14:paraId="60B2064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（8）承包人未能按照合同约定履行其他义务的。</w:t>
      </w:r>
    </w:p>
    <w:p w14:paraId="1AF717F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承包人发生除本项第（7）目约定以外的其他违约情况时，监理人可向承包人发出整改通知，要求其在指定的期限内改正。</w:t>
      </w:r>
    </w:p>
    <w:p w14:paraId="6D41B9D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16.2.2 承包人违约的责任</w:t>
      </w:r>
    </w:p>
    <w:p w14:paraId="6500F62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承包人应承担因其违约行为而增加的费用和（或）延误的工期。此外，合同当事人可在专用合同条款中另行约定承包人违约责任的承担方式和计算方法。</w:t>
      </w:r>
    </w:p>
    <w:p w14:paraId="5029077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16.2.3 因承包人违约解除合同</w:t>
      </w:r>
    </w:p>
    <w:p w14:paraId="14F0F97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D04782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16.2.4因承包人违约解除合同后的处理</w:t>
      </w:r>
    </w:p>
    <w:p w14:paraId="49B80C2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因承包人原因导致合同解除的，则合同当事人应在合同解除后28天内完成估价、付款和清算，并按以下约定执行：</w:t>
      </w:r>
    </w:p>
    <w:p w14:paraId="5DBF5F19">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（1）合同解除后，按第4.4款〔商定或确定〕商定或确定承包人实际完成工作对应的合同价款，以及承包人已提供的材料、工程设备、施工设备和临时工程等的价值；</w:t>
      </w:r>
    </w:p>
    <w:p w14:paraId="16711627">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（2）合同解除后，承包人应支付的违约金；</w:t>
      </w:r>
    </w:p>
    <w:p w14:paraId="0BF475F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（3）合同解除后，因解除合同给发包人造成的损失；</w:t>
      </w:r>
    </w:p>
    <w:p w14:paraId="6991C12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（4）合同解除后，承包人应按照发包人要求和监理人的指示完成现场的清理和撤离；</w:t>
      </w:r>
    </w:p>
    <w:p w14:paraId="1E4986BF">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（5）发包人和承包人应在合同解除后进行清算，出具最终结清付款证书，结清全部款项。</w:t>
      </w:r>
    </w:p>
    <w:p w14:paraId="28ECF3BE">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因承包人违约解除合同的，发包人有权暂停对承包人的付款，查清各项付款和已扣款项。发包人和承包人未能就合同解除后的清算和款项支付达成一致的，按照第20条〔争议解决〕的约定处理。</w:t>
      </w:r>
    </w:p>
    <w:p w14:paraId="51DEC6AA">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16.2.5采购合同权益转让</w:t>
      </w:r>
    </w:p>
    <w:p w14:paraId="1EE74D5B">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400C4EC">
      <w:pPr>
        <w:pStyle w:val="6"/>
        <w:spacing w:before="120" w:after="120" w:line="360" w:lineRule="exact"/>
        <w:ind w:firstLine="422" w:firstLineChars="200"/>
        <w:rPr>
          <w:rFonts w:ascii="宋体" w:hAnsi="宋体" w:cs="宋体"/>
          <w:b w:val="0"/>
          <w:color w:val="auto"/>
          <w:sz w:val="21"/>
          <w:szCs w:val="21"/>
        </w:rPr>
      </w:pPr>
      <w:bookmarkStart w:id="395" w:name="_Toc351203606"/>
      <w:r>
        <w:rPr>
          <w:rFonts w:hint="eastAsia" w:ascii="宋体" w:hAnsi="宋体" w:cs="宋体"/>
          <w:color w:val="auto"/>
          <w:sz w:val="21"/>
          <w:szCs w:val="21"/>
        </w:rPr>
        <w:t>16.3 第三人造成的违约</w:t>
      </w:r>
      <w:bookmarkEnd w:id="395"/>
    </w:p>
    <w:p w14:paraId="146C526D">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在履行合同过程中，一方当事人因第三人的原因造成违约的，应当向对方当事人承担违约责任。一方当事人和第三人之间的纠纷，依照法律规定或者按照约定解决。</w:t>
      </w:r>
    </w:p>
    <w:p w14:paraId="11ACC264">
      <w:pPr>
        <w:pStyle w:val="5"/>
        <w:spacing w:before="120" w:after="120" w:line="360" w:lineRule="exact"/>
        <w:rPr>
          <w:rFonts w:ascii="宋体" w:hAnsi="宋体" w:cs="宋体"/>
          <w:bCs w:val="0"/>
          <w:color w:val="auto"/>
          <w:sz w:val="21"/>
          <w:szCs w:val="21"/>
        </w:rPr>
      </w:pPr>
      <w:bookmarkStart w:id="396" w:name="_Toc351203607"/>
      <w:bookmarkStart w:id="397" w:name="_Toc337558823"/>
      <w:bookmarkStart w:id="398" w:name="_Toc296346617"/>
      <w:bookmarkStart w:id="399" w:name="_Toc296503116"/>
      <w:r>
        <w:rPr>
          <w:rFonts w:hint="eastAsia" w:ascii="宋体" w:hAnsi="宋体" w:cs="宋体"/>
          <w:bCs w:val="0"/>
          <w:color w:val="auto"/>
          <w:sz w:val="21"/>
          <w:szCs w:val="21"/>
        </w:rPr>
        <w:t>17. 不可抗力</w:t>
      </w:r>
      <w:bookmarkEnd w:id="396"/>
      <w:r>
        <w:rPr>
          <w:rFonts w:hint="eastAsia" w:ascii="宋体" w:hAnsi="宋体" w:cs="宋体"/>
          <w:bCs w:val="0"/>
          <w:color w:val="auto"/>
          <w:sz w:val="21"/>
          <w:szCs w:val="21"/>
        </w:rPr>
        <w:t xml:space="preserve"> </w:t>
      </w:r>
      <w:bookmarkEnd w:id="397"/>
      <w:bookmarkEnd w:id="398"/>
      <w:bookmarkEnd w:id="399"/>
    </w:p>
    <w:p w14:paraId="4083A464">
      <w:pPr>
        <w:pStyle w:val="6"/>
        <w:spacing w:before="120" w:after="120" w:line="360" w:lineRule="exact"/>
        <w:ind w:firstLine="422" w:firstLineChars="200"/>
        <w:rPr>
          <w:rFonts w:ascii="宋体" w:hAnsi="宋体" w:cs="宋体"/>
          <w:bCs w:val="0"/>
          <w:color w:val="auto"/>
          <w:sz w:val="21"/>
          <w:szCs w:val="21"/>
        </w:rPr>
      </w:pPr>
      <w:bookmarkStart w:id="400" w:name="_Toc351203608"/>
      <w:bookmarkStart w:id="401" w:name="_Toc337558824"/>
      <w:bookmarkStart w:id="402" w:name="_Toc296346618"/>
      <w:bookmarkStart w:id="403" w:name="_Toc296503117"/>
      <w:r>
        <w:rPr>
          <w:rFonts w:hint="eastAsia" w:ascii="宋体" w:hAnsi="宋体" w:cs="宋体"/>
          <w:bCs w:val="0"/>
          <w:color w:val="auto"/>
          <w:sz w:val="21"/>
          <w:szCs w:val="21"/>
        </w:rPr>
        <w:t>17.1 不可抗力的确认</w:t>
      </w:r>
      <w:bookmarkEnd w:id="400"/>
    </w:p>
    <w:bookmarkEnd w:id="401"/>
    <w:bookmarkEnd w:id="402"/>
    <w:bookmarkEnd w:id="403"/>
    <w:p w14:paraId="6E3B743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719AE8C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5FD00FD">
      <w:pPr>
        <w:pStyle w:val="6"/>
        <w:spacing w:before="120" w:after="120" w:line="360" w:lineRule="exact"/>
        <w:ind w:firstLine="422" w:firstLineChars="200"/>
        <w:rPr>
          <w:rFonts w:ascii="宋体" w:hAnsi="宋体" w:cs="宋体"/>
          <w:b w:val="0"/>
          <w:color w:val="auto"/>
          <w:sz w:val="21"/>
          <w:szCs w:val="21"/>
        </w:rPr>
      </w:pPr>
      <w:bookmarkStart w:id="404" w:name="_Toc351203609"/>
      <w:bookmarkStart w:id="405" w:name="_Toc296346619"/>
      <w:bookmarkStart w:id="406" w:name="_Toc296503118"/>
      <w:bookmarkStart w:id="407" w:name="_Toc337558825"/>
      <w:r>
        <w:rPr>
          <w:rFonts w:hint="eastAsia" w:ascii="宋体" w:hAnsi="宋体" w:cs="宋体"/>
          <w:color w:val="auto"/>
          <w:sz w:val="21"/>
          <w:szCs w:val="21"/>
        </w:rPr>
        <w:t>17.2 不可抗力的通知</w:t>
      </w:r>
      <w:bookmarkEnd w:id="404"/>
    </w:p>
    <w:bookmarkEnd w:id="405"/>
    <w:bookmarkEnd w:id="406"/>
    <w:bookmarkEnd w:id="407"/>
    <w:p w14:paraId="5635C07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合同一方当事人遇到不可抗力事件，使其履行合同义务受到阻碍时，应立即通知合同另一方当事人和监理人，书面说明不可抗力和受阻碍的详细情况，并提供必要的证明。</w:t>
      </w:r>
    </w:p>
    <w:p w14:paraId="3EB3590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1531789A">
      <w:pPr>
        <w:pStyle w:val="6"/>
        <w:spacing w:before="120" w:after="120" w:line="360" w:lineRule="exact"/>
        <w:ind w:firstLine="422" w:firstLineChars="200"/>
        <w:rPr>
          <w:rFonts w:ascii="宋体" w:hAnsi="宋体" w:cs="宋体"/>
          <w:b w:val="0"/>
          <w:color w:val="auto"/>
          <w:sz w:val="21"/>
          <w:szCs w:val="21"/>
        </w:rPr>
      </w:pPr>
      <w:bookmarkStart w:id="408" w:name="_Toc351203610"/>
      <w:bookmarkStart w:id="409" w:name="_Toc296346620"/>
      <w:bookmarkStart w:id="410" w:name="_Toc296503119"/>
      <w:bookmarkStart w:id="411" w:name="_Toc337558826"/>
      <w:r>
        <w:rPr>
          <w:rFonts w:hint="eastAsia" w:ascii="宋体" w:hAnsi="宋体" w:cs="宋体"/>
          <w:color w:val="auto"/>
          <w:sz w:val="21"/>
          <w:szCs w:val="21"/>
        </w:rPr>
        <w:t>17.3 不可抗力后果的承担</w:t>
      </w:r>
      <w:bookmarkEnd w:id="408"/>
    </w:p>
    <w:bookmarkEnd w:id="409"/>
    <w:bookmarkEnd w:id="410"/>
    <w:bookmarkEnd w:id="411"/>
    <w:p w14:paraId="186ABF1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17.3.1 不可抗力引起的后果及造成的损失由合同当事人按照法律规定及合同约定各自承担。不可抗力发生前已完成的工程应当按照合同约定进行计量支付。</w:t>
      </w:r>
    </w:p>
    <w:p w14:paraId="1B2AD9D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17.3.2 不可抗力导致的人员伤亡、财产损失、费用增加和（或）工期延误等后果，由合同当事人按以下原则承担：</w:t>
      </w:r>
    </w:p>
    <w:p w14:paraId="7910144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（1）永久工程、已运至施工现场的材料和工程设备的损坏，以及因工程损坏造成的第三人人员伤亡和财产损失由发包人承担；</w:t>
      </w:r>
    </w:p>
    <w:p w14:paraId="0E223FA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（2）承包人施工设备的损坏由承包人承担；</w:t>
      </w:r>
    </w:p>
    <w:p w14:paraId="2EC4F40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（3）发包人和承包人承担各自人员伤亡和财产的损失；</w:t>
      </w:r>
    </w:p>
    <w:p w14:paraId="5FEC0D5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769F7D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（5）因不可抗力引起或将引起工期延误，发包人要求赶工的，由此增加的赶工费用由发包人承担；</w:t>
      </w:r>
    </w:p>
    <w:p w14:paraId="1554FD6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（6）承包人在停工期间按照发包人要求照管、清理和修复工程的费用由发包人承担。</w:t>
      </w:r>
    </w:p>
    <w:p w14:paraId="0C631BB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不可抗力发生后，合同当事人均应采取措施尽量避免和减少损失的扩大，任何一方当事人没有采取有效措施导致损失扩大的，应对扩大的损失承担责任。</w:t>
      </w:r>
    </w:p>
    <w:p w14:paraId="1D711D2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因合同一方迟延履行合同义务，在迟延履行期间遭遇不可抗力的，不免除其违约责任。</w:t>
      </w:r>
    </w:p>
    <w:p w14:paraId="0A3EDFA7">
      <w:pPr>
        <w:pStyle w:val="6"/>
        <w:spacing w:before="120" w:after="120" w:line="360" w:lineRule="exact"/>
        <w:ind w:firstLine="422" w:firstLineChars="200"/>
        <w:rPr>
          <w:rFonts w:ascii="宋体" w:hAnsi="宋体" w:cs="宋体"/>
          <w:color w:val="auto"/>
          <w:sz w:val="21"/>
          <w:szCs w:val="21"/>
        </w:rPr>
      </w:pPr>
      <w:bookmarkStart w:id="412" w:name="_Toc351203611"/>
      <w:bookmarkStart w:id="413" w:name="_Toc337558827"/>
      <w:r>
        <w:rPr>
          <w:rFonts w:hint="eastAsia" w:ascii="宋体" w:hAnsi="宋体" w:cs="宋体"/>
          <w:color w:val="auto"/>
          <w:sz w:val="21"/>
          <w:szCs w:val="21"/>
        </w:rPr>
        <w:t>17.4 因不可抗力解除合同</w:t>
      </w:r>
      <w:bookmarkEnd w:id="412"/>
    </w:p>
    <w:bookmarkEnd w:id="413"/>
    <w:p w14:paraId="54C2AE31">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5E6ED84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（1）合同解除前承包人已完成工作的价款；</w:t>
      </w:r>
    </w:p>
    <w:p w14:paraId="4759122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（2）承包人为工程订购的并已交付给承包人，或承包人有责任接受交付的材料、工程设备和其他物品的价款；</w:t>
      </w:r>
    </w:p>
    <w:p w14:paraId="3407CBB2">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（3）发包人要求承包人退货或解除订货合同而产生的费用，或因不能退货或解除合同而产生的损失；</w:t>
      </w:r>
    </w:p>
    <w:p w14:paraId="440A256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（4）承包人撤离施工现场以及遣散承包人人员的费用；</w:t>
      </w:r>
    </w:p>
    <w:p w14:paraId="7607976C">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（5）按照合同约定在合同解除前应支付给承包人的其他款项；</w:t>
      </w:r>
    </w:p>
    <w:p w14:paraId="1197B7A3">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（6）扣减承包人按照合同约定应向发包人支付的款项；</w:t>
      </w:r>
    </w:p>
    <w:p w14:paraId="723ECE45">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（7）双方商定或确定的其他款项。</w:t>
      </w:r>
    </w:p>
    <w:p w14:paraId="175B2C18">
      <w:pPr>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除专用合同条款另有约定外，合同解除后，发包人应在商定或确定上述款项后28天内完成上述款项的支付。</w:t>
      </w:r>
    </w:p>
    <w:p w14:paraId="20FAA6BC">
      <w:pPr>
        <w:pStyle w:val="5"/>
        <w:spacing w:before="120" w:after="120" w:line="360" w:lineRule="exact"/>
        <w:rPr>
          <w:rFonts w:ascii="宋体" w:hAnsi="宋体" w:cs="宋体"/>
          <w:bCs w:val="0"/>
          <w:color w:val="auto"/>
          <w:sz w:val="21"/>
          <w:szCs w:val="21"/>
        </w:rPr>
      </w:pPr>
      <w:bookmarkStart w:id="414" w:name="_Toc351203612"/>
      <w:bookmarkStart w:id="415" w:name="_Toc296346621"/>
      <w:bookmarkStart w:id="416" w:name="_Toc296503120"/>
      <w:bookmarkStart w:id="417" w:name="_Toc337558828"/>
      <w:r>
        <w:rPr>
          <w:rFonts w:hint="eastAsia" w:ascii="宋体" w:hAnsi="宋体" w:cs="宋体"/>
          <w:bCs w:val="0"/>
          <w:color w:val="auto"/>
          <w:sz w:val="21"/>
          <w:szCs w:val="21"/>
        </w:rPr>
        <w:t>18. 保险</w:t>
      </w:r>
      <w:bookmarkEnd w:id="414"/>
    </w:p>
    <w:bookmarkEnd w:id="415"/>
    <w:bookmarkEnd w:id="416"/>
    <w:bookmarkEnd w:id="417"/>
    <w:p w14:paraId="037BC6A8">
      <w:pPr>
        <w:pStyle w:val="6"/>
        <w:spacing w:before="120" w:after="120" w:line="360" w:lineRule="exact"/>
        <w:ind w:firstLine="422" w:firstLineChars="200"/>
        <w:rPr>
          <w:rFonts w:ascii="宋体" w:hAnsi="宋体" w:cs="宋体"/>
          <w:b w:val="0"/>
          <w:color w:val="auto"/>
          <w:sz w:val="21"/>
          <w:szCs w:val="21"/>
        </w:rPr>
      </w:pPr>
      <w:bookmarkStart w:id="418" w:name="_Toc351203613"/>
      <w:bookmarkStart w:id="419" w:name="_Toc337558829"/>
      <w:bookmarkStart w:id="420" w:name="_Toc296503121"/>
      <w:bookmarkStart w:id="421" w:name="_Toc296346622"/>
      <w:r>
        <w:rPr>
          <w:rFonts w:hint="eastAsia" w:ascii="宋体" w:hAnsi="宋体" w:cs="宋体"/>
          <w:bCs w:val="0"/>
          <w:color w:val="auto"/>
          <w:sz w:val="21"/>
          <w:szCs w:val="21"/>
        </w:rPr>
        <w:t>18.1 工程保险</w:t>
      </w:r>
      <w:bookmarkEnd w:id="418"/>
    </w:p>
    <w:bookmarkEnd w:id="419"/>
    <w:bookmarkEnd w:id="420"/>
    <w:bookmarkEnd w:id="421"/>
    <w:p w14:paraId="1F9FF746">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除专用合同条款另有约定外，发包人应投保建筑工程一切险或安装工程一切险；发包人委托承包人投保的，因投保产生的保险费和其他相关费用由发包人承担。</w:t>
      </w:r>
    </w:p>
    <w:p w14:paraId="27D8B0CE">
      <w:pPr>
        <w:pStyle w:val="6"/>
        <w:spacing w:before="120" w:after="120" w:line="360" w:lineRule="exact"/>
        <w:ind w:firstLine="422" w:firstLineChars="200"/>
        <w:rPr>
          <w:rFonts w:ascii="宋体" w:hAnsi="宋体" w:cs="宋体"/>
          <w:color w:val="auto"/>
          <w:sz w:val="21"/>
          <w:szCs w:val="21"/>
        </w:rPr>
      </w:pPr>
      <w:bookmarkStart w:id="422" w:name="_Toc351203614"/>
      <w:bookmarkStart w:id="423" w:name="_Toc296346623"/>
      <w:bookmarkStart w:id="424" w:name="_Toc296503122"/>
      <w:bookmarkStart w:id="425" w:name="_Toc337558830"/>
      <w:r>
        <w:rPr>
          <w:rFonts w:hint="eastAsia" w:ascii="宋体" w:hAnsi="宋体" w:cs="宋体"/>
          <w:color w:val="auto"/>
          <w:sz w:val="21"/>
          <w:szCs w:val="21"/>
        </w:rPr>
        <w:t>18.2 工伤保险</w:t>
      </w:r>
      <w:bookmarkEnd w:id="422"/>
    </w:p>
    <w:bookmarkEnd w:id="423"/>
    <w:bookmarkEnd w:id="424"/>
    <w:bookmarkEnd w:id="425"/>
    <w:p w14:paraId="1854B07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18.2.1 发包人应依照法律规定参加工伤保险，并为在施工现场的全部员工办理工伤保险，缴纳工伤保险费，并要求监理人及由发包人为履行合同聘请的第三方依法参加工伤保险。</w:t>
      </w:r>
    </w:p>
    <w:p w14:paraId="1E62184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18.2.2 承包人应依照法律规定参加工伤保险，并为其履行合同的全部员工办理工伤保险，缴纳工伤保险费，并要求分包人及由承包人为履行合同聘请的第三方依法参加工伤保险。</w:t>
      </w:r>
    </w:p>
    <w:p w14:paraId="601791ED">
      <w:pPr>
        <w:pStyle w:val="6"/>
        <w:spacing w:before="120" w:after="120" w:line="360" w:lineRule="exact"/>
        <w:ind w:firstLine="422" w:firstLineChars="200"/>
        <w:rPr>
          <w:rFonts w:ascii="宋体" w:hAnsi="宋体" w:cs="宋体"/>
          <w:color w:val="auto"/>
          <w:sz w:val="21"/>
          <w:szCs w:val="21"/>
        </w:rPr>
      </w:pPr>
      <w:bookmarkStart w:id="426" w:name="_Toc351203615"/>
      <w:bookmarkStart w:id="427" w:name="_Toc296346626"/>
      <w:bookmarkStart w:id="428" w:name="_Toc337558831"/>
      <w:bookmarkStart w:id="429" w:name="_Toc296503125"/>
      <w:r>
        <w:rPr>
          <w:rFonts w:hint="eastAsia" w:ascii="宋体" w:hAnsi="宋体" w:cs="宋体"/>
          <w:color w:val="auto"/>
          <w:sz w:val="21"/>
          <w:szCs w:val="21"/>
        </w:rPr>
        <w:t>18.3其他保险</w:t>
      </w:r>
      <w:bookmarkEnd w:id="426"/>
    </w:p>
    <w:bookmarkEnd w:id="427"/>
    <w:bookmarkEnd w:id="428"/>
    <w:bookmarkEnd w:id="429"/>
    <w:p w14:paraId="16B94DFA">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发包人和承包人可以为其施工现场的全部人员办理意外伤害保险并支付保险费，包括其员工及为履行合同聘请的第三方的人员，具体事项由合同当事人在专用合同条款约定。</w:t>
      </w:r>
    </w:p>
    <w:p w14:paraId="490EC868">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除专用合同条款另有约定外，承包人应为其施工设备等办理财产保险。</w:t>
      </w:r>
    </w:p>
    <w:p w14:paraId="480B9DC4">
      <w:pPr>
        <w:pStyle w:val="6"/>
        <w:spacing w:before="120" w:after="120" w:line="360" w:lineRule="exact"/>
        <w:ind w:firstLine="422" w:firstLineChars="200"/>
        <w:rPr>
          <w:rFonts w:ascii="宋体" w:hAnsi="宋体" w:cs="宋体"/>
          <w:color w:val="auto"/>
          <w:sz w:val="21"/>
          <w:szCs w:val="21"/>
        </w:rPr>
      </w:pPr>
      <w:bookmarkStart w:id="430" w:name="_Toc351203616"/>
      <w:r>
        <w:rPr>
          <w:rFonts w:hint="eastAsia" w:ascii="宋体" w:hAnsi="宋体" w:cs="宋体"/>
          <w:color w:val="auto"/>
          <w:sz w:val="21"/>
          <w:szCs w:val="21"/>
        </w:rPr>
        <w:t>18.4持续保险</w:t>
      </w:r>
      <w:bookmarkEnd w:id="430"/>
    </w:p>
    <w:p w14:paraId="40A957C0">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合同当事人应与保险人保持联系，使保险人能够随时了解工程实施中的变动，并确保按保险合同条款要求持续保险。</w:t>
      </w:r>
    </w:p>
    <w:p w14:paraId="00671D7F">
      <w:pPr>
        <w:pStyle w:val="6"/>
        <w:spacing w:before="120" w:after="120" w:line="360" w:lineRule="exact"/>
        <w:ind w:firstLine="422" w:firstLineChars="200"/>
        <w:rPr>
          <w:rFonts w:ascii="宋体" w:hAnsi="宋体" w:cs="宋体"/>
          <w:b w:val="0"/>
          <w:color w:val="auto"/>
          <w:sz w:val="21"/>
          <w:szCs w:val="21"/>
        </w:rPr>
      </w:pPr>
      <w:bookmarkStart w:id="431" w:name="_Toc351203617"/>
      <w:bookmarkStart w:id="432" w:name="_Toc296503126"/>
      <w:bookmarkStart w:id="433" w:name="_Toc296346627"/>
      <w:bookmarkStart w:id="434" w:name="_Toc337558832"/>
      <w:r>
        <w:rPr>
          <w:rFonts w:hint="eastAsia" w:ascii="宋体" w:hAnsi="宋体" w:cs="宋体"/>
          <w:color w:val="auto"/>
          <w:sz w:val="21"/>
          <w:szCs w:val="21"/>
        </w:rPr>
        <w:t>18.5 保险凭证</w:t>
      </w:r>
      <w:bookmarkEnd w:id="431"/>
    </w:p>
    <w:bookmarkEnd w:id="432"/>
    <w:bookmarkEnd w:id="433"/>
    <w:bookmarkEnd w:id="434"/>
    <w:p w14:paraId="0A7137F6">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合同当事人应及时向另一方当事人提交其已投保的各项保险的凭证和保险单复印件。</w:t>
      </w:r>
    </w:p>
    <w:p w14:paraId="37ED4E06">
      <w:pPr>
        <w:pStyle w:val="6"/>
        <w:spacing w:before="120" w:after="120" w:line="360" w:lineRule="exact"/>
        <w:ind w:firstLine="422" w:firstLineChars="200"/>
        <w:rPr>
          <w:rFonts w:ascii="宋体" w:hAnsi="宋体" w:cs="宋体"/>
          <w:color w:val="auto"/>
          <w:sz w:val="21"/>
          <w:szCs w:val="21"/>
        </w:rPr>
      </w:pPr>
      <w:bookmarkStart w:id="435" w:name="_Toc351203618"/>
      <w:bookmarkStart w:id="436" w:name="_Toc337558833"/>
      <w:bookmarkStart w:id="437" w:name="_Toc296503127"/>
      <w:bookmarkStart w:id="438" w:name="_Toc296346628"/>
      <w:r>
        <w:rPr>
          <w:rFonts w:hint="eastAsia" w:ascii="宋体" w:hAnsi="宋体" w:cs="宋体"/>
          <w:color w:val="auto"/>
          <w:sz w:val="21"/>
          <w:szCs w:val="21"/>
        </w:rPr>
        <w:t>18.6 未按约定投保的补救</w:t>
      </w:r>
      <w:bookmarkEnd w:id="435"/>
    </w:p>
    <w:bookmarkEnd w:id="436"/>
    <w:bookmarkEnd w:id="437"/>
    <w:bookmarkEnd w:id="438"/>
    <w:p w14:paraId="510F1CC0">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18.6.1发包人未按合同约定办理保险，或未能使保险持续有效的，则承包人可代为办理，所需费用由发包人承担。发包人未按合同约定办理保险，导致未能得到足额赔偿的，由发包人负责补足。</w:t>
      </w:r>
    </w:p>
    <w:p w14:paraId="363A13C4">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18.6.2承包人未按合同约定办理保险，或未能使保险持续有效的，则发包人可代为办理，所需费用由承包人承担。承包人未按合同约定办理保险，导致未能得到足额赔偿的，由承包人负责补足。</w:t>
      </w:r>
    </w:p>
    <w:p w14:paraId="09E6DDD8">
      <w:pPr>
        <w:pStyle w:val="6"/>
        <w:spacing w:before="120" w:after="120" w:line="360" w:lineRule="exact"/>
        <w:ind w:firstLine="422" w:firstLineChars="200"/>
        <w:rPr>
          <w:rFonts w:ascii="宋体" w:hAnsi="宋体" w:cs="宋体"/>
          <w:color w:val="auto"/>
          <w:sz w:val="21"/>
          <w:szCs w:val="21"/>
        </w:rPr>
      </w:pPr>
      <w:bookmarkStart w:id="439" w:name="_Toc351203619"/>
      <w:bookmarkStart w:id="440" w:name="_Toc337558834"/>
      <w:r>
        <w:rPr>
          <w:rFonts w:hint="eastAsia" w:ascii="宋体" w:hAnsi="宋体" w:cs="宋体"/>
          <w:color w:val="auto"/>
          <w:sz w:val="21"/>
          <w:szCs w:val="21"/>
        </w:rPr>
        <w:t>18.7 通知义务</w:t>
      </w:r>
      <w:bookmarkEnd w:id="439"/>
    </w:p>
    <w:bookmarkEnd w:id="440"/>
    <w:p w14:paraId="54DCC81B">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4FC093D4">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保险事故发生时，投保人应按照保险合同规定的条件和期限及时向保险人报告。发包人和承包人应当在知道保险事故发生后及时通知对方。</w:t>
      </w:r>
    </w:p>
    <w:p w14:paraId="5E396EDC">
      <w:pPr>
        <w:pStyle w:val="5"/>
        <w:spacing w:before="120" w:after="120" w:line="360" w:lineRule="exact"/>
        <w:rPr>
          <w:rFonts w:ascii="宋体" w:hAnsi="宋体" w:cs="宋体"/>
          <w:bCs w:val="0"/>
          <w:color w:val="auto"/>
          <w:sz w:val="21"/>
          <w:szCs w:val="21"/>
        </w:rPr>
      </w:pPr>
      <w:bookmarkStart w:id="441" w:name="_Toc351203620"/>
      <w:bookmarkStart w:id="442" w:name="_Toc296503140"/>
      <w:bookmarkStart w:id="443" w:name="_Toc337558835"/>
      <w:bookmarkStart w:id="444" w:name="_Toc296346641"/>
      <w:r>
        <w:rPr>
          <w:rFonts w:hint="eastAsia" w:ascii="宋体" w:hAnsi="宋体" w:cs="宋体"/>
          <w:bCs w:val="0"/>
          <w:color w:val="auto"/>
          <w:sz w:val="21"/>
          <w:szCs w:val="21"/>
        </w:rPr>
        <w:t>19. 索赔</w:t>
      </w:r>
      <w:bookmarkEnd w:id="441"/>
    </w:p>
    <w:bookmarkEnd w:id="442"/>
    <w:bookmarkEnd w:id="443"/>
    <w:bookmarkEnd w:id="444"/>
    <w:p w14:paraId="579E023B">
      <w:pPr>
        <w:pStyle w:val="6"/>
        <w:spacing w:before="120" w:after="120" w:line="360" w:lineRule="exact"/>
        <w:ind w:firstLine="422" w:firstLineChars="200"/>
        <w:rPr>
          <w:rFonts w:ascii="宋体" w:hAnsi="宋体" w:cs="宋体"/>
          <w:bCs w:val="0"/>
          <w:color w:val="auto"/>
          <w:sz w:val="21"/>
          <w:szCs w:val="21"/>
        </w:rPr>
      </w:pPr>
      <w:bookmarkStart w:id="445" w:name="_Toc351203621"/>
      <w:bookmarkStart w:id="446" w:name="_Toc296346642"/>
      <w:bookmarkStart w:id="447" w:name="_Toc337558836"/>
      <w:bookmarkStart w:id="448" w:name="_Toc296503141"/>
      <w:r>
        <w:rPr>
          <w:rFonts w:hint="eastAsia" w:ascii="宋体" w:hAnsi="宋体" w:cs="宋体"/>
          <w:bCs w:val="0"/>
          <w:color w:val="auto"/>
          <w:sz w:val="21"/>
          <w:szCs w:val="21"/>
        </w:rPr>
        <w:t>19.1承包人的索赔</w:t>
      </w:r>
      <w:bookmarkEnd w:id="445"/>
    </w:p>
    <w:bookmarkEnd w:id="446"/>
    <w:bookmarkEnd w:id="447"/>
    <w:bookmarkEnd w:id="448"/>
    <w:p w14:paraId="15CA64B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根据合同约定，承包人认为有权得到追加付款和（或）延长工期的，应按以下程序向发包人提出索赔：</w:t>
      </w:r>
    </w:p>
    <w:p w14:paraId="5BADC34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8521829">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（2）承包人应在发出索赔意向通知书后28天内，向监理人正式递交索赔报告；索赔报告应详细说明索赔理由以及要求追加的付款金额和（或）延长的工期，并附必要的记录和证明材料；</w:t>
      </w:r>
    </w:p>
    <w:p w14:paraId="0285EF9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（3）索赔事件具有持续影响的，承包人应按合理时间间隔继续递交延续索赔通知，说明持续影响的实际情况和记录，列出累计的追加付款金额和（或）工期延长天数；</w:t>
      </w:r>
    </w:p>
    <w:p w14:paraId="2F06FA0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（4）在索赔事件影响结束后28天内，承包人应向监理人递交最终索赔报告，说明最终要求索赔的追加付款金额和（或）延长的工期，并附必要的记录和证明材料。</w:t>
      </w:r>
    </w:p>
    <w:p w14:paraId="46BC6EE4">
      <w:pPr>
        <w:pStyle w:val="6"/>
        <w:spacing w:before="120" w:after="120" w:line="360" w:lineRule="exact"/>
        <w:ind w:firstLine="422" w:firstLineChars="200"/>
        <w:rPr>
          <w:rFonts w:ascii="宋体" w:hAnsi="宋体" w:cs="宋体"/>
          <w:color w:val="auto"/>
          <w:sz w:val="21"/>
          <w:szCs w:val="21"/>
        </w:rPr>
      </w:pPr>
      <w:bookmarkStart w:id="449" w:name="_Toc351203622"/>
      <w:bookmarkStart w:id="450" w:name="_Toc337558837"/>
      <w:bookmarkStart w:id="451" w:name="_Toc296503142"/>
      <w:bookmarkStart w:id="452" w:name="_Toc296346643"/>
      <w:r>
        <w:rPr>
          <w:rFonts w:hint="eastAsia" w:ascii="宋体" w:hAnsi="宋体" w:cs="宋体"/>
          <w:color w:val="auto"/>
          <w:sz w:val="21"/>
          <w:szCs w:val="21"/>
        </w:rPr>
        <w:t>19.2 对承包人索赔的处理</w:t>
      </w:r>
      <w:bookmarkEnd w:id="449"/>
    </w:p>
    <w:bookmarkEnd w:id="450"/>
    <w:bookmarkEnd w:id="451"/>
    <w:bookmarkEnd w:id="452"/>
    <w:p w14:paraId="1DE028A7">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对承包人索赔的处理如下：</w:t>
      </w:r>
    </w:p>
    <w:p w14:paraId="2E941671">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（1）监理人应在收到索赔报告后14天内完成审查并报送发包人。监理人对索赔报告存在异议的，有权要求承包人提交全部原始记录副本；</w:t>
      </w:r>
    </w:p>
    <w:p w14:paraId="6040D4F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480A915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（3）承包人接受索赔处理结果的，索赔款项在当期进度款中进行支付；承包人不接受索赔处理结果的，按照第20条〔争议解决〕约定处理。</w:t>
      </w:r>
    </w:p>
    <w:p w14:paraId="4B0976AA">
      <w:pPr>
        <w:pStyle w:val="6"/>
        <w:spacing w:before="120" w:after="120" w:line="360" w:lineRule="exact"/>
        <w:ind w:firstLine="422" w:firstLineChars="200"/>
        <w:rPr>
          <w:rFonts w:ascii="宋体" w:hAnsi="宋体" w:cs="宋体"/>
          <w:color w:val="auto"/>
          <w:sz w:val="21"/>
          <w:szCs w:val="21"/>
        </w:rPr>
      </w:pPr>
      <w:bookmarkStart w:id="453" w:name="_Toc351203623"/>
      <w:bookmarkStart w:id="454" w:name="_Toc296346644"/>
      <w:bookmarkStart w:id="455" w:name="_Toc337558838"/>
      <w:bookmarkStart w:id="456" w:name="_Toc296503143"/>
      <w:r>
        <w:rPr>
          <w:rFonts w:hint="eastAsia" w:ascii="宋体" w:hAnsi="宋体" w:cs="宋体"/>
          <w:color w:val="auto"/>
          <w:sz w:val="21"/>
          <w:szCs w:val="21"/>
        </w:rPr>
        <w:t>19.3发包人的索赔</w:t>
      </w:r>
      <w:bookmarkEnd w:id="453"/>
    </w:p>
    <w:bookmarkEnd w:id="454"/>
    <w:bookmarkEnd w:id="455"/>
    <w:bookmarkEnd w:id="456"/>
    <w:p w14:paraId="526B9C4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根据合同约定，发包人认为有权得到赔付金额和（或）延长缺陷责任期的，监理人应向承包人发出通知并附有详细的证明。</w:t>
      </w:r>
    </w:p>
    <w:p w14:paraId="788CE1B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BCA3313">
      <w:pPr>
        <w:pStyle w:val="6"/>
        <w:spacing w:before="120" w:after="120" w:line="360" w:lineRule="exact"/>
        <w:ind w:firstLine="422" w:firstLineChars="200"/>
        <w:rPr>
          <w:rFonts w:ascii="宋体" w:hAnsi="宋体" w:cs="宋体"/>
          <w:color w:val="auto"/>
          <w:sz w:val="21"/>
          <w:szCs w:val="21"/>
        </w:rPr>
      </w:pPr>
      <w:bookmarkStart w:id="457" w:name="_Toc351203624"/>
      <w:bookmarkStart w:id="458" w:name="_Toc296503144"/>
      <w:bookmarkStart w:id="459" w:name="_Toc296346645"/>
      <w:bookmarkStart w:id="460" w:name="_Toc337558839"/>
      <w:r>
        <w:rPr>
          <w:rFonts w:hint="eastAsia" w:ascii="宋体" w:hAnsi="宋体" w:cs="宋体"/>
          <w:color w:val="auto"/>
          <w:sz w:val="21"/>
          <w:szCs w:val="21"/>
        </w:rPr>
        <w:t>19.4 对发包人索赔的处理</w:t>
      </w:r>
      <w:bookmarkEnd w:id="457"/>
    </w:p>
    <w:bookmarkEnd w:id="458"/>
    <w:bookmarkEnd w:id="459"/>
    <w:bookmarkEnd w:id="460"/>
    <w:p w14:paraId="7BDC908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对发包人索赔的处理如下：</w:t>
      </w:r>
    </w:p>
    <w:p w14:paraId="2A435AF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（1）承包人收到发包人提交的索赔报告后，应及时审查索赔报告的内容、查验发包人证明材料；</w:t>
      </w:r>
    </w:p>
    <w:p w14:paraId="21AD6142">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（2）承包人应在收到索赔报告或有关索赔的进一步证明材料后28天内，将索赔处理结果答复发包人。如果承包人未在上述期限内作出答复的，则视为对发包人索赔要求的认可；</w:t>
      </w:r>
    </w:p>
    <w:p w14:paraId="4594F92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（3）承包人接受索赔处理结果的，发包人可从应支付给承包人的合同价款中扣除赔付的金额或延长缺陷责任期；发包人不接受索赔处理结果的，按第20条〔争议解决〕约定处理。</w:t>
      </w:r>
    </w:p>
    <w:p w14:paraId="4D3D43B2">
      <w:pPr>
        <w:pStyle w:val="6"/>
        <w:spacing w:before="120" w:after="120" w:line="360" w:lineRule="exact"/>
        <w:ind w:firstLine="422" w:firstLineChars="200"/>
        <w:rPr>
          <w:rFonts w:ascii="宋体" w:hAnsi="宋体" w:cs="宋体"/>
          <w:color w:val="auto"/>
          <w:sz w:val="21"/>
          <w:szCs w:val="21"/>
        </w:rPr>
      </w:pPr>
      <w:bookmarkStart w:id="461" w:name="_Toc351203625"/>
      <w:r>
        <w:rPr>
          <w:rFonts w:hint="eastAsia" w:ascii="宋体" w:hAnsi="宋体" w:cs="宋体"/>
          <w:color w:val="auto"/>
          <w:sz w:val="21"/>
          <w:szCs w:val="21"/>
        </w:rPr>
        <w:t>19.5 提出索赔的期限</w:t>
      </w:r>
      <w:bookmarkEnd w:id="461"/>
    </w:p>
    <w:p w14:paraId="46FED4A5">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（1）承包人按第14.2款〔竣工结算审核〕约定接收竣工付款证书后，应被视为已无权再提出在工程接收证书颁发前所发生的任何索赔。</w:t>
      </w:r>
    </w:p>
    <w:p w14:paraId="063E2B56">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（2）承包人按第14.4款〔最终结清〕提交的最终结清申请单中，只限于提出工程接收证书颁发后发生的索赔。提出索赔的期限自接受最终结清证书时终止。</w:t>
      </w:r>
    </w:p>
    <w:p w14:paraId="0EAFC69A">
      <w:pPr>
        <w:pStyle w:val="5"/>
        <w:spacing w:before="120" w:after="120" w:line="360" w:lineRule="exact"/>
        <w:rPr>
          <w:rFonts w:ascii="宋体" w:hAnsi="宋体" w:cs="宋体"/>
          <w:bCs w:val="0"/>
          <w:color w:val="auto"/>
          <w:sz w:val="21"/>
          <w:szCs w:val="21"/>
        </w:rPr>
      </w:pPr>
      <w:bookmarkStart w:id="462" w:name="_Toc351203626"/>
      <w:r>
        <w:rPr>
          <w:rFonts w:hint="eastAsia" w:ascii="宋体" w:hAnsi="宋体" w:cs="宋体"/>
          <w:bCs w:val="0"/>
          <w:color w:val="auto"/>
          <w:sz w:val="21"/>
          <w:szCs w:val="21"/>
        </w:rPr>
        <w:t>20</w:t>
      </w:r>
      <w:bookmarkStart w:id="463" w:name="_Toc296503146"/>
      <w:bookmarkStart w:id="464" w:name="_Toc296346647"/>
      <w:bookmarkStart w:id="465" w:name="_Toc337558840"/>
      <w:r>
        <w:rPr>
          <w:rFonts w:hint="eastAsia" w:ascii="宋体" w:hAnsi="宋体" w:cs="宋体"/>
          <w:bCs w:val="0"/>
          <w:color w:val="auto"/>
          <w:sz w:val="21"/>
          <w:szCs w:val="21"/>
        </w:rPr>
        <w:t>. 争议解决</w:t>
      </w:r>
      <w:bookmarkEnd w:id="462"/>
    </w:p>
    <w:bookmarkEnd w:id="463"/>
    <w:bookmarkEnd w:id="464"/>
    <w:bookmarkEnd w:id="465"/>
    <w:p w14:paraId="4E4171F4">
      <w:pPr>
        <w:pStyle w:val="6"/>
        <w:spacing w:before="120" w:after="120" w:line="360" w:lineRule="exact"/>
        <w:ind w:firstLine="422" w:firstLineChars="200"/>
        <w:rPr>
          <w:rFonts w:ascii="宋体" w:hAnsi="宋体" w:cs="宋体"/>
          <w:bCs w:val="0"/>
          <w:color w:val="auto"/>
          <w:sz w:val="21"/>
          <w:szCs w:val="21"/>
        </w:rPr>
      </w:pPr>
      <w:bookmarkStart w:id="466" w:name="_Toc351203627"/>
      <w:bookmarkStart w:id="467" w:name="_Toc296503147"/>
      <w:bookmarkStart w:id="468" w:name="_Toc296346648"/>
      <w:bookmarkStart w:id="469" w:name="_Toc337558841"/>
      <w:r>
        <w:rPr>
          <w:rFonts w:hint="eastAsia" w:ascii="宋体" w:hAnsi="宋体" w:cs="宋体"/>
          <w:bCs w:val="0"/>
          <w:color w:val="auto"/>
          <w:sz w:val="21"/>
          <w:szCs w:val="21"/>
        </w:rPr>
        <w:t>20.1和解</w:t>
      </w:r>
      <w:bookmarkEnd w:id="466"/>
    </w:p>
    <w:bookmarkEnd w:id="467"/>
    <w:bookmarkEnd w:id="468"/>
    <w:bookmarkEnd w:id="469"/>
    <w:p w14:paraId="0B11270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合同当事人可以就争议自行和解，自行和解达成协议的经双方签字并盖章后作为合同补充文件，双方均应遵照执行。</w:t>
      </w:r>
    </w:p>
    <w:p w14:paraId="2A21418C">
      <w:pPr>
        <w:pStyle w:val="6"/>
        <w:spacing w:before="120" w:after="120" w:line="360" w:lineRule="exact"/>
        <w:ind w:firstLine="422" w:firstLineChars="200"/>
        <w:rPr>
          <w:rFonts w:ascii="宋体" w:hAnsi="宋体" w:cs="宋体"/>
          <w:color w:val="auto"/>
          <w:sz w:val="21"/>
          <w:szCs w:val="21"/>
        </w:rPr>
      </w:pPr>
      <w:bookmarkStart w:id="470" w:name="_Toc351203628"/>
      <w:r>
        <w:rPr>
          <w:rFonts w:hint="eastAsia" w:ascii="宋体" w:hAnsi="宋体" w:cs="宋体"/>
          <w:color w:val="auto"/>
          <w:sz w:val="21"/>
          <w:szCs w:val="21"/>
        </w:rPr>
        <w:t>20</w:t>
      </w:r>
      <w:bookmarkStart w:id="471" w:name="_Toc296503148"/>
      <w:bookmarkStart w:id="472" w:name="_Toc296346649"/>
      <w:bookmarkStart w:id="473" w:name="_Toc337558842"/>
      <w:r>
        <w:rPr>
          <w:rFonts w:hint="eastAsia" w:ascii="宋体" w:hAnsi="宋体" w:cs="宋体"/>
          <w:color w:val="auto"/>
          <w:sz w:val="21"/>
          <w:szCs w:val="21"/>
        </w:rPr>
        <w:t>.2调解</w:t>
      </w:r>
      <w:bookmarkEnd w:id="470"/>
    </w:p>
    <w:bookmarkEnd w:id="471"/>
    <w:bookmarkEnd w:id="472"/>
    <w:bookmarkEnd w:id="473"/>
    <w:p w14:paraId="70F06784">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合同当事人可以就争议请求建设行政主管部门、行业协会或其他第三方进行调解，调解达成协议的，经双方签字并盖章后作为合同补充文件，双方均应遵照执行。</w:t>
      </w:r>
    </w:p>
    <w:p w14:paraId="11E4BAC6">
      <w:pPr>
        <w:pStyle w:val="6"/>
        <w:spacing w:before="120" w:after="120" w:line="360" w:lineRule="exact"/>
        <w:ind w:firstLine="422" w:firstLineChars="200"/>
        <w:rPr>
          <w:rFonts w:ascii="宋体" w:hAnsi="宋体" w:cs="宋体"/>
          <w:color w:val="auto"/>
          <w:sz w:val="21"/>
          <w:szCs w:val="21"/>
        </w:rPr>
      </w:pPr>
      <w:bookmarkStart w:id="474" w:name="_Toc351203629"/>
      <w:bookmarkStart w:id="475" w:name="_Toc296346650"/>
      <w:bookmarkStart w:id="476" w:name="_Toc296503149"/>
      <w:bookmarkStart w:id="477" w:name="_Toc337558843"/>
      <w:r>
        <w:rPr>
          <w:rFonts w:hint="eastAsia" w:ascii="宋体" w:hAnsi="宋体" w:cs="宋体"/>
          <w:color w:val="auto"/>
          <w:sz w:val="21"/>
          <w:szCs w:val="21"/>
        </w:rPr>
        <w:t>20.3争议评审</w:t>
      </w:r>
      <w:bookmarkEnd w:id="474"/>
    </w:p>
    <w:bookmarkEnd w:id="475"/>
    <w:bookmarkEnd w:id="476"/>
    <w:bookmarkEnd w:id="477"/>
    <w:p w14:paraId="2B1BF8D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合同当事人在专用合同条款中约定采取争议评审方式解决争议以及评审规则，并按下列约定执行： </w:t>
      </w:r>
    </w:p>
    <w:p w14:paraId="3BCABA2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20.3.1 争议评审小组的确定</w:t>
      </w:r>
    </w:p>
    <w:p w14:paraId="1DA42D6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合同当事人可以共同选择一名或三名争议评审员，组成争议评审小组。除专用合同条款另有约定外，合同当事人应当自合同签订后28天内，或者争议发生后14天内，选定争议评审员。</w:t>
      </w:r>
    </w:p>
    <w:p w14:paraId="064B6205">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76684CC">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除专用合同条款另有约定外，评审员报酬由发包人和承包人各承担一半。</w:t>
      </w:r>
    </w:p>
    <w:p w14:paraId="7C6CED78">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20.3.2 争议评审小组的决定</w:t>
      </w:r>
    </w:p>
    <w:p w14:paraId="7B87119D">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D947783">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20.3.3 争议评审小组决定的效力</w:t>
      </w:r>
    </w:p>
    <w:p w14:paraId="48DDE74B">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争议评审小组作出的书面决定经合同当事人签字确认后，对双方具有约束力，双方应遵照执行。</w:t>
      </w:r>
    </w:p>
    <w:p w14:paraId="451E29E0">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任何一方当事人不接受争议评审小组决定或不履行争议评审小组决定的，双方可选择采用其他争议解决方式。</w:t>
      </w:r>
    </w:p>
    <w:p w14:paraId="4ECA1FEF">
      <w:pPr>
        <w:pStyle w:val="6"/>
        <w:spacing w:before="120" w:after="120" w:line="360" w:lineRule="exact"/>
        <w:ind w:firstLine="422" w:firstLineChars="200"/>
        <w:rPr>
          <w:rFonts w:ascii="宋体" w:hAnsi="宋体" w:cs="宋体"/>
          <w:color w:val="auto"/>
          <w:sz w:val="21"/>
          <w:szCs w:val="21"/>
        </w:rPr>
      </w:pPr>
      <w:bookmarkStart w:id="478" w:name="_Toc351203630"/>
      <w:bookmarkStart w:id="479" w:name="_Toc296503150"/>
      <w:bookmarkStart w:id="480" w:name="_Toc337558844"/>
      <w:bookmarkStart w:id="481" w:name="_Toc296346651"/>
      <w:r>
        <w:rPr>
          <w:rFonts w:hint="eastAsia" w:ascii="宋体" w:hAnsi="宋体" w:cs="宋体"/>
          <w:color w:val="auto"/>
          <w:sz w:val="21"/>
          <w:szCs w:val="21"/>
        </w:rPr>
        <w:t>20.4仲裁或诉讼</w:t>
      </w:r>
      <w:bookmarkEnd w:id="478"/>
    </w:p>
    <w:bookmarkEnd w:id="479"/>
    <w:bookmarkEnd w:id="480"/>
    <w:bookmarkEnd w:id="481"/>
    <w:p w14:paraId="736D6C1E">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因合同及合同有关事项产生的争议，合同当事人可以在专用合同条款中约定以下一种方式解决争议：</w:t>
      </w:r>
    </w:p>
    <w:p w14:paraId="502A26FA">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（1）向约定的仲裁委员会申请仲裁；</w:t>
      </w:r>
    </w:p>
    <w:p w14:paraId="6745041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（2）向有管辖权的人民法院起诉。</w:t>
      </w:r>
    </w:p>
    <w:p w14:paraId="3EFAEA57">
      <w:pPr>
        <w:pStyle w:val="6"/>
        <w:spacing w:before="120" w:after="120" w:line="360" w:lineRule="exact"/>
        <w:ind w:firstLine="422" w:firstLineChars="200"/>
        <w:rPr>
          <w:rFonts w:ascii="宋体" w:hAnsi="宋体" w:cs="宋体"/>
          <w:b w:val="0"/>
          <w:color w:val="auto"/>
          <w:sz w:val="21"/>
          <w:szCs w:val="21"/>
        </w:rPr>
      </w:pPr>
      <w:bookmarkStart w:id="482" w:name="_Toc351203631"/>
      <w:bookmarkStart w:id="483" w:name="_Toc296346653"/>
      <w:bookmarkStart w:id="484" w:name="_Toc337558845"/>
      <w:bookmarkStart w:id="485" w:name="_Toc296503152"/>
      <w:r>
        <w:rPr>
          <w:rFonts w:hint="eastAsia" w:ascii="宋体" w:hAnsi="宋体" w:cs="宋体"/>
          <w:color w:val="auto"/>
          <w:sz w:val="21"/>
          <w:szCs w:val="21"/>
        </w:rPr>
        <w:t>20.5争议解决条款效力</w:t>
      </w:r>
      <w:bookmarkEnd w:id="482"/>
    </w:p>
    <w:bookmarkEnd w:id="483"/>
    <w:bookmarkEnd w:id="484"/>
    <w:bookmarkEnd w:id="485"/>
    <w:p w14:paraId="20F3261F">
      <w:pPr>
        <w:autoSpaceDE w:val="0"/>
        <w:autoSpaceDN w:val="0"/>
        <w:adjustRightInd w:val="0"/>
        <w:spacing w:line="3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合同有关争议解决的条款独立存在，合同的变更、解除、终止、无效或者被撤销均不影响其效力。 </w:t>
      </w:r>
    </w:p>
    <w:p w14:paraId="7385C8B2">
      <w:pPr>
        <w:pStyle w:val="2"/>
        <w:keepNext/>
        <w:keepLines/>
        <w:pageBreakBefore w:val="0"/>
        <w:widowControl w:val="0"/>
        <w:kinsoku/>
        <w:wordWrap/>
        <w:overflowPunct/>
        <w:topLinePunct w:val="0"/>
        <w:autoSpaceDE/>
        <w:autoSpaceDN/>
        <w:bidi w:val="0"/>
        <w:adjustRightInd/>
        <w:snapToGrid/>
        <w:spacing w:line="15" w:lineRule="auto"/>
        <w:jc w:val="center"/>
        <w:textAlignment w:val="auto"/>
        <w:rPr>
          <w:rFonts w:ascii="宋体" w:hAnsi="宋体"/>
          <w:color w:val="auto"/>
          <w:sz w:val="21"/>
          <w:szCs w:val="21"/>
          <w:lang w:val="zh-CN"/>
        </w:rPr>
      </w:pPr>
      <w:r>
        <w:rPr>
          <w:rFonts w:ascii="华文中宋" w:hAnsi="华文中宋" w:eastAsia="华文中宋"/>
          <w:color w:val="auto"/>
        </w:rPr>
        <w:br w:type="page"/>
      </w:r>
      <w:bookmarkStart w:id="486" w:name="_Toc373478426"/>
      <w:bookmarkEnd w:id="486"/>
      <w:bookmarkStart w:id="487" w:name="_Toc389065344"/>
      <w:bookmarkEnd w:id="487"/>
      <w:bookmarkStart w:id="488" w:name="_Toc373227779"/>
      <w:bookmarkEnd w:id="488"/>
      <w:bookmarkStart w:id="489" w:name="_Toc351203652"/>
      <w:bookmarkEnd w:id="489"/>
      <w:bookmarkStart w:id="490" w:name="_Toc420933428"/>
      <w:bookmarkEnd w:id="490"/>
      <w:bookmarkStart w:id="491" w:name="_Toc20695"/>
      <w:bookmarkStart w:id="492" w:name="_Toc18315"/>
      <w:bookmarkStart w:id="493" w:name="_Toc31534"/>
      <w:bookmarkStart w:id="494" w:name="_Toc30528"/>
      <w:bookmarkStart w:id="495" w:name="_Toc14977"/>
      <w:r>
        <w:rPr>
          <w:rFonts w:hint="eastAsia" w:ascii="宋体" w:hAnsi="宋体"/>
          <w:color w:val="auto"/>
          <w:sz w:val="21"/>
          <w:szCs w:val="21"/>
          <w:lang w:val="zh-CN"/>
        </w:rPr>
        <w:t>第三部分 专用</w:t>
      </w:r>
      <w:r>
        <w:rPr>
          <w:rFonts w:ascii="宋体" w:hAnsi="宋体"/>
          <w:color w:val="auto"/>
          <w:sz w:val="21"/>
          <w:szCs w:val="21"/>
          <w:lang w:val="zh-CN"/>
        </w:rPr>
        <w:t>合同条款</w:t>
      </w:r>
      <w:bookmarkEnd w:id="491"/>
      <w:bookmarkEnd w:id="492"/>
      <w:bookmarkEnd w:id="493"/>
      <w:bookmarkEnd w:id="494"/>
      <w:bookmarkEnd w:id="495"/>
    </w:p>
    <w:p w14:paraId="52E3286A">
      <w:pPr>
        <w:pStyle w:val="2"/>
        <w:keepNext w:val="0"/>
        <w:keepLines/>
        <w:pageBreakBefore w:val="0"/>
        <w:widowControl w:val="0"/>
        <w:kinsoku/>
        <w:wordWrap/>
        <w:overflowPunct/>
        <w:topLinePunct w:val="0"/>
        <w:autoSpaceDE/>
        <w:autoSpaceDN/>
        <w:bidi w:val="0"/>
        <w:adjustRightInd/>
        <w:snapToGrid/>
        <w:spacing w:line="240" w:lineRule="exact"/>
        <w:textAlignment w:val="auto"/>
        <w:rPr>
          <w:rFonts w:ascii="宋体" w:hAnsi="宋体" w:cs="宋体"/>
          <w:color w:val="auto"/>
          <w:sz w:val="21"/>
          <w:szCs w:val="21"/>
          <w:lang w:val="zh-CN"/>
        </w:rPr>
      </w:pPr>
      <w:bookmarkStart w:id="496" w:name="_Toc358569763"/>
      <w:bookmarkEnd w:id="496"/>
      <w:bookmarkStart w:id="497" w:name="_Toc30192"/>
      <w:bookmarkStart w:id="498" w:name="_Toc833"/>
      <w:bookmarkStart w:id="499" w:name="_Toc14815"/>
      <w:bookmarkStart w:id="500" w:name="_Toc17736"/>
      <w:bookmarkStart w:id="501" w:name="_Toc1245"/>
      <w:r>
        <w:rPr>
          <w:rFonts w:ascii="宋体" w:hAnsi="宋体" w:cs="宋体"/>
          <w:color w:val="auto"/>
          <w:sz w:val="21"/>
          <w:szCs w:val="21"/>
          <w:lang w:val="zh-CN"/>
        </w:rPr>
        <w:t>1</w:t>
      </w:r>
      <w:bookmarkStart w:id="502" w:name="_Toc296346657"/>
      <w:bookmarkEnd w:id="502"/>
      <w:bookmarkStart w:id="503" w:name="_Toc297120456"/>
      <w:bookmarkEnd w:id="503"/>
      <w:bookmarkStart w:id="504" w:name="_Toc297048342"/>
      <w:bookmarkEnd w:id="504"/>
      <w:bookmarkStart w:id="505" w:name="_Toc296890984"/>
      <w:bookmarkEnd w:id="505"/>
      <w:bookmarkStart w:id="506" w:name="_Toc296347155"/>
      <w:bookmarkEnd w:id="506"/>
      <w:bookmarkStart w:id="507" w:name="_Toc292559361"/>
      <w:bookmarkEnd w:id="507"/>
      <w:bookmarkStart w:id="508" w:name="_Toc296891196"/>
      <w:bookmarkEnd w:id="508"/>
      <w:bookmarkStart w:id="509" w:name="_Toc296503156"/>
      <w:bookmarkEnd w:id="509"/>
      <w:bookmarkStart w:id="510" w:name="_Toc292559866"/>
      <w:bookmarkEnd w:id="510"/>
      <w:bookmarkStart w:id="511" w:name="_Toc296944495"/>
      <w:bookmarkEnd w:id="511"/>
      <w:r>
        <w:rPr>
          <w:rFonts w:ascii="宋体" w:hAnsi="宋体" w:cs="宋体"/>
          <w:color w:val="auto"/>
          <w:sz w:val="21"/>
          <w:szCs w:val="21"/>
          <w:lang w:val="zh-CN"/>
        </w:rPr>
        <w:t>. 一般约定</w:t>
      </w:r>
      <w:bookmarkEnd w:id="497"/>
      <w:bookmarkEnd w:id="498"/>
      <w:bookmarkEnd w:id="499"/>
      <w:bookmarkEnd w:id="500"/>
      <w:bookmarkEnd w:id="501"/>
    </w:p>
    <w:p w14:paraId="18C362C3">
      <w:pPr>
        <w:pStyle w:val="2"/>
        <w:keepNext w:val="0"/>
        <w:keepLines/>
        <w:pageBreakBefore w:val="0"/>
        <w:widowControl w:val="0"/>
        <w:kinsoku/>
        <w:wordWrap/>
        <w:overflowPunct/>
        <w:topLinePunct w:val="0"/>
        <w:autoSpaceDE/>
        <w:autoSpaceDN/>
        <w:bidi w:val="0"/>
        <w:adjustRightInd/>
        <w:snapToGrid/>
        <w:spacing w:line="240" w:lineRule="exact"/>
        <w:textAlignment w:val="auto"/>
        <w:rPr>
          <w:rFonts w:ascii="宋体" w:hAnsi="宋体" w:cs="宋体"/>
          <w:color w:val="auto"/>
          <w:sz w:val="21"/>
          <w:szCs w:val="21"/>
          <w:lang w:val="zh-CN"/>
        </w:rPr>
      </w:pPr>
      <w:bookmarkStart w:id="512" w:name="_Toc406054731"/>
      <w:bookmarkEnd w:id="512"/>
      <w:bookmarkStart w:id="513" w:name="_Toc373227693"/>
      <w:bookmarkEnd w:id="513"/>
      <w:bookmarkStart w:id="514" w:name="_Toc373478340"/>
      <w:bookmarkEnd w:id="514"/>
      <w:bookmarkStart w:id="515" w:name="_Toc5625"/>
      <w:bookmarkStart w:id="516" w:name="_Toc26045"/>
      <w:bookmarkStart w:id="517" w:name="_Toc31432"/>
      <w:bookmarkStart w:id="518" w:name="_Toc19611"/>
      <w:bookmarkStart w:id="519" w:name="_Toc8583"/>
      <w:r>
        <w:rPr>
          <w:rFonts w:ascii="宋体" w:hAnsi="宋体" w:cs="宋体"/>
          <w:color w:val="auto"/>
          <w:sz w:val="21"/>
          <w:szCs w:val="21"/>
          <w:lang w:val="zh-CN"/>
        </w:rPr>
        <w:t>1.1 词语定义</w:t>
      </w:r>
      <w:bookmarkEnd w:id="515"/>
      <w:bookmarkEnd w:id="516"/>
      <w:bookmarkEnd w:id="517"/>
      <w:bookmarkEnd w:id="518"/>
      <w:bookmarkEnd w:id="519"/>
    </w:p>
    <w:p w14:paraId="3D1E2741">
      <w:pPr>
        <w:spacing w:line="360" w:lineRule="exact"/>
        <w:ind w:firstLine="420"/>
        <w:rPr>
          <w:rFonts w:ascii="宋体" w:hAnsi="宋体" w:cs="宋体"/>
          <w:color w:val="auto"/>
          <w:kern w:val="1"/>
          <w:szCs w:val="21"/>
        </w:rPr>
      </w:pPr>
      <w:r>
        <w:rPr>
          <w:rFonts w:ascii="宋体" w:hAnsi="宋体" w:cs="宋体"/>
          <w:color w:val="auto"/>
          <w:kern w:val="1"/>
          <w:szCs w:val="21"/>
        </w:rPr>
        <w:t>1.1.1合同</w:t>
      </w:r>
    </w:p>
    <w:p w14:paraId="4FDAF21E">
      <w:pPr>
        <w:spacing w:line="360" w:lineRule="exact"/>
        <w:ind w:firstLine="420"/>
        <w:rPr>
          <w:rFonts w:ascii="宋体" w:hAnsi="宋体" w:cs="宋体"/>
          <w:color w:val="auto"/>
          <w:kern w:val="1"/>
          <w:szCs w:val="21"/>
        </w:rPr>
      </w:pPr>
      <w:r>
        <w:rPr>
          <w:rFonts w:ascii="宋体" w:hAnsi="宋体" w:cs="宋体"/>
          <w:color w:val="auto"/>
          <w:kern w:val="1"/>
          <w:szCs w:val="21"/>
        </w:rPr>
        <w:t>1.1.1.10其他合同文件包括：</w:t>
      </w:r>
      <w:r>
        <w:rPr>
          <w:rFonts w:hint="eastAsia" w:ascii="宋体" w:hAnsi="宋体"/>
          <w:color w:val="auto"/>
          <w:szCs w:val="21"/>
          <w:u w:val="single"/>
        </w:rPr>
        <w:t>成交</w:t>
      </w:r>
      <w:r>
        <w:rPr>
          <w:rFonts w:ascii="宋体" w:hAnsi="宋体"/>
          <w:color w:val="auto"/>
          <w:szCs w:val="21"/>
          <w:u w:val="single"/>
        </w:rPr>
        <w:t>通知书；</w:t>
      </w:r>
      <w:r>
        <w:rPr>
          <w:rFonts w:hint="eastAsia" w:ascii="宋体" w:hAnsi="宋体"/>
          <w:color w:val="auto"/>
          <w:szCs w:val="21"/>
          <w:u w:val="single"/>
        </w:rPr>
        <w:t>响应</w:t>
      </w:r>
      <w:r>
        <w:rPr>
          <w:rFonts w:ascii="宋体" w:hAnsi="宋体"/>
          <w:color w:val="auto"/>
          <w:szCs w:val="21"/>
          <w:u w:val="single"/>
        </w:rPr>
        <w:t>函及其附录；</w:t>
      </w:r>
      <w:r>
        <w:rPr>
          <w:rFonts w:hint="eastAsia" w:ascii="宋体" w:hAnsi="宋体"/>
          <w:color w:val="auto"/>
          <w:szCs w:val="21"/>
          <w:u w:val="single"/>
        </w:rPr>
        <w:t>补充合同（协议）</w:t>
      </w:r>
      <w:r>
        <w:rPr>
          <w:rFonts w:ascii="宋体" w:hAnsi="宋体"/>
          <w:color w:val="auto"/>
          <w:szCs w:val="21"/>
          <w:u w:val="single"/>
        </w:rPr>
        <w:t xml:space="preserve">及其附件；图纸；技术标准和要求；已标价工程量清单 </w:t>
      </w:r>
      <w:r>
        <w:rPr>
          <w:rFonts w:ascii="宋体" w:hAnsi="宋体" w:cs="宋体"/>
          <w:color w:val="auto"/>
          <w:kern w:val="1"/>
          <w:szCs w:val="21"/>
        </w:rPr>
        <w:t>。</w:t>
      </w:r>
    </w:p>
    <w:p w14:paraId="74CBA8DE">
      <w:pPr>
        <w:spacing w:line="360" w:lineRule="exact"/>
        <w:ind w:firstLine="420"/>
        <w:rPr>
          <w:rFonts w:ascii="宋体" w:hAnsi="宋体" w:cs="宋体"/>
          <w:color w:val="auto"/>
          <w:kern w:val="1"/>
          <w:szCs w:val="21"/>
        </w:rPr>
      </w:pPr>
      <w:r>
        <w:rPr>
          <w:rFonts w:ascii="宋体" w:hAnsi="宋体" w:cs="宋体"/>
          <w:color w:val="auto"/>
          <w:kern w:val="1"/>
          <w:szCs w:val="21"/>
        </w:rPr>
        <w:t>1.1.2 合同当事人及其他相关方</w:t>
      </w:r>
    </w:p>
    <w:p w14:paraId="71BC224D">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520" w:name="_Toc406054732"/>
      <w:bookmarkEnd w:id="520"/>
      <w:bookmarkStart w:id="521" w:name="_Toc373227694"/>
      <w:bookmarkEnd w:id="521"/>
      <w:bookmarkStart w:id="522" w:name="_Toc373478341"/>
      <w:bookmarkEnd w:id="522"/>
      <w:bookmarkStart w:id="523" w:name="_Toc29424"/>
      <w:bookmarkStart w:id="524" w:name="_Toc23483"/>
      <w:bookmarkStart w:id="525" w:name="_Toc8027"/>
      <w:bookmarkStart w:id="526" w:name="_Toc20144"/>
      <w:bookmarkStart w:id="527" w:name="_Toc29972"/>
      <w:r>
        <w:rPr>
          <w:rFonts w:ascii="宋体" w:hAnsi="宋体" w:cs="宋体"/>
          <w:color w:val="auto"/>
          <w:sz w:val="21"/>
          <w:szCs w:val="21"/>
          <w:lang w:val="zh-CN"/>
        </w:rPr>
        <w:t>1.</w:t>
      </w:r>
      <w:r>
        <w:rPr>
          <w:rFonts w:hint="eastAsia" w:ascii="宋体" w:hAnsi="宋体" w:cs="宋体"/>
          <w:color w:val="auto"/>
          <w:sz w:val="21"/>
          <w:szCs w:val="21"/>
          <w:lang w:val="en-US" w:eastAsia="zh-CN"/>
        </w:rPr>
        <w:t>2</w:t>
      </w:r>
      <w:r>
        <w:rPr>
          <w:rFonts w:ascii="宋体" w:hAnsi="宋体" w:cs="宋体"/>
          <w:color w:val="auto"/>
          <w:sz w:val="21"/>
          <w:szCs w:val="21"/>
          <w:lang w:val="zh-CN"/>
        </w:rPr>
        <w:t>法律</w:t>
      </w:r>
      <w:bookmarkEnd w:id="523"/>
      <w:bookmarkEnd w:id="524"/>
      <w:bookmarkEnd w:id="525"/>
      <w:bookmarkEnd w:id="526"/>
      <w:bookmarkEnd w:id="527"/>
    </w:p>
    <w:p w14:paraId="52D89BC8">
      <w:pPr>
        <w:spacing w:line="360" w:lineRule="exact"/>
        <w:jc w:val="left"/>
        <w:rPr>
          <w:rFonts w:ascii="宋体" w:hAnsi="宋体" w:cs="宋体"/>
          <w:color w:val="auto"/>
          <w:kern w:val="1"/>
          <w:szCs w:val="21"/>
        </w:rPr>
      </w:pPr>
      <w:r>
        <w:rPr>
          <w:rFonts w:ascii="宋体" w:hAnsi="宋体" w:cs="宋体"/>
          <w:color w:val="auto"/>
          <w:kern w:val="1"/>
          <w:szCs w:val="21"/>
        </w:rPr>
        <w:t>适用于合同的其他规范性文件：</w:t>
      </w:r>
      <w:r>
        <w:rPr>
          <w:rFonts w:hint="eastAsia" w:ascii="宋体" w:hAnsi="宋体" w:cs="宋体"/>
          <w:color w:val="auto"/>
          <w:kern w:val="1"/>
          <w:szCs w:val="21"/>
          <w:u w:val="single"/>
        </w:rPr>
        <w:t>按国家</w:t>
      </w:r>
      <w:r>
        <w:rPr>
          <w:rFonts w:ascii="宋体" w:hAnsi="宋体" w:cs="宋体"/>
          <w:color w:val="auto"/>
          <w:kern w:val="1"/>
          <w:szCs w:val="21"/>
          <w:u w:val="single"/>
        </w:rPr>
        <w:t>有关规定</w:t>
      </w:r>
      <w:r>
        <w:rPr>
          <w:rFonts w:ascii="宋体" w:hAnsi="宋体" w:cs="宋体"/>
          <w:color w:val="auto"/>
          <w:kern w:val="1"/>
          <w:szCs w:val="21"/>
        </w:rPr>
        <w:t>。</w:t>
      </w:r>
    </w:p>
    <w:p w14:paraId="5D147036">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528" w:name="_Toc373227695"/>
      <w:bookmarkEnd w:id="528"/>
      <w:bookmarkStart w:id="529" w:name="_Toc373478342"/>
      <w:bookmarkEnd w:id="529"/>
      <w:bookmarkStart w:id="530" w:name="_Toc406054733"/>
      <w:bookmarkEnd w:id="530"/>
      <w:bookmarkStart w:id="531" w:name="_Toc6697"/>
      <w:bookmarkStart w:id="532" w:name="_Toc16770"/>
      <w:bookmarkStart w:id="533" w:name="_Toc29507"/>
      <w:bookmarkStart w:id="534" w:name="_Toc14206"/>
      <w:bookmarkStart w:id="535" w:name="_Toc26494"/>
      <w:r>
        <w:rPr>
          <w:rFonts w:ascii="宋体" w:hAnsi="宋体" w:cs="宋体"/>
          <w:color w:val="auto"/>
          <w:sz w:val="21"/>
          <w:szCs w:val="21"/>
          <w:lang w:val="zh-CN"/>
        </w:rPr>
        <w:t>1.</w:t>
      </w:r>
      <w:r>
        <w:rPr>
          <w:rFonts w:hint="eastAsia" w:ascii="宋体" w:hAnsi="宋体" w:cs="宋体"/>
          <w:color w:val="auto"/>
          <w:sz w:val="21"/>
          <w:szCs w:val="21"/>
          <w:lang w:val="en-US" w:eastAsia="zh-CN"/>
        </w:rPr>
        <w:t>3</w:t>
      </w:r>
      <w:r>
        <w:rPr>
          <w:rFonts w:ascii="宋体" w:hAnsi="宋体" w:cs="宋体"/>
          <w:color w:val="auto"/>
          <w:sz w:val="21"/>
          <w:szCs w:val="21"/>
          <w:lang w:val="zh-CN"/>
        </w:rPr>
        <w:t xml:space="preserve"> 标准和规范</w:t>
      </w:r>
      <w:bookmarkEnd w:id="531"/>
      <w:bookmarkEnd w:id="532"/>
      <w:bookmarkEnd w:id="533"/>
      <w:bookmarkEnd w:id="534"/>
      <w:bookmarkEnd w:id="535"/>
    </w:p>
    <w:p w14:paraId="2D0A3765">
      <w:pPr>
        <w:spacing w:line="360" w:lineRule="exact"/>
        <w:ind w:firstLine="420"/>
        <w:rPr>
          <w:rFonts w:ascii="宋体" w:hAnsi="宋体" w:cs="宋体"/>
          <w:color w:val="auto"/>
          <w:kern w:val="1"/>
          <w:szCs w:val="21"/>
        </w:rPr>
      </w:pPr>
      <w:r>
        <w:rPr>
          <w:rFonts w:ascii="宋体" w:hAnsi="宋体" w:cs="宋体"/>
          <w:color w:val="auto"/>
          <w:kern w:val="1"/>
          <w:szCs w:val="21"/>
        </w:rPr>
        <w:t>1.4.1适用于工程的标准规范包括：</w:t>
      </w:r>
      <w:r>
        <w:rPr>
          <w:rFonts w:hint="eastAsia" w:ascii="宋体" w:hAnsi="宋体" w:cs="宋体"/>
          <w:color w:val="auto"/>
          <w:kern w:val="1"/>
          <w:szCs w:val="21"/>
          <w:u w:val="single"/>
        </w:rPr>
        <w:t>施工规范、质量验收规范、质量评定标准、地方技术标准和规程</w:t>
      </w:r>
      <w:r>
        <w:rPr>
          <w:rFonts w:ascii="宋体" w:hAnsi="宋体" w:cs="宋体"/>
          <w:color w:val="auto"/>
          <w:kern w:val="1"/>
          <w:szCs w:val="21"/>
        </w:rPr>
        <w:t>。</w:t>
      </w:r>
    </w:p>
    <w:p w14:paraId="5053C23F">
      <w:pPr>
        <w:spacing w:line="360" w:lineRule="exact"/>
        <w:ind w:firstLine="420"/>
        <w:rPr>
          <w:rFonts w:ascii="宋体" w:hAnsi="宋体" w:cs="宋体"/>
          <w:color w:val="auto"/>
          <w:kern w:val="1"/>
          <w:szCs w:val="21"/>
        </w:rPr>
      </w:pPr>
      <w:r>
        <w:rPr>
          <w:rFonts w:ascii="宋体" w:hAnsi="宋体" w:cs="宋体"/>
          <w:color w:val="auto"/>
          <w:kern w:val="1"/>
          <w:szCs w:val="21"/>
        </w:rPr>
        <w:t>1.4.2 发包人提供国外标准、规范的名称：</w:t>
      </w:r>
      <w:r>
        <w:rPr>
          <w:rFonts w:hint="eastAsia" w:ascii="宋体" w:hAnsi="宋体" w:cs="宋体"/>
          <w:color w:val="auto"/>
          <w:kern w:val="1"/>
          <w:szCs w:val="21"/>
          <w:u w:val="single"/>
        </w:rPr>
        <w:t xml:space="preserve"> 无</w:t>
      </w:r>
      <w:r>
        <w:rPr>
          <w:rFonts w:ascii="宋体" w:hAnsi="宋体" w:cs="宋体"/>
          <w:color w:val="auto"/>
          <w:kern w:val="1"/>
          <w:szCs w:val="21"/>
        </w:rPr>
        <w:t>；</w:t>
      </w:r>
    </w:p>
    <w:p w14:paraId="72163BCA">
      <w:pPr>
        <w:spacing w:line="360" w:lineRule="exact"/>
        <w:ind w:firstLine="945"/>
        <w:rPr>
          <w:rFonts w:ascii="宋体" w:hAnsi="宋体" w:cs="宋体"/>
          <w:color w:val="auto"/>
          <w:kern w:val="1"/>
          <w:szCs w:val="21"/>
        </w:rPr>
      </w:pPr>
      <w:r>
        <w:rPr>
          <w:rFonts w:ascii="宋体" w:hAnsi="宋体" w:cs="宋体"/>
          <w:color w:val="auto"/>
          <w:kern w:val="1"/>
          <w:szCs w:val="21"/>
        </w:rPr>
        <w:t>发包人提供国外标准、规范的份数：</w:t>
      </w:r>
      <w:r>
        <w:rPr>
          <w:rFonts w:hint="eastAsia" w:ascii="宋体" w:hAnsi="宋体" w:cs="宋体"/>
          <w:color w:val="auto"/>
          <w:kern w:val="1"/>
          <w:szCs w:val="21"/>
          <w:u w:val="single"/>
        </w:rPr>
        <w:t>无</w:t>
      </w:r>
      <w:r>
        <w:rPr>
          <w:rFonts w:ascii="宋体" w:hAnsi="宋体" w:cs="宋体"/>
          <w:color w:val="auto"/>
          <w:kern w:val="1"/>
          <w:szCs w:val="21"/>
        </w:rPr>
        <w:t>；</w:t>
      </w:r>
    </w:p>
    <w:p w14:paraId="4AE8D2D5">
      <w:pPr>
        <w:spacing w:line="360" w:lineRule="exact"/>
        <w:ind w:firstLine="945"/>
        <w:rPr>
          <w:rFonts w:ascii="宋体" w:hAnsi="宋体" w:cs="宋体"/>
          <w:color w:val="auto"/>
          <w:kern w:val="1"/>
          <w:szCs w:val="21"/>
        </w:rPr>
      </w:pPr>
      <w:r>
        <w:rPr>
          <w:rFonts w:ascii="宋体" w:hAnsi="宋体" w:cs="宋体"/>
          <w:color w:val="auto"/>
          <w:kern w:val="1"/>
          <w:szCs w:val="21"/>
        </w:rPr>
        <w:t>发包人提供国外标准、规范的名称：</w:t>
      </w:r>
      <w:r>
        <w:rPr>
          <w:rFonts w:hint="eastAsia" w:ascii="宋体" w:hAnsi="宋体" w:cs="宋体"/>
          <w:color w:val="auto"/>
          <w:kern w:val="1"/>
          <w:szCs w:val="21"/>
          <w:u w:val="single"/>
        </w:rPr>
        <w:t>无</w:t>
      </w:r>
      <w:r>
        <w:rPr>
          <w:rFonts w:ascii="宋体" w:hAnsi="宋体" w:cs="宋体"/>
          <w:color w:val="auto"/>
          <w:kern w:val="1"/>
          <w:szCs w:val="21"/>
        </w:rPr>
        <w:t>。</w:t>
      </w:r>
    </w:p>
    <w:p w14:paraId="6C3EF9A6">
      <w:pPr>
        <w:spacing w:line="360" w:lineRule="exact"/>
        <w:ind w:firstLine="315"/>
        <w:rPr>
          <w:rFonts w:ascii="宋体" w:hAnsi="宋体" w:cs="宋体"/>
          <w:color w:val="auto"/>
          <w:kern w:val="1"/>
          <w:szCs w:val="21"/>
        </w:rPr>
      </w:pPr>
      <w:r>
        <w:rPr>
          <w:rFonts w:ascii="宋体" w:hAnsi="宋体" w:cs="宋体"/>
          <w:color w:val="auto"/>
          <w:kern w:val="1"/>
          <w:szCs w:val="21"/>
        </w:rPr>
        <w:t>1.4.3发包人对工程的技术标准和功能要求的特殊要求：</w:t>
      </w:r>
      <w:r>
        <w:rPr>
          <w:rFonts w:hint="eastAsia" w:ascii="宋体" w:hAnsi="宋体" w:cs="宋体"/>
          <w:color w:val="auto"/>
          <w:kern w:val="1"/>
          <w:szCs w:val="21"/>
          <w:u w:val="single"/>
        </w:rPr>
        <w:t>无</w:t>
      </w:r>
      <w:r>
        <w:rPr>
          <w:rFonts w:ascii="宋体" w:hAnsi="宋体" w:cs="宋体"/>
          <w:color w:val="auto"/>
          <w:kern w:val="1"/>
          <w:szCs w:val="21"/>
        </w:rPr>
        <w:t>。</w:t>
      </w:r>
    </w:p>
    <w:p w14:paraId="362D5DDF">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536" w:name="_Toc406054734"/>
      <w:bookmarkEnd w:id="536"/>
      <w:bookmarkStart w:id="537" w:name="_Toc373478343"/>
      <w:bookmarkEnd w:id="537"/>
      <w:bookmarkStart w:id="538" w:name="_Toc373227696"/>
      <w:bookmarkEnd w:id="538"/>
      <w:bookmarkStart w:id="539" w:name="_Toc10335"/>
      <w:bookmarkStart w:id="540" w:name="_Toc21228"/>
      <w:bookmarkStart w:id="541" w:name="_Toc12570"/>
      <w:bookmarkStart w:id="542" w:name="_Toc8323"/>
      <w:bookmarkStart w:id="543" w:name="_Toc14344"/>
      <w:r>
        <w:rPr>
          <w:rFonts w:ascii="宋体" w:hAnsi="宋体" w:cs="宋体"/>
          <w:color w:val="auto"/>
          <w:sz w:val="21"/>
          <w:szCs w:val="21"/>
          <w:lang w:val="zh-CN"/>
        </w:rPr>
        <w:t>1.</w:t>
      </w:r>
      <w:r>
        <w:rPr>
          <w:rFonts w:hint="eastAsia" w:ascii="宋体" w:hAnsi="宋体" w:cs="宋体"/>
          <w:color w:val="auto"/>
          <w:sz w:val="21"/>
          <w:szCs w:val="21"/>
          <w:lang w:val="en-US" w:eastAsia="zh-CN"/>
        </w:rPr>
        <w:t>4</w:t>
      </w:r>
      <w:r>
        <w:rPr>
          <w:rFonts w:ascii="宋体" w:hAnsi="宋体" w:cs="宋体"/>
          <w:color w:val="auto"/>
          <w:sz w:val="21"/>
          <w:szCs w:val="21"/>
          <w:lang w:val="zh-CN"/>
        </w:rPr>
        <w:t xml:space="preserve"> 合同文件的优先顺序</w:t>
      </w:r>
      <w:bookmarkEnd w:id="539"/>
      <w:bookmarkEnd w:id="540"/>
      <w:bookmarkEnd w:id="541"/>
      <w:bookmarkEnd w:id="542"/>
      <w:bookmarkEnd w:id="543"/>
    </w:p>
    <w:p w14:paraId="2D53E1FE">
      <w:pPr>
        <w:spacing w:line="360" w:lineRule="exact"/>
        <w:ind w:firstLine="420" w:firstLineChars="200"/>
        <w:rPr>
          <w:rFonts w:ascii="宋体" w:hAnsi="宋体"/>
          <w:color w:val="auto"/>
          <w:szCs w:val="21"/>
        </w:rPr>
      </w:pPr>
      <w:r>
        <w:rPr>
          <w:rFonts w:ascii="宋体" w:hAnsi="宋体"/>
          <w:color w:val="auto"/>
          <w:szCs w:val="21"/>
        </w:rPr>
        <w:t>（1）合同协议书；</w:t>
      </w:r>
    </w:p>
    <w:p w14:paraId="27A5FA17">
      <w:pPr>
        <w:spacing w:line="360" w:lineRule="exact"/>
        <w:ind w:firstLine="420" w:firstLineChars="200"/>
        <w:rPr>
          <w:rFonts w:ascii="宋体" w:hAnsi="宋体"/>
          <w:color w:val="auto"/>
          <w:szCs w:val="21"/>
        </w:rPr>
      </w:pPr>
      <w:r>
        <w:rPr>
          <w:rFonts w:ascii="宋体" w:hAnsi="宋体"/>
          <w:color w:val="auto"/>
          <w:szCs w:val="21"/>
        </w:rPr>
        <w:t>（2）中标通知书；</w:t>
      </w:r>
    </w:p>
    <w:p w14:paraId="4B947915">
      <w:pPr>
        <w:spacing w:line="360" w:lineRule="exact"/>
        <w:ind w:firstLine="420" w:firstLineChars="200"/>
        <w:rPr>
          <w:rFonts w:ascii="宋体" w:hAnsi="宋体"/>
          <w:color w:val="auto"/>
          <w:szCs w:val="21"/>
        </w:rPr>
      </w:pPr>
      <w:r>
        <w:rPr>
          <w:rFonts w:ascii="宋体" w:hAnsi="宋体"/>
          <w:color w:val="auto"/>
          <w:szCs w:val="21"/>
        </w:rPr>
        <w:t>（3）投标函及其附录；</w:t>
      </w:r>
    </w:p>
    <w:p w14:paraId="2E10CF45">
      <w:pPr>
        <w:spacing w:line="360" w:lineRule="exact"/>
        <w:ind w:firstLine="420" w:firstLineChars="200"/>
        <w:rPr>
          <w:rFonts w:ascii="宋体" w:hAnsi="宋体"/>
          <w:color w:val="auto"/>
          <w:szCs w:val="21"/>
        </w:rPr>
      </w:pPr>
      <w:r>
        <w:rPr>
          <w:rFonts w:ascii="宋体" w:hAnsi="宋体"/>
          <w:color w:val="auto"/>
          <w:szCs w:val="21"/>
        </w:rPr>
        <w:t>（4）专用合同条款及其附件；</w:t>
      </w:r>
    </w:p>
    <w:p w14:paraId="6A7ED090">
      <w:pPr>
        <w:spacing w:line="360" w:lineRule="exact"/>
        <w:ind w:firstLine="420" w:firstLineChars="200"/>
        <w:rPr>
          <w:rFonts w:ascii="宋体" w:hAnsi="宋体"/>
          <w:color w:val="auto"/>
          <w:szCs w:val="21"/>
        </w:rPr>
      </w:pPr>
      <w:r>
        <w:rPr>
          <w:rFonts w:ascii="宋体" w:hAnsi="宋体"/>
          <w:color w:val="auto"/>
          <w:szCs w:val="21"/>
        </w:rPr>
        <w:t>（5）通用合同条款；</w:t>
      </w:r>
    </w:p>
    <w:p w14:paraId="64277933">
      <w:pPr>
        <w:spacing w:line="360" w:lineRule="exact"/>
        <w:ind w:firstLine="420" w:firstLineChars="200"/>
        <w:rPr>
          <w:rFonts w:ascii="宋体" w:hAnsi="宋体"/>
          <w:color w:val="auto"/>
          <w:szCs w:val="21"/>
        </w:rPr>
      </w:pPr>
      <w:r>
        <w:rPr>
          <w:rFonts w:ascii="宋体" w:hAnsi="宋体"/>
          <w:color w:val="auto"/>
          <w:szCs w:val="21"/>
        </w:rPr>
        <w:t>（6）</w:t>
      </w:r>
      <w:r>
        <w:rPr>
          <w:rFonts w:ascii="宋体" w:hAnsi="宋体"/>
          <w:color w:val="auto"/>
          <w:szCs w:val="21"/>
          <w:u w:val="single"/>
        </w:rPr>
        <w:t xml:space="preserve">图纸 </w:t>
      </w:r>
      <w:r>
        <w:rPr>
          <w:rFonts w:ascii="宋体" w:hAnsi="宋体"/>
          <w:color w:val="auto"/>
          <w:szCs w:val="21"/>
        </w:rPr>
        <w:t>；</w:t>
      </w:r>
    </w:p>
    <w:p w14:paraId="6ADE0527">
      <w:pPr>
        <w:spacing w:line="360" w:lineRule="exact"/>
        <w:ind w:firstLine="420" w:firstLineChars="200"/>
        <w:rPr>
          <w:rFonts w:ascii="宋体" w:hAnsi="宋体"/>
          <w:color w:val="auto"/>
          <w:szCs w:val="21"/>
        </w:rPr>
      </w:pPr>
      <w:r>
        <w:rPr>
          <w:rFonts w:ascii="宋体" w:hAnsi="宋体"/>
          <w:color w:val="auto"/>
          <w:szCs w:val="21"/>
        </w:rPr>
        <w:t>（7）</w:t>
      </w:r>
      <w:r>
        <w:rPr>
          <w:rFonts w:ascii="宋体" w:hAnsi="宋体"/>
          <w:color w:val="auto"/>
          <w:szCs w:val="21"/>
          <w:u w:val="single"/>
        </w:rPr>
        <w:t xml:space="preserve">技术标准和要求 </w:t>
      </w:r>
      <w:r>
        <w:rPr>
          <w:rFonts w:ascii="宋体" w:hAnsi="宋体"/>
          <w:color w:val="auto"/>
          <w:szCs w:val="21"/>
        </w:rPr>
        <w:t>；</w:t>
      </w:r>
    </w:p>
    <w:p w14:paraId="74B82249">
      <w:pPr>
        <w:spacing w:line="360" w:lineRule="exact"/>
        <w:ind w:firstLine="420" w:firstLineChars="200"/>
        <w:rPr>
          <w:rFonts w:ascii="宋体" w:hAnsi="宋体"/>
          <w:color w:val="auto"/>
          <w:szCs w:val="21"/>
        </w:rPr>
      </w:pPr>
      <w:r>
        <w:rPr>
          <w:rFonts w:ascii="宋体" w:hAnsi="宋体"/>
          <w:color w:val="auto"/>
          <w:szCs w:val="21"/>
        </w:rPr>
        <w:t>（8）</w:t>
      </w:r>
      <w:r>
        <w:rPr>
          <w:rFonts w:ascii="宋体" w:hAnsi="宋体"/>
          <w:color w:val="auto"/>
          <w:szCs w:val="21"/>
          <w:u w:val="single"/>
        </w:rPr>
        <w:t xml:space="preserve">已标价工程量清单 </w:t>
      </w:r>
      <w:r>
        <w:rPr>
          <w:rFonts w:ascii="宋体" w:hAnsi="宋体"/>
          <w:color w:val="auto"/>
          <w:szCs w:val="21"/>
        </w:rPr>
        <w:t>；</w:t>
      </w:r>
    </w:p>
    <w:p w14:paraId="08C2D34A">
      <w:pPr>
        <w:spacing w:line="360" w:lineRule="exact"/>
        <w:ind w:firstLine="420" w:firstLineChars="200"/>
        <w:jc w:val="left"/>
        <w:rPr>
          <w:rFonts w:cs="宋体"/>
          <w:color w:val="auto"/>
          <w:kern w:val="1"/>
          <w:szCs w:val="21"/>
        </w:rPr>
      </w:pPr>
      <w:r>
        <w:rPr>
          <w:rFonts w:cs="宋体"/>
          <w:color w:val="auto"/>
          <w:kern w:val="1"/>
          <w:szCs w:val="21"/>
        </w:rPr>
        <w:t>（</w:t>
      </w:r>
      <w:r>
        <w:rPr>
          <w:rFonts w:hint="eastAsia" w:cs="宋体"/>
          <w:color w:val="auto"/>
          <w:kern w:val="1"/>
          <w:szCs w:val="21"/>
        </w:rPr>
        <w:t>9</w:t>
      </w:r>
      <w:r>
        <w:rPr>
          <w:rFonts w:cs="宋体"/>
          <w:color w:val="auto"/>
          <w:kern w:val="1"/>
          <w:szCs w:val="21"/>
        </w:rPr>
        <w:t>）《建设工程工程量清单计价规范（GB5050-2013）》及其广西实施细则及《关于建筑业实施营业税改征增值税后广西壮族自治区建设工程计价依据调整的通知》（桂建标〔2016〕17号）、</w:t>
      </w:r>
      <w:r>
        <w:rPr>
          <w:rFonts w:hint="eastAsia" w:cs="宋体"/>
          <w:color w:val="auto"/>
          <w:kern w:val="1"/>
          <w:szCs w:val="21"/>
        </w:rPr>
        <w:t>《</w:t>
      </w:r>
      <w:r>
        <w:rPr>
          <w:rFonts w:hint="eastAsia" w:ascii="宋体" w:hAnsi="宋体" w:cs="宋体"/>
          <w:color w:val="auto"/>
          <w:kern w:val="1"/>
          <w:szCs w:val="21"/>
        </w:rPr>
        <w:t>财政部 税务总局关于调整增值税税率的通知》（</w:t>
      </w:r>
      <w:r>
        <w:rPr>
          <w:rFonts w:hint="eastAsia" w:cs="宋体"/>
          <w:color w:val="auto"/>
          <w:szCs w:val="21"/>
        </w:rPr>
        <w:t>财税</w:t>
      </w:r>
      <w:r>
        <w:rPr>
          <w:rFonts w:cs="宋体"/>
          <w:color w:val="auto"/>
          <w:szCs w:val="21"/>
        </w:rPr>
        <w:t>〔</w:t>
      </w:r>
      <w:r>
        <w:rPr>
          <w:rFonts w:hint="eastAsia" w:cs="宋体"/>
          <w:color w:val="auto"/>
          <w:szCs w:val="21"/>
        </w:rPr>
        <w:t>2018</w:t>
      </w:r>
      <w:r>
        <w:rPr>
          <w:rFonts w:cs="宋体"/>
          <w:color w:val="auto"/>
          <w:szCs w:val="21"/>
        </w:rPr>
        <w:t>〕</w:t>
      </w:r>
      <w:r>
        <w:rPr>
          <w:rFonts w:hint="eastAsia" w:cs="宋体"/>
          <w:color w:val="auto"/>
          <w:szCs w:val="21"/>
        </w:rPr>
        <w:t>32</w:t>
      </w:r>
      <w:r>
        <w:rPr>
          <w:rFonts w:cs="宋体"/>
          <w:color w:val="auto"/>
          <w:szCs w:val="21"/>
        </w:rPr>
        <w:t>号</w:t>
      </w:r>
      <w:r>
        <w:rPr>
          <w:rFonts w:hint="eastAsia" w:ascii="宋体" w:hAnsi="宋体" w:cs="宋体"/>
          <w:color w:val="auto"/>
          <w:kern w:val="1"/>
          <w:szCs w:val="21"/>
        </w:rPr>
        <w:t>）》、</w:t>
      </w:r>
      <w:r>
        <w:rPr>
          <w:rFonts w:cs="宋体"/>
          <w:color w:val="auto"/>
          <w:kern w:val="1"/>
          <w:szCs w:val="21"/>
        </w:rPr>
        <w:t>《建设工程工程量清单计算规范（GB5854~50862-2013）》及其广西实施细则（修订本）。</w:t>
      </w:r>
    </w:p>
    <w:p w14:paraId="3959546A">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544" w:name="_Toc373227697"/>
      <w:bookmarkEnd w:id="544"/>
      <w:bookmarkStart w:id="545" w:name="_Toc406054735"/>
      <w:bookmarkEnd w:id="545"/>
      <w:bookmarkStart w:id="546" w:name="_Toc373478344"/>
      <w:bookmarkEnd w:id="546"/>
      <w:bookmarkStart w:id="547" w:name="_Toc6476"/>
      <w:bookmarkStart w:id="548" w:name="_Toc22262"/>
      <w:bookmarkStart w:id="549" w:name="_Toc31081"/>
      <w:bookmarkStart w:id="550" w:name="_Toc32348"/>
      <w:bookmarkStart w:id="551" w:name="_Toc4880"/>
      <w:r>
        <w:rPr>
          <w:rFonts w:ascii="宋体" w:hAnsi="宋体" w:cs="宋体"/>
          <w:color w:val="auto"/>
          <w:sz w:val="21"/>
          <w:szCs w:val="21"/>
          <w:lang w:val="zh-CN"/>
        </w:rPr>
        <w:t>1.</w:t>
      </w:r>
      <w:r>
        <w:rPr>
          <w:rFonts w:hint="eastAsia" w:ascii="宋体" w:hAnsi="宋体" w:cs="宋体"/>
          <w:color w:val="auto"/>
          <w:sz w:val="21"/>
          <w:szCs w:val="21"/>
          <w:lang w:val="en-US" w:eastAsia="zh-CN"/>
        </w:rPr>
        <w:t>5</w:t>
      </w:r>
      <w:r>
        <w:rPr>
          <w:rFonts w:ascii="宋体" w:hAnsi="宋体" w:cs="宋体"/>
          <w:color w:val="auto"/>
          <w:sz w:val="21"/>
          <w:szCs w:val="21"/>
          <w:lang w:val="zh-CN"/>
        </w:rPr>
        <w:t xml:space="preserve"> 图纸和承包人文件</w:t>
      </w:r>
      <w:bookmarkEnd w:id="547"/>
      <w:bookmarkEnd w:id="548"/>
      <w:bookmarkEnd w:id="549"/>
      <w:bookmarkEnd w:id="550"/>
      <w:bookmarkEnd w:id="551"/>
      <w:r>
        <w:rPr>
          <w:rFonts w:ascii="宋体" w:hAnsi="宋体" w:cs="宋体"/>
          <w:color w:val="auto"/>
          <w:sz w:val="21"/>
          <w:szCs w:val="21"/>
          <w:lang w:val="zh-CN"/>
        </w:rPr>
        <w:tab/>
      </w:r>
    </w:p>
    <w:p w14:paraId="78B5CBC9">
      <w:pPr>
        <w:spacing w:line="360" w:lineRule="exact"/>
        <w:ind w:firstLine="420"/>
        <w:rPr>
          <w:rFonts w:ascii="宋体" w:hAnsi="宋体" w:cs="宋体"/>
          <w:color w:val="auto"/>
          <w:kern w:val="1"/>
          <w:szCs w:val="21"/>
        </w:rPr>
      </w:pPr>
      <w:r>
        <w:rPr>
          <w:rFonts w:ascii="宋体" w:hAnsi="宋体" w:cs="宋体"/>
          <w:color w:val="auto"/>
          <w:kern w:val="1"/>
          <w:szCs w:val="21"/>
        </w:rPr>
        <w:t>1.6.1 图纸的提供</w:t>
      </w:r>
    </w:p>
    <w:p w14:paraId="595B2CA5">
      <w:pPr>
        <w:spacing w:line="360" w:lineRule="exact"/>
        <w:ind w:firstLine="420"/>
        <w:rPr>
          <w:rFonts w:ascii="宋体" w:hAnsi="宋体" w:cs="宋体"/>
          <w:color w:val="auto"/>
          <w:kern w:val="1"/>
          <w:szCs w:val="21"/>
        </w:rPr>
      </w:pPr>
      <w:r>
        <w:rPr>
          <w:rFonts w:ascii="宋体" w:hAnsi="宋体" w:cs="宋体"/>
          <w:color w:val="auto"/>
          <w:kern w:val="1"/>
          <w:szCs w:val="21"/>
        </w:rPr>
        <w:t>发包人向承包人提供图纸的期限：</w:t>
      </w:r>
      <w:r>
        <w:rPr>
          <w:rFonts w:hint="eastAsia" w:ascii="宋体" w:hAnsi="宋体" w:cs="宋体"/>
          <w:color w:val="auto"/>
          <w:kern w:val="1"/>
          <w:szCs w:val="21"/>
        </w:rPr>
        <w:t>双方约定的</w:t>
      </w:r>
      <w:r>
        <w:rPr>
          <w:rFonts w:ascii="宋体" w:hAnsi="宋体" w:cs="宋体"/>
          <w:color w:val="auto"/>
          <w:kern w:val="1"/>
          <w:szCs w:val="21"/>
          <w:u w:val="single"/>
        </w:rPr>
        <w:t>开工日期前</w:t>
      </w:r>
      <w:r>
        <w:rPr>
          <w:rFonts w:hint="eastAsia" w:ascii="宋体" w:hAnsi="宋体" w:cs="宋体"/>
          <w:color w:val="auto"/>
          <w:kern w:val="1"/>
          <w:szCs w:val="21"/>
          <w:u w:val="single"/>
        </w:rPr>
        <w:t>3天内</w:t>
      </w:r>
      <w:r>
        <w:rPr>
          <w:rFonts w:ascii="宋体" w:hAnsi="宋体" w:cs="宋体"/>
          <w:color w:val="auto"/>
          <w:kern w:val="1"/>
          <w:szCs w:val="21"/>
        </w:rPr>
        <w:t>；</w:t>
      </w:r>
    </w:p>
    <w:p w14:paraId="455311B9">
      <w:pPr>
        <w:spacing w:line="360" w:lineRule="exact"/>
        <w:ind w:firstLine="420"/>
        <w:rPr>
          <w:rFonts w:ascii="宋体" w:hAnsi="宋体" w:cs="宋体"/>
          <w:color w:val="auto"/>
          <w:kern w:val="1"/>
          <w:szCs w:val="21"/>
        </w:rPr>
      </w:pPr>
      <w:r>
        <w:rPr>
          <w:rFonts w:ascii="宋体" w:hAnsi="宋体" w:cs="宋体"/>
          <w:color w:val="auto"/>
          <w:kern w:val="1"/>
          <w:szCs w:val="21"/>
        </w:rPr>
        <w:t>发包人向承包人提供图纸的数量：</w:t>
      </w:r>
      <w:r>
        <w:rPr>
          <w:rFonts w:hint="eastAsia" w:ascii="宋体" w:hAnsi="宋体" w:cs="宋体"/>
          <w:color w:val="auto"/>
          <w:kern w:val="1"/>
          <w:szCs w:val="21"/>
          <w:u w:val="single"/>
        </w:rPr>
        <w:t>壹</w:t>
      </w:r>
      <w:r>
        <w:rPr>
          <w:rFonts w:ascii="宋体" w:hAnsi="宋体" w:cs="宋体"/>
          <w:color w:val="auto"/>
          <w:kern w:val="1"/>
          <w:szCs w:val="21"/>
          <w:u w:val="single"/>
        </w:rPr>
        <w:t>套</w:t>
      </w:r>
      <w:r>
        <w:rPr>
          <w:rFonts w:hint="eastAsia" w:ascii="宋体" w:hAnsi="宋体" w:cs="宋体"/>
          <w:color w:val="auto"/>
          <w:kern w:val="1"/>
          <w:szCs w:val="21"/>
          <w:u w:val="single"/>
          <w:lang w:val="en-US" w:eastAsia="zh-CN"/>
        </w:rPr>
        <w:t>原件</w:t>
      </w:r>
      <w:r>
        <w:rPr>
          <w:rFonts w:ascii="宋体" w:hAnsi="宋体" w:cs="宋体"/>
          <w:color w:val="auto"/>
          <w:kern w:val="1"/>
          <w:szCs w:val="21"/>
          <w:u w:val="single"/>
        </w:rPr>
        <w:t>，承包人需要增加图纸套数的，发包人应代为复制，复制费用由承包人承担</w:t>
      </w:r>
      <w:r>
        <w:rPr>
          <w:rFonts w:ascii="宋体" w:hAnsi="宋体" w:cs="宋体"/>
          <w:color w:val="auto"/>
          <w:kern w:val="1"/>
          <w:szCs w:val="21"/>
        </w:rPr>
        <w:t>；</w:t>
      </w:r>
    </w:p>
    <w:p w14:paraId="10C27478">
      <w:pPr>
        <w:spacing w:line="360" w:lineRule="exact"/>
        <w:ind w:firstLine="420"/>
        <w:rPr>
          <w:rFonts w:ascii="宋体" w:hAnsi="宋体" w:cs="宋体"/>
          <w:color w:val="auto"/>
          <w:kern w:val="1"/>
          <w:szCs w:val="21"/>
        </w:rPr>
      </w:pPr>
      <w:r>
        <w:rPr>
          <w:rFonts w:ascii="宋体" w:hAnsi="宋体" w:cs="宋体"/>
          <w:color w:val="auto"/>
          <w:kern w:val="1"/>
          <w:szCs w:val="21"/>
        </w:rPr>
        <w:t>发包人向承包人提供图纸的内容：</w:t>
      </w:r>
      <w:r>
        <w:rPr>
          <w:rFonts w:hint="eastAsia" w:ascii="宋体" w:hAnsi="宋体" w:cs="宋体"/>
          <w:color w:val="auto"/>
          <w:kern w:val="1"/>
          <w:szCs w:val="21"/>
          <w:u w:val="single"/>
        </w:rPr>
        <w:t>见图纸目录</w:t>
      </w:r>
      <w:r>
        <w:rPr>
          <w:rFonts w:ascii="宋体" w:hAnsi="宋体" w:cs="宋体"/>
          <w:color w:val="auto"/>
          <w:kern w:val="1"/>
          <w:szCs w:val="21"/>
        </w:rPr>
        <w:t>。</w:t>
      </w:r>
    </w:p>
    <w:p w14:paraId="1A240EBE">
      <w:pPr>
        <w:spacing w:line="360" w:lineRule="exact"/>
        <w:ind w:firstLine="420"/>
        <w:rPr>
          <w:rFonts w:ascii="宋体" w:hAnsi="宋体" w:cs="宋体"/>
          <w:color w:val="auto"/>
          <w:kern w:val="1"/>
          <w:szCs w:val="21"/>
        </w:rPr>
      </w:pPr>
      <w:r>
        <w:rPr>
          <w:rFonts w:ascii="宋体" w:hAnsi="宋体" w:cs="宋体"/>
          <w:color w:val="auto"/>
          <w:kern w:val="1"/>
          <w:szCs w:val="21"/>
        </w:rPr>
        <w:t>1.6.4 承包人文件</w:t>
      </w:r>
    </w:p>
    <w:p w14:paraId="6DB2AC2F">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需要由承包人提供的文件，包括：</w:t>
      </w:r>
      <w:r>
        <w:rPr>
          <w:rFonts w:hint="eastAsia" w:ascii="宋体" w:hAnsi="宋体" w:cs="宋体"/>
          <w:color w:val="auto"/>
          <w:kern w:val="1"/>
          <w:szCs w:val="21"/>
          <w:u w:val="single"/>
        </w:rPr>
        <w:t>开工报告、施工组织设计、专项施工方案、进度计划及其他应交的施工管理文件、施工技术文件</w:t>
      </w:r>
      <w:r>
        <w:rPr>
          <w:rFonts w:ascii="宋体" w:hAnsi="宋体" w:cs="宋体"/>
          <w:color w:val="auto"/>
          <w:kern w:val="1"/>
          <w:szCs w:val="21"/>
        </w:rPr>
        <w:t>；</w:t>
      </w:r>
    </w:p>
    <w:p w14:paraId="30212976">
      <w:pPr>
        <w:spacing w:line="360" w:lineRule="exact"/>
        <w:ind w:firstLine="420"/>
        <w:rPr>
          <w:rFonts w:ascii="宋体" w:hAnsi="宋体" w:cs="宋体"/>
          <w:color w:val="auto"/>
          <w:kern w:val="1"/>
          <w:szCs w:val="21"/>
        </w:rPr>
      </w:pPr>
      <w:r>
        <w:rPr>
          <w:rFonts w:ascii="宋体" w:hAnsi="宋体" w:cs="宋体"/>
          <w:color w:val="auto"/>
          <w:kern w:val="1"/>
          <w:szCs w:val="21"/>
        </w:rPr>
        <w:t>承包人提供的文件的期限为：</w:t>
      </w:r>
      <w:r>
        <w:rPr>
          <w:rFonts w:hint="eastAsia" w:ascii="宋体" w:hAnsi="宋体" w:cs="宋体"/>
          <w:color w:val="auto"/>
          <w:kern w:val="1"/>
          <w:szCs w:val="21"/>
          <w:u w:val="single"/>
        </w:rPr>
        <w:t>正式开工前7天</w:t>
      </w:r>
      <w:r>
        <w:rPr>
          <w:rFonts w:ascii="宋体" w:hAnsi="宋体" w:cs="宋体"/>
          <w:color w:val="auto"/>
          <w:kern w:val="1"/>
          <w:szCs w:val="21"/>
        </w:rPr>
        <w:t>；</w:t>
      </w:r>
    </w:p>
    <w:p w14:paraId="40395D80">
      <w:pPr>
        <w:spacing w:line="360" w:lineRule="exact"/>
        <w:ind w:firstLine="420"/>
        <w:rPr>
          <w:rFonts w:ascii="宋体" w:hAnsi="宋体" w:cs="宋体"/>
          <w:color w:val="auto"/>
          <w:kern w:val="1"/>
          <w:szCs w:val="21"/>
        </w:rPr>
      </w:pPr>
      <w:r>
        <w:rPr>
          <w:rFonts w:ascii="宋体" w:hAnsi="宋体" w:cs="宋体"/>
          <w:color w:val="auto"/>
          <w:kern w:val="1"/>
          <w:szCs w:val="21"/>
        </w:rPr>
        <w:t>承包人提供的文件的数量为：</w:t>
      </w:r>
      <w:r>
        <w:rPr>
          <w:rFonts w:hint="eastAsia" w:ascii="宋体" w:hAnsi="宋体" w:cs="宋体"/>
          <w:color w:val="auto"/>
          <w:kern w:val="1"/>
          <w:szCs w:val="21"/>
          <w:u w:val="single"/>
        </w:rPr>
        <w:t>一式肆份</w:t>
      </w:r>
      <w:r>
        <w:rPr>
          <w:rFonts w:ascii="宋体" w:hAnsi="宋体" w:cs="宋体"/>
          <w:color w:val="auto"/>
          <w:kern w:val="1"/>
          <w:szCs w:val="21"/>
        </w:rPr>
        <w:t>；</w:t>
      </w:r>
    </w:p>
    <w:p w14:paraId="5D98690E">
      <w:pPr>
        <w:spacing w:line="360" w:lineRule="exact"/>
        <w:ind w:firstLine="420"/>
        <w:rPr>
          <w:rFonts w:ascii="宋体" w:hAnsi="宋体" w:cs="宋体"/>
          <w:color w:val="auto"/>
          <w:kern w:val="1"/>
          <w:szCs w:val="21"/>
        </w:rPr>
      </w:pPr>
      <w:r>
        <w:rPr>
          <w:rFonts w:ascii="宋体" w:hAnsi="宋体" w:cs="宋体"/>
          <w:color w:val="auto"/>
          <w:kern w:val="1"/>
          <w:szCs w:val="21"/>
        </w:rPr>
        <w:t>承包人提供的文件的形式为：</w:t>
      </w:r>
      <w:r>
        <w:rPr>
          <w:rFonts w:hint="eastAsia" w:ascii="宋体" w:hAnsi="宋体" w:cs="宋体"/>
          <w:color w:val="auto"/>
          <w:kern w:val="1"/>
          <w:szCs w:val="21"/>
          <w:u w:val="single"/>
        </w:rPr>
        <w:t>纸质文件</w:t>
      </w:r>
      <w:r>
        <w:rPr>
          <w:rFonts w:ascii="宋体" w:hAnsi="宋体" w:cs="宋体"/>
          <w:color w:val="auto"/>
          <w:kern w:val="1"/>
          <w:szCs w:val="21"/>
        </w:rPr>
        <w:t>；</w:t>
      </w:r>
    </w:p>
    <w:p w14:paraId="677D2F16">
      <w:pPr>
        <w:spacing w:line="360" w:lineRule="exact"/>
        <w:ind w:firstLine="420"/>
        <w:rPr>
          <w:rFonts w:ascii="宋体" w:hAnsi="宋体" w:cs="宋体"/>
          <w:color w:val="auto"/>
          <w:kern w:val="1"/>
          <w:szCs w:val="21"/>
        </w:rPr>
      </w:pPr>
      <w:r>
        <w:rPr>
          <w:rFonts w:ascii="宋体" w:hAnsi="宋体" w:cs="宋体"/>
          <w:color w:val="auto"/>
          <w:kern w:val="1"/>
          <w:szCs w:val="21"/>
        </w:rPr>
        <w:t>发包人审批承包人文件的期限：</w:t>
      </w:r>
      <w:r>
        <w:rPr>
          <w:rFonts w:hint="eastAsia" w:ascii="宋体" w:hAnsi="宋体" w:cs="宋体"/>
          <w:color w:val="auto"/>
          <w:kern w:val="1"/>
          <w:szCs w:val="21"/>
          <w:u w:val="single"/>
        </w:rPr>
        <w:t>收到文件后7天内</w:t>
      </w:r>
      <w:r>
        <w:rPr>
          <w:rFonts w:ascii="宋体" w:hAnsi="宋体" w:cs="宋体"/>
          <w:color w:val="auto"/>
          <w:kern w:val="1"/>
          <w:szCs w:val="21"/>
        </w:rPr>
        <w:t>。</w:t>
      </w:r>
    </w:p>
    <w:p w14:paraId="36F44F41">
      <w:pPr>
        <w:spacing w:line="360" w:lineRule="exact"/>
        <w:ind w:firstLine="420"/>
        <w:rPr>
          <w:rFonts w:ascii="宋体" w:hAnsi="宋体" w:cs="宋体"/>
          <w:color w:val="auto"/>
          <w:kern w:val="1"/>
          <w:szCs w:val="21"/>
        </w:rPr>
      </w:pPr>
      <w:r>
        <w:rPr>
          <w:rFonts w:ascii="宋体" w:hAnsi="宋体" w:cs="宋体"/>
          <w:color w:val="auto"/>
          <w:kern w:val="1"/>
          <w:szCs w:val="21"/>
        </w:rPr>
        <w:t>1.6.5 现场图纸准备</w:t>
      </w:r>
    </w:p>
    <w:p w14:paraId="6D7DBA64">
      <w:pPr>
        <w:spacing w:line="360" w:lineRule="exact"/>
        <w:ind w:firstLine="420"/>
        <w:rPr>
          <w:rFonts w:ascii="宋体" w:hAnsi="宋体" w:cs="宋体"/>
          <w:color w:val="auto"/>
          <w:kern w:val="1"/>
          <w:szCs w:val="21"/>
        </w:rPr>
      </w:pPr>
      <w:r>
        <w:rPr>
          <w:rFonts w:ascii="宋体" w:hAnsi="宋体" w:cs="宋体"/>
          <w:color w:val="auto"/>
          <w:kern w:val="1"/>
          <w:szCs w:val="21"/>
        </w:rPr>
        <w:t>关于现场图纸准备的约定：</w:t>
      </w:r>
      <w:r>
        <w:rPr>
          <w:rFonts w:hint="eastAsia" w:ascii="宋体" w:hAnsi="宋体" w:cs="宋体"/>
          <w:color w:val="auto"/>
          <w:kern w:val="1"/>
          <w:szCs w:val="21"/>
          <w:u w:val="single"/>
        </w:rPr>
        <w:t>图纸会审或发包人审查后7天内</w:t>
      </w:r>
      <w:r>
        <w:rPr>
          <w:rFonts w:ascii="宋体" w:hAnsi="宋体" w:cs="宋体"/>
          <w:color w:val="auto"/>
          <w:kern w:val="1"/>
          <w:szCs w:val="21"/>
        </w:rPr>
        <w:t>。</w:t>
      </w:r>
    </w:p>
    <w:p w14:paraId="03CB31DE">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552" w:name="_Toc406054736"/>
      <w:bookmarkEnd w:id="552"/>
      <w:bookmarkStart w:id="553" w:name="_Toc373478345"/>
      <w:bookmarkEnd w:id="553"/>
      <w:bookmarkStart w:id="554" w:name="_Toc373227698"/>
      <w:bookmarkEnd w:id="554"/>
      <w:bookmarkStart w:id="555" w:name="_Toc8592"/>
      <w:bookmarkStart w:id="556" w:name="_Toc16682"/>
      <w:bookmarkStart w:id="557" w:name="_Toc23815"/>
      <w:bookmarkStart w:id="558" w:name="_Toc20647"/>
      <w:bookmarkStart w:id="559" w:name="_Toc15943"/>
      <w:r>
        <w:rPr>
          <w:rFonts w:ascii="宋体" w:hAnsi="宋体" w:cs="宋体"/>
          <w:color w:val="auto"/>
          <w:sz w:val="21"/>
          <w:szCs w:val="21"/>
          <w:lang w:val="zh-CN"/>
        </w:rPr>
        <w:t>1.</w:t>
      </w:r>
      <w:r>
        <w:rPr>
          <w:rFonts w:hint="eastAsia" w:ascii="宋体" w:hAnsi="宋体" w:cs="宋体"/>
          <w:color w:val="auto"/>
          <w:sz w:val="21"/>
          <w:szCs w:val="21"/>
          <w:lang w:val="en-US" w:eastAsia="zh-CN"/>
        </w:rPr>
        <w:t>6</w:t>
      </w:r>
      <w:r>
        <w:rPr>
          <w:rFonts w:ascii="宋体" w:hAnsi="宋体" w:cs="宋体"/>
          <w:color w:val="auto"/>
          <w:sz w:val="21"/>
          <w:szCs w:val="21"/>
          <w:lang w:val="zh-CN"/>
        </w:rPr>
        <w:t xml:space="preserve"> 联络</w:t>
      </w:r>
      <w:bookmarkEnd w:id="555"/>
      <w:bookmarkEnd w:id="556"/>
      <w:bookmarkEnd w:id="557"/>
      <w:bookmarkEnd w:id="558"/>
      <w:bookmarkEnd w:id="559"/>
    </w:p>
    <w:p w14:paraId="5DFC421C">
      <w:pPr>
        <w:spacing w:line="360" w:lineRule="exact"/>
        <w:ind w:firstLine="420"/>
        <w:rPr>
          <w:rFonts w:ascii="宋体" w:hAnsi="宋体" w:cs="宋体"/>
          <w:color w:val="auto"/>
          <w:kern w:val="1"/>
          <w:szCs w:val="21"/>
        </w:rPr>
      </w:pPr>
      <w:r>
        <w:rPr>
          <w:rFonts w:ascii="宋体" w:hAnsi="宋体" w:cs="宋体"/>
          <w:color w:val="auto"/>
          <w:kern w:val="1"/>
          <w:szCs w:val="21"/>
        </w:rPr>
        <w:t>1.7.1发包人和承包人应当在</w:t>
      </w:r>
      <w:r>
        <w:rPr>
          <w:rFonts w:hint="eastAsia" w:ascii="宋体" w:hAnsi="宋体" w:cs="宋体"/>
          <w:color w:val="auto"/>
          <w:kern w:val="1"/>
          <w:szCs w:val="21"/>
          <w:u w:val="single"/>
        </w:rPr>
        <w:t>7</w:t>
      </w:r>
      <w:r>
        <w:rPr>
          <w:rFonts w:ascii="宋体" w:hAnsi="宋体" w:cs="宋体"/>
          <w:color w:val="auto"/>
          <w:kern w:val="1"/>
          <w:szCs w:val="21"/>
        </w:rPr>
        <w:t>天内将与合同有关的通知、批准、证明、证书、指示、指令、要求、请求、同意、意见、确定和决定等书面函件送达对方当事人。</w:t>
      </w:r>
    </w:p>
    <w:p w14:paraId="6A808041">
      <w:pPr>
        <w:spacing w:line="360" w:lineRule="exact"/>
        <w:ind w:firstLine="420"/>
        <w:rPr>
          <w:rFonts w:ascii="宋体" w:hAnsi="宋体" w:cs="宋体"/>
          <w:color w:val="auto"/>
          <w:kern w:val="1"/>
          <w:szCs w:val="21"/>
        </w:rPr>
      </w:pPr>
      <w:r>
        <w:rPr>
          <w:rFonts w:ascii="宋体" w:hAnsi="宋体" w:cs="宋体"/>
          <w:color w:val="auto"/>
          <w:kern w:val="1"/>
          <w:szCs w:val="21"/>
        </w:rPr>
        <w:t>1.7.2 发包人接收文件的地点：</w:t>
      </w:r>
      <w:r>
        <w:rPr>
          <w:rFonts w:hint="eastAsia" w:ascii="宋体" w:hAnsi="宋体" w:cs="宋体"/>
          <w:color w:val="auto"/>
          <w:kern w:val="1"/>
          <w:szCs w:val="21"/>
          <w:u w:val="single"/>
        </w:rPr>
        <w:t>发包人办公室</w:t>
      </w:r>
      <w:r>
        <w:rPr>
          <w:rFonts w:ascii="宋体" w:hAnsi="宋体" w:cs="宋体"/>
          <w:color w:val="auto"/>
          <w:kern w:val="1"/>
          <w:szCs w:val="21"/>
        </w:rPr>
        <w:t>；</w:t>
      </w:r>
    </w:p>
    <w:p w14:paraId="6225007A">
      <w:pPr>
        <w:spacing w:line="360" w:lineRule="exact"/>
        <w:ind w:firstLine="420"/>
        <w:rPr>
          <w:rFonts w:ascii="宋体" w:hAnsi="宋体" w:cs="宋体"/>
          <w:color w:val="auto"/>
          <w:kern w:val="1"/>
          <w:szCs w:val="21"/>
        </w:rPr>
      </w:pPr>
      <w:r>
        <w:rPr>
          <w:rFonts w:ascii="宋体" w:hAnsi="宋体" w:cs="宋体"/>
          <w:color w:val="auto"/>
          <w:kern w:val="1"/>
          <w:szCs w:val="21"/>
        </w:rPr>
        <w:t>发包人指定的接收人为：</w:t>
      </w:r>
      <w:r>
        <w:rPr>
          <w:rFonts w:hint="eastAsia" w:ascii="宋体" w:hAnsi="宋体" w:cs="宋体"/>
          <w:color w:val="auto"/>
          <w:kern w:val="1"/>
          <w:szCs w:val="21"/>
          <w:u w:val="single"/>
        </w:rPr>
        <w:t xml:space="preserve">    工地代表（可委托）</w:t>
      </w:r>
      <w:r>
        <w:rPr>
          <w:rFonts w:ascii="宋体" w:hAnsi="宋体" w:cs="宋体"/>
          <w:color w:val="auto"/>
          <w:kern w:val="1"/>
          <w:szCs w:val="21"/>
        </w:rPr>
        <w:t>。</w:t>
      </w:r>
    </w:p>
    <w:p w14:paraId="68BB1ED0">
      <w:pPr>
        <w:spacing w:line="360" w:lineRule="exact"/>
        <w:ind w:firstLine="420"/>
        <w:rPr>
          <w:rFonts w:ascii="宋体" w:hAnsi="宋体" w:cs="宋体"/>
          <w:color w:val="auto"/>
          <w:kern w:val="1"/>
          <w:szCs w:val="21"/>
        </w:rPr>
      </w:pPr>
      <w:r>
        <w:rPr>
          <w:rFonts w:ascii="宋体" w:hAnsi="宋体" w:cs="宋体"/>
          <w:color w:val="auto"/>
          <w:kern w:val="1"/>
          <w:szCs w:val="21"/>
        </w:rPr>
        <w:t>承包人接收文件的地点：</w:t>
      </w:r>
      <w:r>
        <w:rPr>
          <w:rFonts w:hint="eastAsia" w:ascii="宋体" w:hAnsi="宋体" w:cs="宋体"/>
          <w:color w:val="auto"/>
          <w:kern w:val="1"/>
          <w:szCs w:val="21"/>
          <w:u w:val="single"/>
        </w:rPr>
        <w:t xml:space="preserve">    承包人项目部办公室</w:t>
      </w:r>
      <w:r>
        <w:rPr>
          <w:rFonts w:ascii="宋体" w:hAnsi="宋体" w:cs="宋体"/>
          <w:color w:val="auto"/>
          <w:kern w:val="1"/>
          <w:szCs w:val="21"/>
        </w:rPr>
        <w:t>；</w:t>
      </w:r>
    </w:p>
    <w:p w14:paraId="3739F178">
      <w:pPr>
        <w:spacing w:line="360" w:lineRule="exact"/>
        <w:ind w:firstLine="420"/>
        <w:rPr>
          <w:rFonts w:ascii="宋体" w:hAnsi="宋体" w:cs="宋体"/>
          <w:color w:val="auto"/>
          <w:kern w:val="1"/>
          <w:szCs w:val="21"/>
        </w:rPr>
      </w:pPr>
      <w:r>
        <w:rPr>
          <w:rFonts w:ascii="宋体" w:hAnsi="宋体" w:cs="宋体"/>
          <w:color w:val="auto"/>
          <w:kern w:val="1"/>
          <w:szCs w:val="21"/>
        </w:rPr>
        <w:t>承包人指定的接收人为：</w:t>
      </w:r>
      <w:r>
        <w:rPr>
          <w:rFonts w:hint="eastAsia" w:ascii="宋体" w:hAnsi="宋体" w:cs="宋体"/>
          <w:color w:val="auto"/>
          <w:kern w:val="1"/>
          <w:szCs w:val="21"/>
          <w:u w:val="single"/>
        </w:rPr>
        <w:t xml:space="preserve">    项目经理（可委托）</w:t>
      </w:r>
      <w:r>
        <w:rPr>
          <w:rFonts w:ascii="宋体" w:hAnsi="宋体" w:cs="宋体"/>
          <w:color w:val="auto"/>
          <w:kern w:val="1"/>
          <w:szCs w:val="21"/>
        </w:rPr>
        <w:t>。</w:t>
      </w:r>
    </w:p>
    <w:p w14:paraId="6A86877D">
      <w:pPr>
        <w:spacing w:line="360" w:lineRule="exact"/>
        <w:ind w:firstLine="420"/>
        <w:rPr>
          <w:rFonts w:ascii="宋体" w:hAnsi="宋体" w:cs="宋体"/>
          <w:color w:val="auto"/>
          <w:kern w:val="1"/>
          <w:szCs w:val="21"/>
        </w:rPr>
      </w:pPr>
      <w:r>
        <w:rPr>
          <w:rFonts w:ascii="宋体" w:hAnsi="宋体" w:cs="宋体"/>
          <w:color w:val="auto"/>
          <w:kern w:val="1"/>
          <w:szCs w:val="21"/>
        </w:rPr>
        <w:t>监理人接收文件的地点：</w:t>
      </w:r>
      <w:r>
        <w:rPr>
          <w:rFonts w:hint="eastAsia" w:ascii="宋体" w:hAnsi="宋体" w:cs="宋体"/>
          <w:color w:val="auto"/>
          <w:kern w:val="1"/>
          <w:szCs w:val="21"/>
          <w:u w:val="single"/>
        </w:rPr>
        <w:t xml:space="preserve">    项目监理部</w:t>
      </w:r>
      <w:r>
        <w:rPr>
          <w:rFonts w:ascii="宋体" w:hAnsi="宋体" w:cs="宋体"/>
          <w:color w:val="auto"/>
          <w:kern w:val="1"/>
          <w:szCs w:val="21"/>
        </w:rPr>
        <w:t>；</w:t>
      </w:r>
    </w:p>
    <w:p w14:paraId="51743E26">
      <w:pPr>
        <w:spacing w:line="360" w:lineRule="exact"/>
        <w:ind w:firstLine="420"/>
        <w:rPr>
          <w:color w:val="auto"/>
          <w:szCs w:val="21"/>
        </w:rPr>
      </w:pPr>
      <w:r>
        <w:rPr>
          <w:rFonts w:ascii="宋体" w:hAnsi="宋体" w:cs="宋体"/>
          <w:color w:val="auto"/>
          <w:kern w:val="1"/>
          <w:szCs w:val="21"/>
        </w:rPr>
        <w:t>监理人指定的接收人为：</w:t>
      </w:r>
      <w:r>
        <w:rPr>
          <w:rFonts w:hint="eastAsia" w:ascii="宋体" w:hAnsi="宋体" w:cs="宋体"/>
          <w:color w:val="auto"/>
          <w:kern w:val="1"/>
          <w:szCs w:val="21"/>
          <w:u w:val="single"/>
        </w:rPr>
        <w:t xml:space="preserve">    总监理工程（可委托）</w:t>
      </w:r>
      <w:r>
        <w:rPr>
          <w:rFonts w:ascii="宋体" w:hAnsi="宋体" w:cs="宋体"/>
          <w:color w:val="auto"/>
          <w:kern w:val="1"/>
          <w:szCs w:val="21"/>
        </w:rPr>
        <w:t>。</w:t>
      </w:r>
    </w:p>
    <w:p w14:paraId="7D50F886">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560" w:name="_Toc373227699"/>
      <w:bookmarkEnd w:id="560"/>
      <w:bookmarkStart w:id="561" w:name="_Toc406054737"/>
      <w:bookmarkEnd w:id="561"/>
      <w:bookmarkStart w:id="562" w:name="_Toc373478346"/>
      <w:bookmarkEnd w:id="562"/>
      <w:bookmarkStart w:id="563" w:name="_Toc24462"/>
      <w:bookmarkStart w:id="564" w:name="_Toc550"/>
      <w:bookmarkStart w:id="565" w:name="_Toc14010"/>
      <w:bookmarkStart w:id="566" w:name="_Toc18627"/>
      <w:bookmarkStart w:id="567" w:name="_Toc22907"/>
      <w:r>
        <w:rPr>
          <w:rFonts w:ascii="宋体" w:hAnsi="宋体" w:cs="宋体"/>
          <w:color w:val="auto"/>
          <w:sz w:val="21"/>
          <w:szCs w:val="21"/>
          <w:lang w:val="zh-CN"/>
        </w:rPr>
        <w:t>1.</w:t>
      </w:r>
      <w:r>
        <w:rPr>
          <w:rFonts w:hint="eastAsia" w:ascii="宋体" w:hAnsi="宋体" w:cs="宋体"/>
          <w:color w:val="auto"/>
          <w:sz w:val="21"/>
          <w:szCs w:val="21"/>
          <w:lang w:val="en-US" w:eastAsia="zh-CN"/>
        </w:rPr>
        <w:t>7</w:t>
      </w:r>
      <w:r>
        <w:rPr>
          <w:rFonts w:ascii="宋体" w:hAnsi="宋体" w:cs="宋体"/>
          <w:color w:val="auto"/>
          <w:sz w:val="21"/>
          <w:szCs w:val="21"/>
          <w:lang w:val="zh-CN"/>
        </w:rPr>
        <w:t xml:space="preserve"> 交通运输</w:t>
      </w:r>
      <w:bookmarkEnd w:id="563"/>
      <w:bookmarkEnd w:id="564"/>
      <w:bookmarkEnd w:id="565"/>
      <w:bookmarkEnd w:id="566"/>
      <w:bookmarkEnd w:id="567"/>
    </w:p>
    <w:p w14:paraId="1733BF14">
      <w:pPr>
        <w:spacing w:line="360" w:lineRule="exact"/>
        <w:ind w:firstLine="420"/>
        <w:rPr>
          <w:rFonts w:ascii="宋体" w:hAnsi="宋体" w:cs="宋体"/>
          <w:color w:val="auto"/>
          <w:kern w:val="1"/>
          <w:szCs w:val="21"/>
        </w:rPr>
      </w:pPr>
      <w:r>
        <w:rPr>
          <w:rFonts w:ascii="宋体" w:hAnsi="宋体" w:cs="宋体"/>
          <w:color w:val="auto"/>
          <w:kern w:val="1"/>
          <w:szCs w:val="21"/>
        </w:rPr>
        <w:t>1.10.1 出入现场的权利</w:t>
      </w:r>
    </w:p>
    <w:p w14:paraId="1213E946">
      <w:pPr>
        <w:spacing w:line="360" w:lineRule="exact"/>
        <w:ind w:firstLine="420"/>
        <w:rPr>
          <w:rFonts w:ascii="宋体" w:hAnsi="宋体" w:cs="宋体"/>
          <w:color w:val="auto"/>
          <w:kern w:val="1"/>
          <w:szCs w:val="21"/>
          <w:u w:val="single"/>
        </w:rPr>
      </w:pPr>
      <w:r>
        <w:rPr>
          <w:rFonts w:ascii="宋体" w:hAnsi="宋体" w:cs="宋体"/>
          <w:color w:val="auto"/>
          <w:kern w:val="1"/>
          <w:szCs w:val="21"/>
        </w:rPr>
        <w:t>关于出入现场的权利的约定：</w:t>
      </w:r>
      <w:r>
        <w:rPr>
          <w:rFonts w:hint="eastAsia" w:ascii="宋体" w:hAnsi="宋体" w:cs="宋体"/>
          <w:color w:val="auto"/>
          <w:kern w:val="1"/>
          <w:szCs w:val="21"/>
          <w:u w:val="single"/>
        </w:rPr>
        <w:t>发包方管理人员、监理方管理人员佩戴工作证件及安全帽方可自由出入，但不得影响承包方的正常施工。</w:t>
      </w:r>
    </w:p>
    <w:p w14:paraId="2DD807D7">
      <w:pPr>
        <w:spacing w:line="360" w:lineRule="exact"/>
        <w:ind w:firstLine="420"/>
        <w:jc w:val="left"/>
        <w:rPr>
          <w:rFonts w:ascii="宋体" w:hAnsi="宋体" w:cs="宋体"/>
          <w:color w:val="auto"/>
          <w:kern w:val="1"/>
          <w:szCs w:val="21"/>
        </w:rPr>
      </w:pPr>
      <w:r>
        <w:rPr>
          <w:rFonts w:ascii="宋体" w:hAnsi="宋体" w:cs="宋体"/>
          <w:color w:val="auto"/>
          <w:kern w:val="1"/>
          <w:szCs w:val="21"/>
        </w:rPr>
        <w:t>1.10.3 场内交通</w:t>
      </w:r>
    </w:p>
    <w:p w14:paraId="5D19ACD9">
      <w:pPr>
        <w:spacing w:line="360" w:lineRule="exact"/>
        <w:ind w:firstLine="420"/>
        <w:jc w:val="left"/>
        <w:rPr>
          <w:rFonts w:ascii="宋体" w:hAnsi="宋体" w:cs="宋体"/>
          <w:color w:val="auto"/>
          <w:kern w:val="1"/>
          <w:szCs w:val="21"/>
        </w:rPr>
      </w:pPr>
      <w:r>
        <w:rPr>
          <w:rFonts w:ascii="宋体" w:hAnsi="宋体" w:cs="宋体"/>
          <w:color w:val="auto"/>
          <w:kern w:val="1"/>
          <w:szCs w:val="21"/>
        </w:rPr>
        <w:t>关于场外交通和场内交通的边界的约定：</w:t>
      </w:r>
      <w:r>
        <w:rPr>
          <w:rFonts w:hint="eastAsia" w:ascii="宋体" w:hAnsi="宋体" w:cs="宋体"/>
          <w:color w:val="auto"/>
          <w:kern w:val="1"/>
          <w:szCs w:val="21"/>
          <w:u w:val="single"/>
        </w:rPr>
        <w:t>发包方、承包方和监理方可现场协商，再以书面形式进行确认</w:t>
      </w:r>
      <w:r>
        <w:rPr>
          <w:rFonts w:hint="eastAsia" w:ascii="宋体" w:hAnsi="宋体" w:cs="宋体"/>
          <w:color w:val="auto"/>
          <w:kern w:val="1"/>
          <w:szCs w:val="21"/>
        </w:rPr>
        <w:t>。</w:t>
      </w:r>
    </w:p>
    <w:p w14:paraId="63865B3B">
      <w:pPr>
        <w:spacing w:line="360" w:lineRule="exact"/>
        <w:ind w:firstLine="420"/>
        <w:jc w:val="left"/>
        <w:rPr>
          <w:rFonts w:ascii="宋体" w:hAnsi="宋体" w:cs="宋体"/>
          <w:color w:val="auto"/>
          <w:kern w:val="1"/>
          <w:szCs w:val="21"/>
        </w:rPr>
      </w:pPr>
      <w:r>
        <w:rPr>
          <w:rFonts w:ascii="宋体" w:hAnsi="宋体" w:cs="宋体"/>
          <w:color w:val="auto"/>
          <w:kern w:val="1"/>
          <w:szCs w:val="21"/>
        </w:rPr>
        <w:t>关于发包人向承包人免费提供满足工程施工需要的场内道路和交通设施的约定：</w:t>
      </w:r>
      <w:r>
        <w:rPr>
          <w:rFonts w:hint="eastAsia" w:ascii="宋体" w:hAnsi="宋体" w:cs="宋体"/>
          <w:color w:val="auto"/>
          <w:kern w:val="1"/>
          <w:szCs w:val="21"/>
          <w:u w:val="single"/>
        </w:rPr>
        <w:t>发包方、承包方和监理方可现场协商，再以书面形式进行确认</w:t>
      </w:r>
      <w:r>
        <w:rPr>
          <w:rFonts w:ascii="宋体" w:hAnsi="宋体" w:cs="宋体"/>
          <w:color w:val="auto"/>
          <w:kern w:val="1"/>
          <w:szCs w:val="21"/>
        </w:rPr>
        <w:t xml:space="preserve">。  </w:t>
      </w:r>
    </w:p>
    <w:p w14:paraId="752100BA">
      <w:pPr>
        <w:spacing w:line="360" w:lineRule="exact"/>
        <w:ind w:firstLine="420"/>
        <w:jc w:val="left"/>
        <w:rPr>
          <w:rFonts w:ascii="宋体" w:hAnsi="宋体" w:cs="宋体"/>
          <w:color w:val="auto"/>
          <w:kern w:val="1"/>
          <w:szCs w:val="21"/>
        </w:rPr>
      </w:pPr>
      <w:r>
        <w:rPr>
          <w:rFonts w:ascii="宋体" w:hAnsi="宋体" w:cs="宋体"/>
          <w:color w:val="auto"/>
          <w:kern w:val="1"/>
          <w:szCs w:val="21"/>
        </w:rPr>
        <w:t>1.10.4超大件和超重件的运输</w:t>
      </w:r>
    </w:p>
    <w:p w14:paraId="4166F0DA">
      <w:pPr>
        <w:spacing w:line="360" w:lineRule="exact"/>
        <w:ind w:firstLine="420"/>
        <w:jc w:val="left"/>
        <w:rPr>
          <w:rFonts w:ascii="宋体" w:hAnsi="宋体" w:cs="宋体"/>
          <w:color w:val="auto"/>
          <w:kern w:val="1"/>
          <w:szCs w:val="21"/>
        </w:rPr>
      </w:pPr>
      <w:r>
        <w:rPr>
          <w:rFonts w:ascii="宋体" w:hAnsi="宋体" w:cs="宋体"/>
          <w:color w:val="auto"/>
          <w:kern w:val="1"/>
          <w:szCs w:val="21"/>
        </w:rPr>
        <w:t>运输超大件或超重件所需的道路和桥梁临时加固改造费用和其他有关费用由</w:t>
      </w:r>
      <w:r>
        <w:rPr>
          <w:rFonts w:hint="eastAsia" w:ascii="宋体" w:hAnsi="宋体" w:cs="宋体"/>
          <w:color w:val="auto"/>
          <w:kern w:val="1"/>
          <w:szCs w:val="21"/>
          <w:u w:val="single"/>
        </w:rPr>
        <w:t>承包方</w:t>
      </w:r>
      <w:r>
        <w:rPr>
          <w:rFonts w:ascii="宋体" w:hAnsi="宋体" w:cs="宋体"/>
          <w:color w:val="auto"/>
          <w:kern w:val="1"/>
          <w:szCs w:val="21"/>
        </w:rPr>
        <w:t>承担。</w:t>
      </w:r>
    </w:p>
    <w:p w14:paraId="74965D5E">
      <w:pPr>
        <w:spacing w:line="360" w:lineRule="exact"/>
        <w:ind w:firstLine="420"/>
        <w:jc w:val="left"/>
        <w:rPr>
          <w:rFonts w:ascii="宋体" w:hAnsi="宋体" w:cs="宋体"/>
          <w:color w:val="auto"/>
          <w:kern w:val="1"/>
          <w:szCs w:val="21"/>
        </w:rPr>
      </w:pPr>
      <w:r>
        <w:rPr>
          <w:rFonts w:ascii="宋体" w:hAnsi="宋体" w:cs="宋体"/>
          <w:color w:val="auto"/>
          <w:kern w:val="1"/>
          <w:szCs w:val="21"/>
        </w:rPr>
        <w:t>1.10.5特别约定</w:t>
      </w:r>
    </w:p>
    <w:p w14:paraId="5217F58E">
      <w:pPr>
        <w:spacing w:line="360" w:lineRule="exact"/>
        <w:ind w:firstLine="420"/>
        <w:jc w:val="left"/>
        <w:rPr>
          <w:rFonts w:ascii="宋体" w:hAnsi="宋体" w:cs="宋体"/>
          <w:color w:val="auto"/>
          <w:kern w:val="1"/>
          <w:szCs w:val="21"/>
        </w:rPr>
      </w:pPr>
      <w:r>
        <w:rPr>
          <w:rFonts w:ascii="宋体" w:hAnsi="宋体" w:cs="宋体"/>
          <w:color w:val="auto"/>
          <w:kern w:val="1"/>
          <w:szCs w:val="21"/>
        </w:rPr>
        <w:t>承包方要执行招标文件第二章“投标人须知”第10.10.5款规定。</w:t>
      </w:r>
    </w:p>
    <w:p w14:paraId="2E6B0D60">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568" w:name="_Toc373478347"/>
      <w:bookmarkEnd w:id="568"/>
      <w:bookmarkStart w:id="569" w:name="_Toc373227700"/>
      <w:bookmarkEnd w:id="569"/>
      <w:bookmarkStart w:id="570" w:name="_Toc406054738"/>
      <w:bookmarkEnd w:id="570"/>
      <w:bookmarkStart w:id="571" w:name="_Toc18330"/>
      <w:bookmarkStart w:id="572" w:name="_Toc9937"/>
      <w:bookmarkStart w:id="573" w:name="_Toc12613"/>
      <w:bookmarkStart w:id="574" w:name="_Toc27884"/>
      <w:bookmarkStart w:id="575" w:name="_Toc23284"/>
      <w:r>
        <w:rPr>
          <w:rFonts w:ascii="宋体" w:hAnsi="宋体" w:cs="宋体"/>
          <w:color w:val="auto"/>
          <w:sz w:val="21"/>
          <w:szCs w:val="21"/>
          <w:lang w:val="zh-CN"/>
        </w:rPr>
        <w:t>1.</w:t>
      </w:r>
      <w:r>
        <w:rPr>
          <w:rFonts w:hint="eastAsia" w:ascii="宋体" w:hAnsi="宋体" w:cs="宋体"/>
          <w:color w:val="auto"/>
          <w:sz w:val="21"/>
          <w:szCs w:val="21"/>
          <w:lang w:val="en-US" w:eastAsia="zh-CN"/>
        </w:rPr>
        <w:t>8</w:t>
      </w:r>
      <w:r>
        <w:rPr>
          <w:rFonts w:ascii="宋体" w:hAnsi="宋体" w:cs="宋体"/>
          <w:color w:val="auto"/>
          <w:sz w:val="21"/>
          <w:szCs w:val="21"/>
          <w:lang w:val="zh-CN"/>
        </w:rPr>
        <w:t xml:space="preserve"> 知识产权</w:t>
      </w:r>
      <w:bookmarkEnd w:id="571"/>
      <w:bookmarkEnd w:id="572"/>
      <w:bookmarkEnd w:id="573"/>
      <w:bookmarkEnd w:id="574"/>
      <w:bookmarkEnd w:id="575"/>
    </w:p>
    <w:p w14:paraId="33DE8AEA">
      <w:pPr>
        <w:spacing w:line="360" w:lineRule="exact"/>
        <w:ind w:firstLine="420"/>
        <w:rPr>
          <w:rFonts w:ascii="宋体" w:hAnsi="宋体" w:cs="宋体"/>
          <w:color w:val="auto"/>
          <w:kern w:val="1"/>
          <w:szCs w:val="21"/>
        </w:rPr>
      </w:pPr>
      <w:r>
        <w:rPr>
          <w:rFonts w:ascii="宋体" w:hAnsi="宋体" w:cs="宋体"/>
          <w:color w:val="auto"/>
          <w:kern w:val="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kern w:val="1"/>
          <w:szCs w:val="21"/>
          <w:u w:val="single"/>
        </w:rPr>
        <w:t>归发包人</w:t>
      </w:r>
      <w:r>
        <w:rPr>
          <w:rFonts w:ascii="宋体" w:hAnsi="宋体" w:cs="宋体"/>
          <w:color w:val="auto"/>
          <w:kern w:val="1"/>
          <w:szCs w:val="21"/>
        </w:rPr>
        <w:t>。</w:t>
      </w:r>
    </w:p>
    <w:p w14:paraId="72CA911B">
      <w:pPr>
        <w:spacing w:line="360" w:lineRule="exact"/>
        <w:ind w:firstLine="420"/>
        <w:rPr>
          <w:rFonts w:ascii="宋体" w:hAnsi="宋体" w:cs="宋体"/>
          <w:color w:val="auto"/>
          <w:kern w:val="1"/>
          <w:szCs w:val="21"/>
        </w:rPr>
      </w:pPr>
      <w:r>
        <w:rPr>
          <w:rFonts w:ascii="宋体" w:hAnsi="宋体" w:cs="宋体"/>
          <w:color w:val="auto"/>
          <w:kern w:val="1"/>
          <w:szCs w:val="21"/>
        </w:rPr>
        <w:t>关于发包人提供的上述文件的使用限制的要求：</w:t>
      </w:r>
      <w:r>
        <w:rPr>
          <w:rFonts w:hint="eastAsia" w:ascii="宋体" w:hAnsi="宋体" w:cs="宋体"/>
          <w:color w:val="auto"/>
          <w:kern w:val="1"/>
          <w:szCs w:val="21"/>
          <w:u w:val="single"/>
        </w:rPr>
        <w:t>未经发包人同意，承包人不得用于本工程以外的其他工程</w:t>
      </w:r>
      <w:r>
        <w:rPr>
          <w:rFonts w:ascii="宋体" w:hAnsi="宋体" w:cs="宋体"/>
          <w:color w:val="auto"/>
          <w:kern w:val="1"/>
          <w:szCs w:val="21"/>
        </w:rPr>
        <w:t>。</w:t>
      </w:r>
    </w:p>
    <w:p w14:paraId="3DB451E6">
      <w:pPr>
        <w:spacing w:line="360" w:lineRule="exact"/>
        <w:ind w:firstLine="420"/>
        <w:rPr>
          <w:rFonts w:ascii="宋体" w:hAnsi="宋体" w:cs="宋体"/>
          <w:color w:val="auto"/>
          <w:kern w:val="1"/>
          <w:szCs w:val="21"/>
        </w:rPr>
      </w:pPr>
      <w:r>
        <w:rPr>
          <w:rFonts w:ascii="宋体" w:hAnsi="宋体" w:cs="宋体"/>
          <w:color w:val="auto"/>
          <w:kern w:val="1"/>
          <w:szCs w:val="21"/>
        </w:rPr>
        <w:t>1.11.2 关于承包人为实施工程所编制文件的著作权的归属：</w:t>
      </w:r>
      <w:r>
        <w:rPr>
          <w:rFonts w:hint="eastAsia" w:ascii="宋体" w:hAnsi="宋体" w:cs="宋体"/>
          <w:color w:val="auto"/>
          <w:kern w:val="1"/>
          <w:szCs w:val="21"/>
          <w:u w:val="single"/>
        </w:rPr>
        <w:t>归属承包人</w:t>
      </w:r>
      <w:r>
        <w:rPr>
          <w:rFonts w:ascii="宋体" w:hAnsi="宋体" w:cs="宋体"/>
          <w:color w:val="auto"/>
          <w:kern w:val="1"/>
          <w:szCs w:val="21"/>
        </w:rPr>
        <w:t>。</w:t>
      </w:r>
    </w:p>
    <w:p w14:paraId="1E8D2A53">
      <w:pPr>
        <w:spacing w:line="360" w:lineRule="exact"/>
        <w:ind w:firstLine="420"/>
        <w:rPr>
          <w:rFonts w:ascii="宋体" w:hAnsi="宋体" w:cs="宋体"/>
          <w:color w:val="auto"/>
          <w:kern w:val="1"/>
          <w:szCs w:val="21"/>
          <w:u w:val="single"/>
        </w:rPr>
      </w:pPr>
      <w:r>
        <w:rPr>
          <w:rFonts w:ascii="宋体" w:hAnsi="宋体" w:cs="宋体"/>
          <w:color w:val="auto"/>
          <w:kern w:val="1"/>
          <w:szCs w:val="21"/>
        </w:rPr>
        <w:t>关于承包人提供的上述文件的使用限制的要求：</w:t>
      </w:r>
      <w:r>
        <w:rPr>
          <w:rFonts w:hint="eastAsia" w:ascii="宋体" w:hAnsi="宋体" w:cs="宋体"/>
          <w:color w:val="auto"/>
          <w:kern w:val="1"/>
          <w:szCs w:val="21"/>
          <w:u w:val="single"/>
        </w:rPr>
        <w:t>未经承包人同意，不得用于除本工程以外的其他工程</w:t>
      </w:r>
      <w:r>
        <w:rPr>
          <w:rFonts w:ascii="宋体" w:hAnsi="宋体" w:cs="宋体"/>
          <w:color w:val="auto"/>
          <w:kern w:val="1"/>
          <w:szCs w:val="21"/>
        </w:rPr>
        <w:t>。</w:t>
      </w:r>
    </w:p>
    <w:p w14:paraId="0E04684C">
      <w:pPr>
        <w:spacing w:line="360" w:lineRule="exact"/>
        <w:ind w:firstLine="420"/>
        <w:rPr>
          <w:rFonts w:ascii="宋体" w:hAnsi="宋体" w:cs="宋体"/>
          <w:color w:val="auto"/>
          <w:kern w:val="1"/>
          <w:szCs w:val="21"/>
        </w:rPr>
      </w:pPr>
      <w:r>
        <w:rPr>
          <w:rFonts w:ascii="宋体" w:hAnsi="宋体" w:cs="宋体"/>
          <w:color w:val="auto"/>
          <w:kern w:val="1"/>
          <w:szCs w:val="21"/>
        </w:rPr>
        <w:t>1.11.4 承包人在施工过程中所采用的专利、专有技术、技术秘密的使用费的承担方式：</w:t>
      </w:r>
      <w:r>
        <w:rPr>
          <w:rFonts w:hint="eastAsia" w:ascii="宋体" w:hAnsi="宋体" w:cs="宋体"/>
          <w:color w:val="auto"/>
          <w:kern w:val="1"/>
          <w:szCs w:val="21"/>
          <w:u w:val="single"/>
        </w:rPr>
        <w:t>由承包方承担</w:t>
      </w:r>
      <w:r>
        <w:rPr>
          <w:rFonts w:ascii="宋体" w:hAnsi="宋体" w:cs="宋体"/>
          <w:color w:val="auto"/>
          <w:kern w:val="1"/>
          <w:szCs w:val="21"/>
        </w:rPr>
        <w:t>。</w:t>
      </w:r>
    </w:p>
    <w:p w14:paraId="74B07C68">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576" w:name="_Toc373227701"/>
      <w:bookmarkEnd w:id="576"/>
      <w:bookmarkStart w:id="577" w:name="_Toc406054739"/>
      <w:bookmarkEnd w:id="577"/>
      <w:bookmarkStart w:id="578" w:name="_Toc373478348"/>
      <w:bookmarkEnd w:id="578"/>
      <w:bookmarkStart w:id="579" w:name="_Toc9519"/>
      <w:bookmarkStart w:id="580" w:name="_Toc14667"/>
      <w:bookmarkStart w:id="581" w:name="_Toc30118"/>
      <w:bookmarkStart w:id="582" w:name="_Toc561"/>
      <w:bookmarkStart w:id="583" w:name="_Toc2166"/>
      <w:r>
        <w:rPr>
          <w:rFonts w:ascii="宋体" w:hAnsi="宋体" w:cs="宋体"/>
          <w:color w:val="auto"/>
          <w:sz w:val="21"/>
          <w:szCs w:val="21"/>
          <w:lang w:val="zh-CN"/>
        </w:rPr>
        <w:t>1.</w:t>
      </w:r>
      <w:r>
        <w:rPr>
          <w:rFonts w:hint="eastAsia" w:ascii="宋体" w:hAnsi="宋体" w:cs="宋体"/>
          <w:color w:val="auto"/>
          <w:sz w:val="21"/>
          <w:szCs w:val="21"/>
          <w:lang w:val="en-US" w:eastAsia="zh-CN"/>
        </w:rPr>
        <w:t>9</w:t>
      </w:r>
      <w:r>
        <w:rPr>
          <w:rFonts w:ascii="宋体" w:hAnsi="宋体" w:cs="宋体"/>
          <w:color w:val="auto"/>
          <w:sz w:val="21"/>
          <w:szCs w:val="21"/>
          <w:lang w:val="zh-CN"/>
        </w:rPr>
        <w:t>工程量清单错误的修正</w:t>
      </w:r>
      <w:bookmarkEnd w:id="579"/>
      <w:bookmarkEnd w:id="580"/>
      <w:bookmarkEnd w:id="581"/>
      <w:bookmarkEnd w:id="582"/>
      <w:bookmarkEnd w:id="583"/>
    </w:p>
    <w:p w14:paraId="55EB57A1">
      <w:pPr>
        <w:spacing w:line="360" w:lineRule="exact"/>
        <w:ind w:firstLine="420"/>
        <w:jc w:val="left"/>
        <w:rPr>
          <w:rFonts w:ascii="宋体" w:hAnsi="宋体" w:cs="宋体"/>
          <w:color w:val="auto"/>
          <w:kern w:val="1"/>
          <w:szCs w:val="21"/>
        </w:rPr>
      </w:pPr>
      <w:r>
        <w:rPr>
          <w:rFonts w:ascii="宋体" w:hAnsi="宋体" w:cs="宋体"/>
          <w:color w:val="auto"/>
          <w:kern w:val="1"/>
          <w:szCs w:val="21"/>
        </w:rPr>
        <w:t>出现工程量清单工程量偏差时，是否调整合同价格：</w:t>
      </w:r>
      <w:r>
        <w:rPr>
          <w:rFonts w:hint="eastAsia" w:ascii="宋体" w:hAnsi="宋体" w:cs="宋体"/>
          <w:b/>
          <w:color w:val="auto"/>
          <w:kern w:val="1"/>
          <w:szCs w:val="21"/>
          <w:u w:val="single"/>
        </w:rPr>
        <w:t>按`</w:t>
      </w:r>
      <w:r>
        <w:rPr>
          <w:rFonts w:ascii="宋体" w:hAnsi="宋体" w:cs="宋体"/>
          <w:b/>
          <w:color w:val="auto"/>
          <w:kern w:val="1"/>
          <w:szCs w:val="21"/>
          <w:u w:val="single"/>
        </w:rPr>
        <w:t>10.4.1 变更估价原则</w:t>
      </w:r>
      <w:r>
        <w:rPr>
          <w:rFonts w:hint="eastAsia" w:ascii="宋体" w:hAnsi="宋体" w:cs="宋体"/>
          <w:b/>
          <w:color w:val="auto"/>
          <w:kern w:val="1"/>
          <w:szCs w:val="21"/>
          <w:u w:val="single"/>
        </w:rPr>
        <w:t>。</w:t>
      </w:r>
    </w:p>
    <w:p w14:paraId="12D6E94D">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允许调整合同价格的工程量偏差范围及其调整办法：</w:t>
      </w:r>
      <w:r>
        <w:rPr>
          <w:rFonts w:hint="eastAsia" w:ascii="宋体" w:hAnsi="宋体" w:cs="宋体"/>
          <w:b/>
          <w:color w:val="auto"/>
          <w:kern w:val="1"/>
          <w:szCs w:val="21"/>
          <w:u w:val="single"/>
        </w:rPr>
        <w:t>按`</w:t>
      </w:r>
      <w:r>
        <w:rPr>
          <w:rFonts w:ascii="宋体" w:hAnsi="宋体" w:cs="宋体"/>
          <w:b/>
          <w:color w:val="auto"/>
          <w:kern w:val="1"/>
          <w:szCs w:val="21"/>
          <w:u w:val="single"/>
        </w:rPr>
        <w:t>10.4.1 变更估价原则</w:t>
      </w:r>
      <w:r>
        <w:rPr>
          <w:rFonts w:ascii="宋体" w:hAnsi="宋体" w:cs="宋体"/>
          <w:color w:val="auto"/>
          <w:kern w:val="1"/>
          <w:szCs w:val="21"/>
        </w:rPr>
        <w:t>。</w:t>
      </w:r>
    </w:p>
    <w:p w14:paraId="70ACB7D4">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584" w:name="_Toc373227702"/>
      <w:bookmarkEnd w:id="584"/>
      <w:bookmarkStart w:id="585" w:name="_Toc406054740"/>
      <w:bookmarkEnd w:id="585"/>
      <w:bookmarkStart w:id="586" w:name="_Toc373478349"/>
      <w:bookmarkEnd w:id="586"/>
      <w:bookmarkStart w:id="587" w:name="_Toc21225"/>
      <w:bookmarkStart w:id="588" w:name="_Toc11154"/>
      <w:bookmarkStart w:id="589" w:name="_Toc16178"/>
      <w:bookmarkStart w:id="590" w:name="_Toc4096"/>
      <w:bookmarkStart w:id="591" w:name="_Toc121"/>
      <w:r>
        <w:rPr>
          <w:rFonts w:ascii="宋体" w:hAnsi="宋体" w:cs="宋体"/>
          <w:color w:val="auto"/>
          <w:sz w:val="21"/>
          <w:szCs w:val="21"/>
          <w:lang w:val="zh-CN"/>
        </w:rPr>
        <w:t>2. 发包人</w:t>
      </w:r>
      <w:bookmarkEnd w:id="587"/>
      <w:bookmarkEnd w:id="588"/>
      <w:bookmarkEnd w:id="589"/>
      <w:bookmarkEnd w:id="590"/>
      <w:bookmarkEnd w:id="591"/>
    </w:p>
    <w:p w14:paraId="4DE4911E">
      <w:pPr>
        <w:spacing w:line="360" w:lineRule="exact"/>
        <w:ind w:firstLine="420"/>
        <w:rPr>
          <w:rFonts w:ascii="宋体" w:hAnsi="宋体" w:cs="宋体"/>
          <w:color w:val="auto"/>
          <w:kern w:val="1"/>
          <w:szCs w:val="21"/>
        </w:rPr>
      </w:pPr>
      <w:bookmarkStart w:id="592" w:name="_Toc373227704"/>
      <w:bookmarkEnd w:id="592"/>
      <w:bookmarkStart w:id="593" w:name="_Toc373227703"/>
      <w:bookmarkEnd w:id="593"/>
      <w:bookmarkStart w:id="594" w:name="_Toc373478350"/>
      <w:bookmarkEnd w:id="594"/>
      <w:bookmarkStart w:id="595" w:name="_Toc406054741"/>
      <w:bookmarkEnd w:id="595"/>
      <w:bookmarkStart w:id="596" w:name="_Toc373478351"/>
      <w:bookmarkEnd w:id="596"/>
      <w:bookmarkStart w:id="597" w:name="_Toc406054742"/>
      <w:bookmarkEnd w:id="597"/>
      <w:r>
        <w:rPr>
          <w:rFonts w:ascii="宋体" w:hAnsi="宋体" w:cs="宋体"/>
          <w:color w:val="auto"/>
          <w:kern w:val="1"/>
          <w:szCs w:val="21"/>
        </w:rPr>
        <w:t>2.</w:t>
      </w:r>
      <w:r>
        <w:rPr>
          <w:rFonts w:hint="eastAsia" w:ascii="宋体" w:hAnsi="宋体" w:cs="宋体"/>
          <w:color w:val="auto"/>
          <w:kern w:val="1"/>
          <w:szCs w:val="21"/>
          <w:lang w:val="en-US" w:eastAsia="zh-CN"/>
        </w:rPr>
        <w:t>1</w:t>
      </w:r>
      <w:r>
        <w:rPr>
          <w:rFonts w:ascii="宋体" w:hAnsi="宋体" w:cs="宋体"/>
          <w:color w:val="auto"/>
          <w:kern w:val="1"/>
          <w:szCs w:val="21"/>
        </w:rPr>
        <w:t>.1 提供施工现场</w:t>
      </w:r>
    </w:p>
    <w:p w14:paraId="26A86CE1">
      <w:pPr>
        <w:spacing w:line="360" w:lineRule="exact"/>
        <w:ind w:firstLine="420"/>
        <w:jc w:val="left"/>
        <w:rPr>
          <w:rFonts w:ascii="宋体" w:hAnsi="宋体" w:cs="宋体"/>
          <w:color w:val="auto"/>
          <w:kern w:val="1"/>
          <w:szCs w:val="21"/>
        </w:rPr>
      </w:pPr>
      <w:r>
        <w:rPr>
          <w:rFonts w:ascii="宋体" w:hAnsi="宋体" w:cs="宋体"/>
          <w:color w:val="auto"/>
          <w:kern w:val="1"/>
          <w:szCs w:val="21"/>
        </w:rPr>
        <w:t>关于发包人移交施工现场的期限要求：</w:t>
      </w:r>
      <w:r>
        <w:rPr>
          <w:rFonts w:hint="eastAsia" w:ascii="宋体" w:hAnsi="宋体" w:cs="宋体"/>
          <w:color w:val="auto"/>
          <w:kern w:val="1"/>
          <w:szCs w:val="21"/>
        </w:rPr>
        <w:t>双方确认</w:t>
      </w:r>
      <w:r>
        <w:rPr>
          <w:rFonts w:hint="eastAsia" w:ascii="宋体" w:hAnsi="宋体" w:cs="宋体"/>
          <w:color w:val="auto"/>
          <w:kern w:val="1"/>
          <w:szCs w:val="21"/>
          <w:u w:val="single"/>
        </w:rPr>
        <w:t>开工日期前七天</w:t>
      </w:r>
      <w:r>
        <w:rPr>
          <w:rFonts w:ascii="宋体" w:hAnsi="宋体" w:cs="宋体"/>
          <w:color w:val="auto"/>
          <w:kern w:val="1"/>
          <w:szCs w:val="21"/>
        </w:rPr>
        <w:t>。</w:t>
      </w:r>
    </w:p>
    <w:p w14:paraId="7A06AC2E">
      <w:pPr>
        <w:spacing w:line="360" w:lineRule="exact"/>
        <w:ind w:firstLine="420"/>
        <w:rPr>
          <w:rFonts w:ascii="宋体" w:hAnsi="宋体" w:cs="宋体"/>
          <w:color w:val="auto"/>
          <w:kern w:val="1"/>
          <w:szCs w:val="21"/>
        </w:rPr>
      </w:pPr>
      <w:r>
        <w:rPr>
          <w:rFonts w:ascii="宋体" w:hAnsi="宋体" w:cs="宋体"/>
          <w:color w:val="auto"/>
          <w:kern w:val="1"/>
          <w:szCs w:val="21"/>
        </w:rPr>
        <w:t>2.</w:t>
      </w:r>
      <w:r>
        <w:rPr>
          <w:rFonts w:hint="eastAsia" w:ascii="宋体" w:hAnsi="宋体" w:cs="宋体"/>
          <w:color w:val="auto"/>
          <w:kern w:val="1"/>
          <w:szCs w:val="21"/>
          <w:lang w:val="en-US" w:eastAsia="zh-CN"/>
        </w:rPr>
        <w:t>1</w:t>
      </w:r>
      <w:r>
        <w:rPr>
          <w:rFonts w:ascii="宋体" w:hAnsi="宋体" w:cs="宋体"/>
          <w:color w:val="auto"/>
          <w:kern w:val="1"/>
          <w:szCs w:val="21"/>
        </w:rPr>
        <w:t>.2 提供施工条件</w:t>
      </w:r>
    </w:p>
    <w:p w14:paraId="35791921">
      <w:pPr>
        <w:spacing w:line="360" w:lineRule="exact"/>
        <w:ind w:firstLine="420"/>
        <w:rPr>
          <w:rFonts w:ascii="宋体" w:hAnsi="宋体" w:cs="宋体"/>
          <w:color w:val="auto"/>
          <w:kern w:val="1"/>
          <w:szCs w:val="21"/>
          <w:u w:val="single"/>
        </w:rPr>
      </w:pPr>
      <w:r>
        <w:rPr>
          <w:rFonts w:ascii="宋体" w:hAnsi="宋体" w:cs="宋体"/>
          <w:color w:val="auto"/>
          <w:kern w:val="1"/>
          <w:szCs w:val="21"/>
        </w:rPr>
        <w:t>关于发包人应负责提供施工所需要的条件，包括：</w:t>
      </w:r>
      <w:r>
        <w:rPr>
          <w:rFonts w:hint="eastAsia" w:ascii="宋体" w:hAnsi="宋体" w:cs="宋体"/>
          <w:color w:val="auto"/>
          <w:kern w:val="1"/>
          <w:szCs w:val="21"/>
          <w:u w:val="single"/>
        </w:rPr>
        <w:t>水通、电通、道路通，施工用水、用电开户由承包方自行解决，发包人可协助办理相关手续</w:t>
      </w:r>
      <w:r>
        <w:rPr>
          <w:rFonts w:ascii="宋体" w:hAnsi="宋体" w:cs="宋体"/>
          <w:color w:val="auto"/>
          <w:kern w:val="1"/>
          <w:szCs w:val="21"/>
        </w:rPr>
        <w:t>。</w:t>
      </w:r>
    </w:p>
    <w:p w14:paraId="5478FEE8">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598" w:name="_Toc406054743"/>
      <w:bookmarkEnd w:id="598"/>
      <w:bookmarkStart w:id="599" w:name="_Toc373227705"/>
      <w:bookmarkEnd w:id="599"/>
      <w:bookmarkStart w:id="600" w:name="_Toc373478352"/>
      <w:bookmarkEnd w:id="600"/>
      <w:bookmarkStart w:id="601" w:name="_Toc8239"/>
      <w:bookmarkStart w:id="602" w:name="_Toc7234"/>
      <w:bookmarkStart w:id="603" w:name="_Toc7286"/>
      <w:bookmarkStart w:id="604" w:name="_Toc32653"/>
      <w:bookmarkStart w:id="605" w:name="_Toc15570"/>
      <w:r>
        <w:rPr>
          <w:rFonts w:ascii="宋体" w:hAnsi="宋体" w:cs="宋体"/>
          <w:color w:val="auto"/>
          <w:sz w:val="21"/>
          <w:szCs w:val="21"/>
          <w:lang w:val="zh-CN"/>
        </w:rPr>
        <w:t>2.</w:t>
      </w:r>
      <w:r>
        <w:rPr>
          <w:rFonts w:hint="eastAsia" w:ascii="宋体" w:hAnsi="宋体" w:cs="宋体"/>
          <w:color w:val="auto"/>
          <w:sz w:val="21"/>
          <w:szCs w:val="21"/>
          <w:lang w:val="en-US" w:eastAsia="zh-CN"/>
        </w:rPr>
        <w:t>1</w:t>
      </w:r>
      <w:r>
        <w:rPr>
          <w:rFonts w:ascii="宋体" w:hAnsi="宋体" w:cs="宋体"/>
          <w:color w:val="auto"/>
          <w:sz w:val="21"/>
          <w:szCs w:val="21"/>
          <w:lang w:val="zh-CN"/>
        </w:rPr>
        <w:t xml:space="preserve"> 资金来源证明及支付担保</w:t>
      </w:r>
      <w:bookmarkEnd w:id="601"/>
      <w:bookmarkEnd w:id="602"/>
      <w:bookmarkEnd w:id="603"/>
      <w:bookmarkEnd w:id="604"/>
      <w:bookmarkEnd w:id="605"/>
    </w:p>
    <w:p w14:paraId="2AA62423">
      <w:pPr>
        <w:spacing w:line="360" w:lineRule="exact"/>
        <w:ind w:firstLine="420"/>
        <w:rPr>
          <w:rFonts w:ascii="宋体" w:hAnsi="宋体" w:cs="宋体"/>
          <w:color w:val="auto"/>
          <w:kern w:val="1"/>
          <w:szCs w:val="21"/>
        </w:rPr>
      </w:pPr>
      <w:r>
        <w:rPr>
          <w:rFonts w:ascii="宋体" w:hAnsi="宋体" w:cs="宋体"/>
          <w:color w:val="auto"/>
          <w:kern w:val="1"/>
          <w:szCs w:val="21"/>
        </w:rPr>
        <w:t>发包人提供资金来源证明的期限要求：</w:t>
      </w:r>
      <w:r>
        <w:rPr>
          <w:rFonts w:hint="eastAsia" w:ascii="宋体" w:hAnsi="宋体" w:cs="宋体"/>
          <w:color w:val="auto"/>
          <w:kern w:val="1"/>
          <w:szCs w:val="21"/>
        </w:rPr>
        <w:t>双方确认</w:t>
      </w:r>
      <w:r>
        <w:rPr>
          <w:rFonts w:hint="eastAsia" w:ascii="宋体" w:hAnsi="宋体" w:cs="宋体"/>
          <w:color w:val="auto"/>
          <w:kern w:val="1"/>
          <w:szCs w:val="21"/>
          <w:u w:val="single"/>
        </w:rPr>
        <w:t>开工日期前七天</w:t>
      </w:r>
      <w:r>
        <w:rPr>
          <w:rFonts w:ascii="宋体" w:hAnsi="宋体" w:cs="宋体"/>
          <w:color w:val="auto"/>
          <w:kern w:val="1"/>
          <w:szCs w:val="21"/>
        </w:rPr>
        <w:t>。</w:t>
      </w:r>
    </w:p>
    <w:p w14:paraId="54AC3D94">
      <w:pPr>
        <w:spacing w:line="360" w:lineRule="exact"/>
        <w:ind w:firstLine="420"/>
        <w:rPr>
          <w:rFonts w:ascii="宋体" w:hAnsi="宋体" w:cs="宋体"/>
          <w:color w:val="auto"/>
          <w:kern w:val="1"/>
          <w:szCs w:val="21"/>
        </w:rPr>
      </w:pPr>
      <w:r>
        <w:rPr>
          <w:rFonts w:ascii="宋体" w:hAnsi="宋体" w:cs="宋体"/>
          <w:color w:val="auto"/>
          <w:kern w:val="1"/>
          <w:szCs w:val="21"/>
        </w:rPr>
        <w:t>发包人是否提供支付担保：</w:t>
      </w:r>
      <w:r>
        <w:rPr>
          <w:rFonts w:hint="eastAsia" w:ascii="宋体" w:hAnsi="宋体" w:cs="宋体"/>
          <w:color w:val="auto"/>
          <w:kern w:val="1"/>
          <w:szCs w:val="21"/>
          <w:u w:val="single"/>
        </w:rPr>
        <w:t>否</w:t>
      </w:r>
      <w:r>
        <w:rPr>
          <w:rFonts w:ascii="宋体" w:hAnsi="宋体" w:cs="宋体"/>
          <w:color w:val="auto"/>
          <w:kern w:val="1"/>
          <w:szCs w:val="21"/>
        </w:rPr>
        <w:t>。</w:t>
      </w:r>
    </w:p>
    <w:p w14:paraId="0DA92060">
      <w:pPr>
        <w:spacing w:line="360" w:lineRule="exact"/>
        <w:ind w:firstLine="420"/>
        <w:rPr>
          <w:rFonts w:ascii="宋体" w:hAnsi="宋体" w:cs="宋体"/>
          <w:color w:val="auto"/>
          <w:kern w:val="1"/>
          <w:szCs w:val="21"/>
          <w:u w:val="single"/>
        </w:rPr>
      </w:pPr>
      <w:r>
        <w:rPr>
          <w:rFonts w:ascii="宋体" w:hAnsi="宋体" w:cs="宋体"/>
          <w:color w:val="auto"/>
          <w:kern w:val="1"/>
          <w:szCs w:val="21"/>
        </w:rPr>
        <w:t>发包人提供支付担保的形式：</w:t>
      </w:r>
      <w:r>
        <w:rPr>
          <w:rFonts w:hint="eastAsia" w:ascii="宋体" w:hAnsi="宋体" w:cs="宋体"/>
          <w:color w:val="auto"/>
          <w:kern w:val="1"/>
          <w:szCs w:val="21"/>
          <w:u w:val="single"/>
        </w:rPr>
        <w:t>否</w:t>
      </w:r>
      <w:r>
        <w:rPr>
          <w:rFonts w:ascii="宋体" w:hAnsi="宋体" w:cs="宋体"/>
          <w:color w:val="auto"/>
          <w:kern w:val="1"/>
          <w:szCs w:val="21"/>
        </w:rPr>
        <w:t>。</w:t>
      </w:r>
    </w:p>
    <w:p w14:paraId="4DF6241B">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606" w:name="_Toc373478353"/>
      <w:bookmarkEnd w:id="606"/>
      <w:bookmarkStart w:id="607" w:name="_Toc406054744"/>
      <w:bookmarkEnd w:id="607"/>
      <w:bookmarkStart w:id="608" w:name="_Toc373227706"/>
      <w:bookmarkEnd w:id="608"/>
      <w:bookmarkStart w:id="609" w:name="_Toc32630"/>
      <w:bookmarkStart w:id="610" w:name="_Toc13814"/>
      <w:bookmarkStart w:id="611" w:name="_Toc29896"/>
      <w:bookmarkStart w:id="612" w:name="_Toc22435"/>
      <w:bookmarkStart w:id="613" w:name="_Toc25389"/>
      <w:r>
        <w:rPr>
          <w:rFonts w:ascii="宋体" w:hAnsi="宋体" w:cs="宋体"/>
          <w:color w:val="auto"/>
          <w:sz w:val="21"/>
          <w:szCs w:val="21"/>
          <w:lang w:val="zh-CN"/>
        </w:rPr>
        <w:t>3. 承包人</w:t>
      </w:r>
      <w:bookmarkEnd w:id="609"/>
      <w:bookmarkEnd w:id="610"/>
      <w:bookmarkEnd w:id="611"/>
      <w:bookmarkEnd w:id="612"/>
      <w:bookmarkEnd w:id="613"/>
    </w:p>
    <w:p w14:paraId="1B63A27A">
      <w:pPr>
        <w:pStyle w:val="2"/>
        <w:keepNext w:val="0"/>
        <w:keepLines/>
        <w:pageBreakBefore w:val="0"/>
        <w:widowControl w:val="0"/>
        <w:kinsoku/>
        <w:wordWrap/>
        <w:overflowPunct/>
        <w:topLinePunct w:val="0"/>
        <w:autoSpaceDE/>
        <w:autoSpaceDN/>
        <w:bidi w:val="0"/>
        <w:adjustRightInd/>
        <w:snapToGrid/>
        <w:spacing w:line="260" w:lineRule="exact"/>
        <w:textAlignment w:val="auto"/>
        <w:rPr>
          <w:rFonts w:ascii="宋体" w:hAnsi="宋体" w:cs="宋体"/>
          <w:color w:val="auto"/>
          <w:sz w:val="21"/>
          <w:szCs w:val="21"/>
          <w:lang w:val="zh-CN"/>
        </w:rPr>
      </w:pPr>
      <w:bookmarkStart w:id="614" w:name="_Toc373227707"/>
      <w:bookmarkEnd w:id="614"/>
      <w:bookmarkStart w:id="615" w:name="_Toc406054745"/>
      <w:bookmarkEnd w:id="615"/>
      <w:bookmarkStart w:id="616" w:name="_Toc373478354"/>
      <w:bookmarkEnd w:id="616"/>
      <w:bookmarkStart w:id="617" w:name="_Toc19102"/>
      <w:bookmarkStart w:id="618" w:name="_Toc30331"/>
      <w:bookmarkStart w:id="619" w:name="_Toc781"/>
      <w:bookmarkStart w:id="620" w:name="_Toc11315"/>
      <w:bookmarkStart w:id="621" w:name="_Toc7455"/>
      <w:r>
        <w:rPr>
          <w:rFonts w:ascii="宋体" w:hAnsi="宋体" w:cs="宋体"/>
          <w:color w:val="auto"/>
          <w:sz w:val="21"/>
          <w:szCs w:val="21"/>
          <w:lang w:val="zh-CN"/>
        </w:rPr>
        <w:t>3.1 承包人的一般义务</w:t>
      </w:r>
      <w:bookmarkEnd w:id="617"/>
      <w:bookmarkEnd w:id="618"/>
      <w:bookmarkEnd w:id="619"/>
      <w:bookmarkEnd w:id="620"/>
      <w:bookmarkEnd w:id="621"/>
    </w:p>
    <w:p w14:paraId="411FA005">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（5）承包人提交的竣工资料的内容：</w:t>
      </w:r>
      <w:r>
        <w:rPr>
          <w:rFonts w:hint="eastAsia" w:ascii="宋体" w:hAnsi="宋体" w:cs="宋体"/>
          <w:color w:val="auto"/>
          <w:kern w:val="1"/>
          <w:szCs w:val="21"/>
          <w:u w:val="single"/>
        </w:rPr>
        <w:t>符合竣工验收要求的竣工图、施工管理资料、施工技术资料及国家、地方规定的其他资料</w:t>
      </w:r>
      <w:r>
        <w:rPr>
          <w:rFonts w:ascii="宋体" w:hAnsi="宋体" w:cs="宋体"/>
          <w:color w:val="auto"/>
          <w:kern w:val="1"/>
          <w:szCs w:val="21"/>
        </w:rPr>
        <w:t xml:space="preserve">。 </w:t>
      </w:r>
    </w:p>
    <w:p w14:paraId="63DC2344">
      <w:pPr>
        <w:spacing w:line="360" w:lineRule="exact"/>
        <w:ind w:firstLine="420"/>
        <w:jc w:val="left"/>
        <w:rPr>
          <w:rFonts w:ascii="宋体" w:hAnsi="宋体" w:cs="宋体"/>
          <w:color w:val="auto"/>
          <w:kern w:val="1"/>
          <w:szCs w:val="21"/>
        </w:rPr>
      </w:pPr>
      <w:r>
        <w:rPr>
          <w:rFonts w:ascii="宋体" w:hAnsi="宋体" w:cs="宋体"/>
          <w:color w:val="auto"/>
          <w:kern w:val="1"/>
          <w:szCs w:val="21"/>
        </w:rPr>
        <w:t>承包人需要提交的竣工资料套数：</w:t>
      </w:r>
      <w:r>
        <w:rPr>
          <w:rFonts w:hint="eastAsia" w:ascii="宋体" w:hAnsi="宋体" w:cs="宋体"/>
          <w:color w:val="auto"/>
          <w:kern w:val="1"/>
          <w:szCs w:val="21"/>
          <w:u w:val="single"/>
        </w:rPr>
        <w:t>一式肆份</w:t>
      </w:r>
      <w:r>
        <w:rPr>
          <w:rFonts w:ascii="宋体" w:hAnsi="宋体" w:cs="宋体"/>
          <w:color w:val="auto"/>
          <w:kern w:val="1"/>
          <w:szCs w:val="21"/>
        </w:rPr>
        <w:t>。</w:t>
      </w:r>
    </w:p>
    <w:p w14:paraId="73E532B3">
      <w:pPr>
        <w:spacing w:line="360" w:lineRule="exact"/>
        <w:ind w:firstLine="420" w:firstLineChars="200"/>
        <w:jc w:val="left"/>
        <w:rPr>
          <w:rFonts w:ascii="宋体" w:hAnsi="宋体" w:cs="宋体"/>
          <w:color w:val="auto"/>
          <w:kern w:val="1"/>
          <w:szCs w:val="21"/>
        </w:rPr>
      </w:pPr>
      <w:r>
        <w:rPr>
          <w:rFonts w:ascii="宋体" w:hAnsi="宋体" w:cs="宋体"/>
          <w:color w:val="auto"/>
          <w:kern w:val="1"/>
          <w:szCs w:val="21"/>
        </w:rPr>
        <w:t>承包人提交的竣工资料的费用承担：</w:t>
      </w:r>
      <w:r>
        <w:rPr>
          <w:rFonts w:hint="eastAsia" w:ascii="宋体" w:hAnsi="宋体" w:cs="宋体"/>
          <w:color w:val="auto"/>
          <w:kern w:val="1"/>
          <w:szCs w:val="21"/>
          <w:u w:val="single"/>
        </w:rPr>
        <w:t>承包人承担</w:t>
      </w:r>
      <w:r>
        <w:rPr>
          <w:rFonts w:ascii="宋体" w:hAnsi="宋体" w:cs="宋体"/>
          <w:color w:val="auto"/>
          <w:kern w:val="1"/>
          <w:szCs w:val="21"/>
        </w:rPr>
        <w:t>。</w:t>
      </w:r>
    </w:p>
    <w:p w14:paraId="15C7EC9C">
      <w:pPr>
        <w:spacing w:line="360" w:lineRule="exact"/>
        <w:ind w:firstLine="420" w:firstLineChars="200"/>
        <w:jc w:val="left"/>
        <w:rPr>
          <w:rFonts w:ascii="宋体" w:hAnsi="宋体" w:cs="宋体"/>
          <w:color w:val="auto"/>
          <w:kern w:val="1"/>
          <w:szCs w:val="21"/>
        </w:rPr>
      </w:pPr>
      <w:r>
        <w:rPr>
          <w:rFonts w:ascii="宋体" w:hAnsi="宋体" w:cs="宋体"/>
          <w:color w:val="auto"/>
          <w:kern w:val="1"/>
          <w:szCs w:val="21"/>
        </w:rPr>
        <w:t>承包人提交的竣工资料移交时间：</w:t>
      </w:r>
      <w:r>
        <w:rPr>
          <w:rFonts w:hint="eastAsia" w:ascii="宋体" w:hAnsi="宋体" w:cs="宋体"/>
          <w:color w:val="auto"/>
          <w:kern w:val="1"/>
          <w:szCs w:val="21"/>
          <w:u w:val="single"/>
        </w:rPr>
        <w:t>竣工验收通过后7天内</w:t>
      </w:r>
      <w:r>
        <w:rPr>
          <w:rFonts w:ascii="宋体" w:hAnsi="宋体" w:cs="宋体"/>
          <w:color w:val="auto"/>
          <w:kern w:val="1"/>
          <w:szCs w:val="21"/>
        </w:rPr>
        <w:t>。</w:t>
      </w:r>
    </w:p>
    <w:p w14:paraId="32F1A3F3">
      <w:pPr>
        <w:spacing w:line="360" w:lineRule="exact"/>
        <w:ind w:firstLine="420"/>
        <w:jc w:val="left"/>
        <w:rPr>
          <w:rFonts w:ascii="宋体" w:hAnsi="宋体" w:cs="宋体"/>
          <w:color w:val="auto"/>
          <w:kern w:val="1"/>
          <w:szCs w:val="21"/>
        </w:rPr>
      </w:pPr>
      <w:r>
        <w:rPr>
          <w:rFonts w:ascii="宋体" w:hAnsi="宋体" w:cs="宋体"/>
          <w:color w:val="auto"/>
          <w:kern w:val="1"/>
          <w:szCs w:val="21"/>
        </w:rPr>
        <w:t>承包人提交的竣工资料形式要求：</w:t>
      </w:r>
      <w:r>
        <w:rPr>
          <w:rFonts w:hint="eastAsia" w:ascii="宋体" w:hAnsi="宋体" w:cs="宋体"/>
          <w:color w:val="auto"/>
          <w:kern w:val="1"/>
          <w:szCs w:val="21"/>
          <w:u w:val="single"/>
        </w:rPr>
        <w:t>纸质资料，同时竣工图提供电子版</w:t>
      </w:r>
      <w:r>
        <w:rPr>
          <w:rFonts w:ascii="宋体" w:hAnsi="宋体" w:cs="宋体"/>
          <w:color w:val="auto"/>
          <w:kern w:val="1"/>
          <w:szCs w:val="21"/>
        </w:rPr>
        <w:t>。</w:t>
      </w:r>
    </w:p>
    <w:p w14:paraId="307492CB">
      <w:pPr>
        <w:spacing w:line="360" w:lineRule="exact"/>
        <w:ind w:firstLine="420"/>
        <w:rPr>
          <w:rFonts w:ascii="宋体" w:hAnsi="宋体" w:cs="宋体"/>
          <w:color w:val="auto"/>
          <w:kern w:val="1"/>
          <w:szCs w:val="21"/>
        </w:rPr>
      </w:pPr>
      <w:r>
        <w:rPr>
          <w:rFonts w:ascii="宋体" w:hAnsi="宋体" w:cs="宋体"/>
          <w:color w:val="auto"/>
          <w:kern w:val="1"/>
          <w:szCs w:val="21"/>
        </w:rPr>
        <w:t>（6）承包人应履行的其他义务：</w:t>
      </w:r>
    </w:p>
    <w:p w14:paraId="4C897863">
      <w:pPr>
        <w:pStyle w:val="2"/>
        <w:keepNext w:val="0"/>
        <w:keepLines w:val="0"/>
        <w:spacing w:line="360" w:lineRule="exact"/>
        <w:ind w:firstLine="420" w:firstLineChars="200"/>
        <w:rPr>
          <w:rFonts w:ascii="宋体" w:hAnsi="宋体" w:cs="宋体"/>
          <w:b w:val="0"/>
          <w:color w:val="auto"/>
          <w:kern w:val="1"/>
          <w:sz w:val="21"/>
          <w:szCs w:val="21"/>
          <w:u w:val="single"/>
        </w:rPr>
      </w:pPr>
      <w:bookmarkStart w:id="622" w:name="_Toc373227708"/>
      <w:bookmarkEnd w:id="622"/>
      <w:bookmarkStart w:id="623" w:name="_Toc406054746"/>
      <w:bookmarkEnd w:id="623"/>
      <w:bookmarkStart w:id="624" w:name="_Toc373478355"/>
      <w:bookmarkEnd w:id="624"/>
      <w:bookmarkStart w:id="625" w:name="_Toc13424"/>
      <w:bookmarkStart w:id="626" w:name="_Toc18459"/>
      <w:bookmarkStart w:id="627" w:name="_Toc20478"/>
      <w:bookmarkStart w:id="628" w:name="_Toc30340"/>
      <w:bookmarkStart w:id="629" w:name="_Toc7486"/>
      <w:r>
        <w:rPr>
          <w:rFonts w:hint="eastAsia" w:ascii="宋体" w:hAnsi="宋体" w:cs="宋体"/>
          <w:b w:val="0"/>
          <w:color w:val="auto"/>
          <w:kern w:val="1"/>
          <w:sz w:val="21"/>
          <w:szCs w:val="21"/>
          <w:u w:val="single"/>
        </w:rPr>
        <w:t>1、协助发包人做好施工所需的条件、报监报建手续及其他政府部门需要的报批手续，告知义务。2、按时足额将农民工工资保障金存入建设行政主管部门指定的账户，对农民工工资保障金的使用做出承诺。</w:t>
      </w:r>
      <w:r>
        <w:rPr>
          <w:rFonts w:hint="eastAsia" w:ascii="宋体" w:hAnsi="宋体" w:cs="宋体"/>
          <w:color w:val="auto"/>
          <w:kern w:val="1"/>
          <w:sz w:val="21"/>
          <w:szCs w:val="21"/>
          <w:u w:val="single"/>
        </w:rPr>
        <w:t>3、承包人应按发包人的指令，完成发包人要求的对工程内容的任何增加和减少；4、承包人进入现场施工，要做好现场安全文明施工工作。现场运输材料、对方材料等造成路面的污染，承包人应该有专人负责跟踪打扫；现场施工及生活垃圾产生的垃圾应该有人清理；5、承包人应负责提供完成合同所需的劳务、材料、施工设备、工程设备和其他物品。</w:t>
      </w:r>
      <w:r>
        <w:rPr>
          <w:rFonts w:hint="eastAsia" w:ascii="宋体" w:hAnsi="宋体" w:cs="宋体"/>
          <w:b w:val="0"/>
          <w:color w:val="auto"/>
          <w:kern w:val="1"/>
          <w:sz w:val="21"/>
          <w:szCs w:val="21"/>
          <w:u w:val="single"/>
        </w:rPr>
        <w:t>不尽事宜由双方另行协商确定。</w:t>
      </w:r>
      <w:bookmarkEnd w:id="625"/>
      <w:bookmarkEnd w:id="626"/>
      <w:bookmarkEnd w:id="627"/>
      <w:bookmarkEnd w:id="628"/>
    </w:p>
    <w:p w14:paraId="22FEFF13">
      <w:pPr>
        <w:pStyle w:val="2"/>
        <w:keepNext w:val="0"/>
        <w:keepLines w:val="0"/>
        <w:pageBreakBefore w:val="0"/>
        <w:widowControl w:val="0"/>
        <w:kinsoku/>
        <w:wordWrap/>
        <w:overflowPunct/>
        <w:topLinePunct w:val="0"/>
        <w:autoSpaceDE/>
        <w:autoSpaceDN/>
        <w:bidi w:val="0"/>
        <w:adjustRightInd/>
        <w:snapToGrid/>
        <w:spacing w:line="240" w:lineRule="exact"/>
        <w:ind w:firstLine="422" w:firstLineChars="200"/>
        <w:textAlignment w:val="auto"/>
        <w:rPr>
          <w:rFonts w:ascii="宋体" w:hAnsi="宋体" w:cs="宋体"/>
          <w:b/>
          <w:bCs w:val="0"/>
          <w:color w:val="auto"/>
          <w:kern w:val="1"/>
          <w:sz w:val="21"/>
          <w:szCs w:val="21"/>
          <w:u w:val="none"/>
          <w:lang w:val="zh-CN"/>
        </w:rPr>
      </w:pPr>
      <w:bookmarkStart w:id="630" w:name="_Toc29590"/>
      <w:bookmarkStart w:id="631" w:name="_Toc19073"/>
      <w:bookmarkStart w:id="632" w:name="_Toc26230"/>
      <w:bookmarkStart w:id="633" w:name="_Toc16518"/>
      <w:r>
        <w:rPr>
          <w:rFonts w:hint="eastAsia" w:ascii="宋体" w:hAnsi="宋体" w:cs="宋体"/>
          <w:b/>
          <w:bCs w:val="0"/>
          <w:color w:val="auto"/>
          <w:kern w:val="1"/>
          <w:sz w:val="21"/>
          <w:szCs w:val="21"/>
          <w:u w:val="none"/>
          <w:lang w:val="zh-CN"/>
        </w:rPr>
        <w:t xml:space="preserve">3.2 </w:t>
      </w:r>
      <w:r>
        <w:rPr>
          <w:rFonts w:hint="eastAsia" w:ascii="宋体" w:hAnsi="宋体" w:cs="宋体"/>
          <w:b/>
          <w:bCs w:val="0"/>
          <w:color w:val="auto"/>
          <w:kern w:val="1"/>
          <w:sz w:val="21"/>
          <w:szCs w:val="21"/>
          <w:u w:val="none"/>
        </w:rPr>
        <w:t>承包人</w:t>
      </w:r>
      <w:r>
        <w:rPr>
          <w:rFonts w:hint="eastAsia" w:ascii="宋体" w:hAnsi="宋体" w:cs="宋体"/>
          <w:b/>
          <w:bCs w:val="0"/>
          <w:color w:val="auto"/>
          <w:kern w:val="1"/>
          <w:sz w:val="21"/>
          <w:szCs w:val="21"/>
          <w:u w:val="none"/>
          <w:lang w:val="zh-CN"/>
        </w:rPr>
        <w:t>项目经理</w:t>
      </w:r>
      <w:bookmarkEnd w:id="629"/>
      <w:bookmarkEnd w:id="630"/>
      <w:bookmarkEnd w:id="631"/>
      <w:bookmarkEnd w:id="632"/>
      <w:bookmarkEnd w:id="633"/>
    </w:p>
    <w:p w14:paraId="21EAE392">
      <w:pPr>
        <w:spacing w:line="360" w:lineRule="exact"/>
        <w:ind w:firstLine="420"/>
        <w:rPr>
          <w:rFonts w:ascii="宋体" w:hAnsi="宋体" w:cs="宋体"/>
          <w:color w:val="auto"/>
          <w:kern w:val="1"/>
          <w:szCs w:val="21"/>
        </w:rPr>
      </w:pPr>
      <w:r>
        <w:rPr>
          <w:rFonts w:ascii="宋体" w:hAnsi="宋体" w:cs="宋体"/>
          <w:color w:val="auto"/>
          <w:kern w:val="1"/>
          <w:szCs w:val="21"/>
        </w:rPr>
        <w:t>3.2.1 项目经理：</w:t>
      </w:r>
    </w:p>
    <w:p w14:paraId="450C5357">
      <w:pPr>
        <w:spacing w:line="360" w:lineRule="exact"/>
        <w:ind w:firstLine="420"/>
        <w:rPr>
          <w:rFonts w:ascii="宋体" w:hAnsi="宋体" w:cs="宋体"/>
          <w:color w:val="auto"/>
          <w:kern w:val="1"/>
          <w:szCs w:val="21"/>
        </w:rPr>
      </w:pPr>
      <w:r>
        <w:rPr>
          <w:rFonts w:ascii="宋体" w:hAnsi="宋体" w:cs="宋体"/>
          <w:color w:val="auto"/>
          <w:kern w:val="1"/>
          <w:szCs w:val="21"/>
        </w:rPr>
        <w:t>承包人对项目经理的授权范围如下：</w:t>
      </w:r>
      <w:r>
        <w:rPr>
          <w:rFonts w:hint="eastAsia" w:ascii="宋体" w:hAnsi="宋体" w:cs="宋体"/>
          <w:color w:val="auto"/>
          <w:kern w:val="1"/>
          <w:szCs w:val="21"/>
          <w:u w:val="single"/>
        </w:rPr>
        <w:t>合同约定范围的权利、义务</w:t>
      </w:r>
      <w:r>
        <w:rPr>
          <w:rFonts w:ascii="宋体" w:hAnsi="宋体" w:cs="宋体"/>
          <w:color w:val="auto"/>
          <w:kern w:val="1"/>
          <w:szCs w:val="21"/>
        </w:rPr>
        <w:t>。</w:t>
      </w:r>
    </w:p>
    <w:p w14:paraId="29525ED6">
      <w:pPr>
        <w:spacing w:line="360" w:lineRule="exact"/>
        <w:ind w:firstLine="420"/>
        <w:jc w:val="left"/>
        <w:rPr>
          <w:rFonts w:ascii="宋体" w:hAnsi="宋体" w:cs="宋体"/>
          <w:color w:val="auto"/>
          <w:kern w:val="1"/>
          <w:szCs w:val="21"/>
        </w:rPr>
      </w:pPr>
      <w:r>
        <w:rPr>
          <w:rFonts w:ascii="宋体" w:hAnsi="宋体" w:cs="宋体"/>
          <w:color w:val="auto"/>
          <w:kern w:val="1"/>
          <w:szCs w:val="21"/>
        </w:rPr>
        <w:t>关于项目经理每月在施工现场的时间要求：</w:t>
      </w:r>
      <w:r>
        <w:rPr>
          <w:rFonts w:ascii="宋体" w:hAnsi="宋体" w:cs="宋体"/>
          <w:color w:val="auto"/>
          <w:kern w:val="1"/>
          <w:szCs w:val="21"/>
          <w:u w:val="single"/>
        </w:rPr>
        <w:t>项目经理</w:t>
      </w:r>
      <w:r>
        <w:rPr>
          <w:rFonts w:hint="eastAsia" w:ascii="宋体" w:hAnsi="宋体" w:cs="宋体"/>
          <w:color w:val="auto"/>
          <w:kern w:val="1"/>
          <w:szCs w:val="21"/>
          <w:u w:val="single"/>
        </w:rPr>
        <w:t>在岗带班时间不得少于当月施工时间的80%，且关键部位施工必须在现场以及分部分项验收、隐蔽工程验收必须在现场</w:t>
      </w:r>
      <w:r>
        <w:rPr>
          <w:rFonts w:ascii="宋体" w:hAnsi="宋体" w:cs="宋体"/>
          <w:color w:val="auto"/>
          <w:kern w:val="1"/>
          <w:szCs w:val="21"/>
        </w:rPr>
        <w:t>。</w:t>
      </w:r>
    </w:p>
    <w:p w14:paraId="48D1CFDC">
      <w:pPr>
        <w:spacing w:line="360" w:lineRule="exact"/>
        <w:ind w:firstLine="420"/>
        <w:rPr>
          <w:rFonts w:ascii="宋体" w:hAnsi="宋体" w:cs="宋体"/>
          <w:color w:val="auto"/>
          <w:kern w:val="1"/>
          <w:szCs w:val="21"/>
        </w:rPr>
      </w:pPr>
      <w:r>
        <w:rPr>
          <w:rFonts w:ascii="宋体" w:hAnsi="宋体" w:cs="宋体"/>
          <w:color w:val="auto"/>
          <w:kern w:val="1"/>
          <w:szCs w:val="21"/>
        </w:rPr>
        <w:t>承包人未提交劳动合同，以及没有为项目经理缴纳社会保险证明的违约责任：</w:t>
      </w:r>
      <w:r>
        <w:rPr>
          <w:rFonts w:hint="eastAsia" w:ascii="宋体" w:hAnsi="宋体" w:cs="宋体"/>
          <w:color w:val="auto"/>
          <w:kern w:val="1"/>
          <w:szCs w:val="21"/>
          <w:u w:val="single"/>
        </w:rPr>
        <w:t>由此而影响到项目报建报监手续办理、被主管部门处罚停工、民工上访等造成的经济损失，由承包人赔偿</w:t>
      </w:r>
      <w:r>
        <w:rPr>
          <w:rFonts w:ascii="宋体" w:hAnsi="宋体" w:cs="宋体"/>
          <w:color w:val="auto"/>
          <w:kern w:val="1"/>
          <w:szCs w:val="21"/>
        </w:rPr>
        <w:t>。</w:t>
      </w:r>
    </w:p>
    <w:p w14:paraId="7A73E01F">
      <w:pPr>
        <w:spacing w:line="360" w:lineRule="exact"/>
        <w:ind w:firstLine="420"/>
        <w:rPr>
          <w:rFonts w:ascii="宋体" w:hAnsi="宋体" w:cs="宋体"/>
          <w:color w:val="auto"/>
          <w:kern w:val="1"/>
          <w:szCs w:val="21"/>
          <w:u w:val="single"/>
        </w:rPr>
      </w:pPr>
      <w:r>
        <w:rPr>
          <w:rFonts w:ascii="宋体" w:hAnsi="宋体" w:cs="宋体"/>
          <w:color w:val="auto"/>
          <w:kern w:val="1"/>
          <w:szCs w:val="21"/>
        </w:rPr>
        <w:t>项目经理未经批准，擅自离开施工现场的违约责任：</w:t>
      </w:r>
      <w:r>
        <w:rPr>
          <w:rFonts w:ascii="宋体" w:hAnsi="宋体" w:cs="宋体"/>
          <w:color w:val="auto"/>
          <w:kern w:val="1"/>
          <w:szCs w:val="21"/>
          <w:u w:val="single"/>
        </w:rPr>
        <w:t>未经发包人同意或正当理由，项目经理擅自离岗的，视为承包人违约，</w:t>
      </w:r>
      <w:r>
        <w:rPr>
          <w:rFonts w:hint="eastAsia" w:ascii="宋体" w:hAnsi="宋体" w:cs="宋体"/>
          <w:color w:val="auto"/>
          <w:kern w:val="1"/>
          <w:szCs w:val="21"/>
          <w:u w:val="single"/>
        </w:rPr>
        <w:t>承包人应向</w:t>
      </w:r>
      <w:r>
        <w:rPr>
          <w:rFonts w:ascii="宋体" w:hAnsi="宋体" w:cs="宋体"/>
          <w:color w:val="auto"/>
          <w:kern w:val="1"/>
          <w:szCs w:val="21"/>
          <w:u w:val="single"/>
        </w:rPr>
        <w:t>发包人</w:t>
      </w:r>
      <w:r>
        <w:rPr>
          <w:rFonts w:hint="eastAsia" w:ascii="宋体" w:hAnsi="宋体" w:cs="宋体"/>
          <w:color w:val="auto"/>
          <w:kern w:val="1"/>
          <w:szCs w:val="21"/>
          <w:u w:val="single"/>
        </w:rPr>
        <w:t>支付</w:t>
      </w:r>
      <w:r>
        <w:rPr>
          <w:rFonts w:ascii="宋体" w:hAnsi="宋体" w:cs="宋体"/>
          <w:color w:val="auto"/>
          <w:kern w:val="1"/>
          <w:szCs w:val="21"/>
          <w:u w:val="single"/>
        </w:rPr>
        <w:t>违约金</w:t>
      </w:r>
      <w:r>
        <w:rPr>
          <w:rFonts w:hint="eastAsia" w:ascii="宋体" w:hAnsi="宋体" w:cs="宋体"/>
          <w:color w:val="auto"/>
          <w:kern w:val="1"/>
          <w:szCs w:val="21"/>
          <w:u w:val="single"/>
        </w:rPr>
        <w:t>4000元/人•次</w:t>
      </w:r>
      <w:r>
        <w:rPr>
          <w:rFonts w:ascii="宋体" w:hAnsi="宋体" w:cs="宋体"/>
          <w:color w:val="auto"/>
          <w:kern w:val="1"/>
          <w:szCs w:val="21"/>
        </w:rPr>
        <w:t>。</w:t>
      </w:r>
    </w:p>
    <w:p w14:paraId="08F0788A">
      <w:pPr>
        <w:spacing w:line="360" w:lineRule="exact"/>
        <w:ind w:firstLine="420"/>
        <w:rPr>
          <w:rFonts w:ascii="宋体" w:hAnsi="宋体" w:cs="宋体"/>
          <w:color w:val="auto"/>
          <w:kern w:val="1"/>
          <w:szCs w:val="21"/>
        </w:rPr>
      </w:pPr>
      <w:r>
        <w:rPr>
          <w:rFonts w:ascii="宋体" w:hAnsi="宋体" w:cs="宋体"/>
          <w:color w:val="auto"/>
          <w:kern w:val="1"/>
          <w:szCs w:val="21"/>
        </w:rPr>
        <w:t>3.2.3 承包人擅自更换项目经理的违约责任：</w:t>
      </w:r>
      <w:r>
        <w:rPr>
          <w:rFonts w:ascii="宋体" w:hAnsi="宋体" w:cs="宋体"/>
          <w:color w:val="auto"/>
          <w:kern w:val="1"/>
          <w:szCs w:val="21"/>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w:t>
      </w:r>
      <w:r>
        <w:rPr>
          <w:rFonts w:hint="eastAsia" w:ascii="宋体" w:hAnsi="宋体" w:cs="宋体"/>
          <w:color w:val="auto"/>
          <w:kern w:val="1"/>
          <w:szCs w:val="21"/>
          <w:u w:val="single"/>
        </w:rPr>
        <w:t>承包人擅自更换项目经理的视为违约，发包人有权要求承包人按6000元/人·次支付违约金，由此产生的一切损失及后果由承包人承担</w:t>
      </w:r>
      <w:r>
        <w:rPr>
          <w:rFonts w:ascii="宋体" w:hAnsi="宋体" w:cs="宋体"/>
          <w:color w:val="auto"/>
          <w:kern w:val="1"/>
          <w:szCs w:val="21"/>
        </w:rPr>
        <w:t>。</w:t>
      </w:r>
    </w:p>
    <w:p w14:paraId="323E884F">
      <w:pPr>
        <w:spacing w:line="360" w:lineRule="exact"/>
        <w:ind w:firstLine="420"/>
        <w:rPr>
          <w:rFonts w:ascii="宋体" w:hAnsi="宋体" w:cs="宋体"/>
          <w:color w:val="auto"/>
          <w:kern w:val="1"/>
          <w:szCs w:val="21"/>
        </w:rPr>
      </w:pPr>
      <w:r>
        <w:rPr>
          <w:rFonts w:ascii="宋体" w:hAnsi="宋体" w:cs="宋体"/>
          <w:color w:val="auto"/>
          <w:kern w:val="1"/>
          <w:szCs w:val="21"/>
        </w:rPr>
        <w:t>3.2.4 承包人无正当理由拒绝更换项目经理的违约责任：</w:t>
      </w:r>
      <w:r>
        <w:rPr>
          <w:rFonts w:hint="eastAsia" w:ascii="宋体" w:hAnsi="宋体" w:cs="宋体"/>
          <w:color w:val="auto"/>
          <w:kern w:val="1"/>
          <w:szCs w:val="21"/>
          <w:u w:val="single"/>
        </w:rPr>
        <w:t>承包人项目经理因不称职，发包人要求调换在规定的时间内未及时调换的，视为承包人违约，发包人有权要求承包人按2000元/人·次支付违约金，由此产生的一切损失及后果由承包人承担</w:t>
      </w:r>
      <w:r>
        <w:rPr>
          <w:rFonts w:hint="eastAsia" w:ascii="宋体" w:hAnsi="宋体" w:cs="宋体"/>
          <w:color w:val="auto"/>
          <w:kern w:val="1"/>
          <w:szCs w:val="21"/>
        </w:rPr>
        <w:t>。</w:t>
      </w:r>
    </w:p>
    <w:p w14:paraId="10990FC9">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634" w:name="_Toc406054747"/>
      <w:bookmarkEnd w:id="634"/>
      <w:bookmarkStart w:id="635" w:name="_Toc373227709"/>
      <w:bookmarkEnd w:id="635"/>
      <w:bookmarkStart w:id="636" w:name="_Toc373478356"/>
      <w:bookmarkEnd w:id="636"/>
      <w:bookmarkStart w:id="637" w:name="_Toc26640"/>
      <w:bookmarkStart w:id="638" w:name="_Toc17362"/>
      <w:bookmarkStart w:id="639" w:name="_Toc7543"/>
      <w:bookmarkStart w:id="640" w:name="_Toc9380"/>
      <w:bookmarkStart w:id="641" w:name="_Toc11669"/>
      <w:r>
        <w:rPr>
          <w:rFonts w:ascii="宋体" w:hAnsi="宋体" w:cs="宋体"/>
          <w:color w:val="auto"/>
          <w:sz w:val="21"/>
          <w:szCs w:val="21"/>
          <w:lang w:val="zh-CN"/>
        </w:rPr>
        <w:t>3.3 承包人人员</w:t>
      </w:r>
      <w:bookmarkEnd w:id="637"/>
      <w:bookmarkEnd w:id="638"/>
      <w:bookmarkEnd w:id="639"/>
      <w:bookmarkEnd w:id="640"/>
      <w:bookmarkEnd w:id="641"/>
    </w:p>
    <w:p w14:paraId="73417846">
      <w:pPr>
        <w:spacing w:line="360" w:lineRule="exact"/>
        <w:ind w:firstLine="420"/>
        <w:rPr>
          <w:rFonts w:ascii="宋体" w:hAnsi="宋体" w:cs="宋体"/>
          <w:color w:val="auto"/>
          <w:kern w:val="1"/>
          <w:szCs w:val="21"/>
        </w:rPr>
      </w:pPr>
      <w:r>
        <w:rPr>
          <w:rFonts w:ascii="宋体" w:hAnsi="宋体" w:cs="宋体"/>
          <w:color w:val="auto"/>
          <w:kern w:val="1"/>
          <w:szCs w:val="21"/>
        </w:rPr>
        <w:t>3.3.1 承包人提交项目管理机构及施工现场管理人员安排报告的期限：</w:t>
      </w:r>
      <w:r>
        <w:rPr>
          <w:rFonts w:hint="eastAsia" w:ascii="宋体" w:hAnsi="宋体" w:cs="宋体"/>
          <w:color w:val="auto"/>
          <w:kern w:val="1"/>
          <w:szCs w:val="21"/>
          <w:u w:val="single"/>
        </w:rPr>
        <w:t>开工前7天内</w:t>
      </w:r>
      <w:r>
        <w:rPr>
          <w:rFonts w:ascii="宋体" w:hAnsi="宋体" w:cs="宋体"/>
          <w:color w:val="auto"/>
          <w:kern w:val="1"/>
          <w:szCs w:val="21"/>
        </w:rPr>
        <w:t>。</w:t>
      </w:r>
    </w:p>
    <w:p w14:paraId="5B7B1158">
      <w:pPr>
        <w:spacing w:line="360" w:lineRule="exact"/>
        <w:ind w:firstLine="420"/>
        <w:rPr>
          <w:rFonts w:ascii="宋体" w:hAnsi="宋体" w:cs="宋体"/>
          <w:color w:val="auto"/>
          <w:kern w:val="1"/>
          <w:szCs w:val="21"/>
        </w:rPr>
      </w:pPr>
      <w:r>
        <w:rPr>
          <w:rFonts w:ascii="宋体" w:hAnsi="宋体" w:cs="宋体"/>
          <w:color w:val="auto"/>
          <w:kern w:val="1"/>
          <w:szCs w:val="21"/>
        </w:rPr>
        <w:t>3.3.3 承包人无正当理由拒绝撤换主要施工管理人员的违约责任：</w:t>
      </w:r>
      <w:r>
        <w:rPr>
          <w:rFonts w:hint="eastAsia" w:ascii="宋体" w:hAnsi="宋体" w:cs="宋体"/>
          <w:color w:val="auto"/>
          <w:kern w:val="1"/>
          <w:szCs w:val="21"/>
          <w:u w:val="single"/>
        </w:rPr>
        <w:t>承包人主要施工管理人员因不称职，发包人要求调换而承包人在发包人规定的期限内无正当理由拒绝撤换或未及时调换的，视为承包人违约，发包人有权要求承包人按照技术负责人1000元/人•次(人民币)；专业工程师2000元/人•次(人民币)的标准承担违约金，由此产生的一切损失及后果由承包人承担</w:t>
      </w:r>
      <w:r>
        <w:rPr>
          <w:rFonts w:hint="eastAsia" w:ascii="宋体" w:hAnsi="宋体" w:cs="宋体"/>
          <w:color w:val="auto"/>
          <w:kern w:val="1"/>
          <w:szCs w:val="21"/>
        </w:rPr>
        <w:t>。</w:t>
      </w:r>
    </w:p>
    <w:p w14:paraId="7D72B3BD">
      <w:pPr>
        <w:spacing w:line="360" w:lineRule="exact"/>
        <w:ind w:firstLine="420"/>
        <w:rPr>
          <w:rFonts w:ascii="宋体" w:hAnsi="宋体" w:cs="宋体"/>
          <w:color w:val="auto"/>
          <w:kern w:val="1"/>
          <w:szCs w:val="21"/>
          <w:u w:val="single"/>
        </w:rPr>
      </w:pPr>
      <w:r>
        <w:rPr>
          <w:rFonts w:ascii="宋体" w:hAnsi="宋体" w:cs="宋体"/>
          <w:color w:val="auto"/>
          <w:kern w:val="1"/>
          <w:szCs w:val="21"/>
        </w:rPr>
        <w:t>3.3.4 承包人主要施工管理人员离开施工现场的批准要求：</w:t>
      </w:r>
      <w:r>
        <w:rPr>
          <w:rFonts w:hint="eastAsia" w:ascii="宋体" w:hAnsi="宋体" w:cs="宋体"/>
          <w:color w:val="auto"/>
          <w:kern w:val="1"/>
          <w:szCs w:val="21"/>
          <w:u w:val="single"/>
        </w:rPr>
        <w:t>每人每天罚款1000元，此款从应得工程款扣除</w:t>
      </w:r>
      <w:r>
        <w:rPr>
          <w:rFonts w:ascii="宋体" w:hAnsi="宋体" w:cs="宋体"/>
          <w:color w:val="auto"/>
          <w:kern w:val="1"/>
          <w:szCs w:val="21"/>
        </w:rPr>
        <w:t>。</w:t>
      </w:r>
    </w:p>
    <w:p w14:paraId="1C96FB52">
      <w:pPr>
        <w:spacing w:line="360" w:lineRule="exact"/>
        <w:ind w:firstLine="420"/>
        <w:rPr>
          <w:rFonts w:ascii="宋体" w:hAnsi="宋体" w:cs="宋体"/>
          <w:color w:val="auto"/>
          <w:kern w:val="1"/>
          <w:szCs w:val="21"/>
        </w:rPr>
      </w:pPr>
      <w:r>
        <w:rPr>
          <w:rFonts w:ascii="宋体" w:hAnsi="宋体" w:cs="宋体"/>
          <w:color w:val="auto"/>
          <w:kern w:val="1"/>
          <w:szCs w:val="21"/>
        </w:rPr>
        <w:t>3.3.5承包人擅自更换主要施工管理人员的违约责任：</w:t>
      </w:r>
      <w:r>
        <w:rPr>
          <w:rFonts w:hint="eastAsia" w:ascii="宋体" w:hAnsi="宋体" w:cs="宋体"/>
          <w:color w:val="auto"/>
          <w:kern w:val="1"/>
          <w:szCs w:val="21"/>
          <w:u w:val="single"/>
        </w:rPr>
        <w:t>技术负责人、专业工程师未经发包人书面同意不准擅自更换，承包方擅自更换的，发包方有权要求承包人按照技术负责人处1000元/人•次(人民币)、专业工程师处6000元/人•次(人民币)的标准承担违约金，由此产生的一切损失及后果由承包人承担</w:t>
      </w:r>
      <w:r>
        <w:rPr>
          <w:rFonts w:ascii="宋体" w:hAnsi="宋体" w:cs="宋体"/>
          <w:color w:val="auto"/>
          <w:kern w:val="1"/>
          <w:szCs w:val="21"/>
        </w:rPr>
        <w:t>。</w:t>
      </w:r>
    </w:p>
    <w:p w14:paraId="6B73F40C">
      <w:pPr>
        <w:spacing w:line="360" w:lineRule="exact"/>
        <w:ind w:firstLine="420"/>
        <w:rPr>
          <w:rFonts w:ascii="宋体" w:hAnsi="宋体" w:cs="宋体"/>
          <w:color w:val="auto"/>
          <w:kern w:val="1"/>
          <w:szCs w:val="21"/>
        </w:rPr>
      </w:pPr>
      <w:r>
        <w:rPr>
          <w:rFonts w:ascii="宋体" w:hAnsi="宋体" w:cs="宋体"/>
          <w:color w:val="auto"/>
          <w:kern w:val="1"/>
          <w:szCs w:val="21"/>
        </w:rPr>
        <w:t>承包人主要施工管理人员擅自离开施工现场的违约责任：</w:t>
      </w:r>
      <w:r>
        <w:rPr>
          <w:rFonts w:ascii="宋体" w:hAnsi="宋体" w:cs="宋体"/>
          <w:color w:val="auto"/>
          <w:kern w:val="1"/>
          <w:szCs w:val="21"/>
          <w:u w:val="single"/>
        </w:rPr>
        <w:t>未经发包人同意，技术负责人擅自离岗的，视为承包人违约，</w:t>
      </w:r>
      <w:r>
        <w:rPr>
          <w:rFonts w:hint="eastAsia" w:ascii="宋体" w:hAnsi="宋体" w:cs="宋体"/>
          <w:color w:val="auto"/>
          <w:kern w:val="1"/>
          <w:szCs w:val="21"/>
          <w:u w:val="single"/>
        </w:rPr>
        <w:t>发包人有权要求承包人按照2000元/人•次(人民币)的标准承担违约金；未经发包人同意，专业工程师擅自离岗的，视为承包人违约，发包人有权要求承包人按照违约金1000元/人•次(人民币)的标准承担违约金，由此产生的一切损失及后果由承包人承担</w:t>
      </w:r>
      <w:r>
        <w:rPr>
          <w:rFonts w:hint="eastAsia" w:ascii="宋体" w:hAnsi="宋体" w:cs="宋体"/>
          <w:color w:val="auto"/>
          <w:kern w:val="1"/>
          <w:szCs w:val="21"/>
        </w:rPr>
        <w:t>。</w:t>
      </w:r>
    </w:p>
    <w:p w14:paraId="45B25375">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642" w:name="_Toc373478357"/>
      <w:bookmarkEnd w:id="642"/>
      <w:bookmarkStart w:id="643" w:name="_Toc406054748"/>
      <w:bookmarkEnd w:id="643"/>
      <w:bookmarkStart w:id="644" w:name="_Toc373227710"/>
      <w:bookmarkEnd w:id="644"/>
      <w:bookmarkStart w:id="645" w:name="_Toc7912"/>
      <w:bookmarkStart w:id="646" w:name="_Toc23947"/>
      <w:bookmarkStart w:id="647" w:name="_Toc26804"/>
      <w:bookmarkStart w:id="648" w:name="_Toc4917"/>
      <w:bookmarkStart w:id="649" w:name="_Toc21700"/>
      <w:r>
        <w:rPr>
          <w:rFonts w:ascii="宋体" w:hAnsi="宋体" w:cs="宋体"/>
          <w:color w:val="auto"/>
          <w:sz w:val="21"/>
          <w:szCs w:val="21"/>
          <w:lang w:val="zh-CN"/>
        </w:rPr>
        <w:t>3.5 分包</w:t>
      </w:r>
      <w:bookmarkEnd w:id="645"/>
      <w:bookmarkEnd w:id="646"/>
      <w:bookmarkEnd w:id="647"/>
      <w:bookmarkEnd w:id="648"/>
      <w:bookmarkEnd w:id="649"/>
    </w:p>
    <w:p w14:paraId="5D05B061">
      <w:pPr>
        <w:spacing w:line="360" w:lineRule="exact"/>
        <w:ind w:firstLine="420"/>
        <w:rPr>
          <w:rFonts w:ascii="宋体" w:hAnsi="宋体" w:cs="宋体"/>
          <w:color w:val="auto"/>
          <w:kern w:val="1"/>
          <w:szCs w:val="21"/>
          <w:u w:val="single"/>
        </w:rPr>
      </w:pPr>
      <w:r>
        <w:rPr>
          <w:rFonts w:hint="eastAsia" w:ascii="宋体" w:hAnsi="宋体" w:cs="宋体"/>
          <w:color w:val="auto"/>
          <w:kern w:val="1"/>
          <w:szCs w:val="21"/>
          <w:u w:val="single"/>
        </w:rPr>
        <w:t>本</w:t>
      </w:r>
      <w:r>
        <w:rPr>
          <w:rFonts w:ascii="宋体" w:hAnsi="宋体" w:cs="宋体"/>
          <w:color w:val="auto"/>
          <w:kern w:val="1"/>
          <w:szCs w:val="21"/>
          <w:u w:val="single"/>
        </w:rPr>
        <w:t>工程</w:t>
      </w:r>
      <w:r>
        <w:rPr>
          <w:rFonts w:hint="eastAsia" w:ascii="宋体" w:hAnsi="宋体" w:cs="宋体"/>
          <w:color w:val="auto"/>
          <w:kern w:val="1"/>
          <w:szCs w:val="21"/>
          <w:u w:val="single"/>
        </w:rPr>
        <w:t>不允许分包</w:t>
      </w:r>
      <w:r>
        <w:rPr>
          <w:rFonts w:ascii="宋体" w:hAnsi="宋体" w:cs="宋体"/>
          <w:color w:val="auto"/>
          <w:kern w:val="1"/>
          <w:szCs w:val="21"/>
        </w:rPr>
        <w:t>。</w:t>
      </w:r>
    </w:p>
    <w:p w14:paraId="490DA8C1">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650" w:name="_Toc406054749"/>
      <w:bookmarkEnd w:id="650"/>
      <w:bookmarkStart w:id="651" w:name="_Toc373227711"/>
      <w:bookmarkEnd w:id="651"/>
      <w:bookmarkStart w:id="652" w:name="_Toc373478358"/>
      <w:bookmarkEnd w:id="652"/>
      <w:bookmarkStart w:id="653" w:name="_Toc9772"/>
      <w:bookmarkStart w:id="654" w:name="_Toc27008"/>
      <w:bookmarkStart w:id="655" w:name="_Toc19896"/>
      <w:bookmarkStart w:id="656" w:name="_Toc25503"/>
      <w:bookmarkStart w:id="657" w:name="_Toc24952"/>
      <w:r>
        <w:rPr>
          <w:rFonts w:ascii="宋体" w:hAnsi="宋体" w:cs="宋体"/>
          <w:color w:val="auto"/>
          <w:sz w:val="21"/>
          <w:szCs w:val="21"/>
          <w:lang w:val="zh-CN"/>
        </w:rPr>
        <w:t>3.6 工程照管与成品、半成品保护</w:t>
      </w:r>
      <w:bookmarkEnd w:id="653"/>
      <w:bookmarkEnd w:id="654"/>
      <w:bookmarkEnd w:id="655"/>
      <w:bookmarkEnd w:id="656"/>
      <w:bookmarkEnd w:id="657"/>
    </w:p>
    <w:p w14:paraId="370FB9CF">
      <w:pPr>
        <w:spacing w:line="360" w:lineRule="exact"/>
        <w:rPr>
          <w:rFonts w:ascii="宋体" w:hAnsi="宋体" w:cs="宋体"/>
          <w:color w:val="auto"/>
          <w:kern w:val="1"/>
          <w:szCs w:val="21"/>
          <w:u w:val="single"/>
        </w:rPr>
      </w:pPr>
      <w:r>
        <w:rPr>
          <w:rFonts w:ascii="宋体" w:hAnsi="宋体" w:cs="宋体"/>
          <w:color w:val="auto"/>
          <w:kern w:val="1"/>
          <w:szCs w:val="21"/>
        </w:rPr>
        <w:t>承包人负责照管工程及工程相关的材料、工程设备的起始时间：</w:t>
      </w:r>
      <w:r>
        <w:rPr>
          <w:rFonts w:hint="eastAsia" w:ascii="宋体" w:hAnsi="宋体" w:cs="宋体"/>
          <w:color w:val="auto"/>
          <w:kern w:val="1"/>
          <w:szCs w:val="21"/>
          <w:u w:val="single"/>
        </w:rPr>
        <w:t>从合同签订之日起至竣工验收合格之日</w:t>
      </w:r>
      <w:r>
        <w:rPr>
          <w:rFonts w:ascii="宋体" w:hAnsi="宋体" w:cs="宋体"/>
          <w:color w:val="auto"/>
          <w:kern w:val="1"/>
          <w:szCs w:val="21"/>
        </w:rPr>
        <w:t>。</w:t>
      </w:r>
    </w:p>
    <w:p w14:paraId="061E1726">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658" w:name="_Toc373227712"/>
      <w:bookmarkEnd w:id="658"/>
      <w:bookmarkStart w:id="659" w:name="_Toc373478359"/>
      <w:bookmarkEnd w:id="659"/>
      <w:bookmarkStart w:id="660" w:name="_Toc406054750"/>
      <w:bookmarkEnd w:id="660"/>
      <w:bookmarkStart w:id="661" w:name="_Toc2913"/>
      <w:bookmarkStart w:id="662" w:name="_Toc12491"/>
      <w:bookmarkStart w:id="663" w:name="_Toc31576"/>
      <w:bookmarkStart w:id="664" w:name="_Toc30170"/>
      <w:bookmarkStart w:id="665" w:name="_Toc20789"/>
      <w:r>
        <w:rPr>
          <w:rFonts w:ascii="宋体" w:hAnsi="宋体" w:cs="宋体"/>
          <w:color w:val="auto"/>
          <w:sz w:val="21"/>
          <w:szCs w:val="21"/>
          <w:lang w:val="zh-CN"/>
        </w:rPr>
        <w:t>3.7 履约担保</w:t>
      </w:r>
      <w:bookmarkEnd w:id="661"/>
      <w:bookmarkEnd w:id="662"/>
      <w:bookmarkEnd w:id="663"/>
      <w:bookmarkEnd w:id="664"/>
      <w:bookmarkEnd w:id="665"/>
    </w:p>
    <w:p w14:paraId="614635BC">
      <w:pPr>
        <w:spacing w:line="360" w:lineRule="exact"/>
        <w:ind w:firstLine="420"/>
        <w:jc w:val="left"/>
        <w:rPr>
          <w:rFonts w:ascii="宋体" w:hAnsi="宋体" w:cs="宋体"/>
          <w:color w:val="auto"/>
          <w:kern w:val="1"/>
          <w:szCs w:val="21"/>
        </w:rPr>
      </w:pPr>
      <w:r>
        <w:rPr>
          <w:rFonts w:ascii="宋体" w:hAnsi="宋体" w:cs="宋体"/>
          <w:color w:val="auto"/>
          <w:kern w:val="1"/>
          <w:szCs w:val="21"/>
        </w:rPr>
        <w:t>承包人是否提供履约担保：</w:t>
      </w:r>
      <w:r>
        <w:rPr>
          <w:rFonts w:hint="eastAsia" w:ascii="宋体" w:hAnsi="宋体" w:cs="宋体"/>
          <w:color w:val="auto"/>
          <w:kern w:val="1"/>
          <w:szCs w:val="21"/>
        </w:rPr>
        <w:t>不</w:t>
      </w:r>
      <w:r>
        <w:rPr>
          <w:rFonts w:hint="eastAsia" w:ascii="宋体" w:hAnsi="宋体" w:cs="宋体"/>
          <w:color w:val="auto"/>
          <w:kern w:val="1"/>
          <w:szCs w:val="21"/>
          <w:u w:val="single"/>
        </w:rPr>
        <w:t>提供</w:t>
      </w:r>
      <w:r>
        <w:rPr>
          <w:rFonts w:ascii="宋体" w:hAnsi="宋体" w:cs="宋体"/>
          <w:color w:val="auto"/>
          <w:kern w:val="1"/>
          <w:szCs w:val="21"/>
        </w:rPr>
        <w:t>。</w:t>
      </w:r>
    </w:p>
    <w:p w14:paraId="0C114FAC">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b w:val="0"/>
          <w:bCs w:val="0"/>
          <w:color w:val="auto"/>
          <w:sz w:val="21"/>
          <w:szCs w:val="21"/>
          <w:lang w:val="zh-CN"/>
        </w:rPr>
      </w:pPr>
      <w:bookmarkStart w:id="666" w:name="_Toc373478360"/>
      <w:bookmarkEnd w:id="666"/>
      <w:bookmarkStart w:id="667" w:name="_Toc373227713"/>
      <w:bookmarkEnd w:id="667"/>
      <w:bookmarkStart w:id="668" w:name="_Toc406054751"/>
      <w:bookmarkEnd w:id="668"/>
      <w:bookmarkStart w:id="669" w:name="_Toc3598"/>
      <w:bookmarkStart w:id="670" w:name="_Toc12732"/>
      <w:bookmarkStart w:id="671" w:name="_Toc908"/>
      <w:bookmarkStart w:id="672" w:name="_Toc9758"/>
      <w:bookmarkStart w:id="673" w:name="_Toc23998"/>
      <w:r>
        <w:rPr>
          <w:rFonts w:ascii="宋体" w:hAnsi="宋体" w:cs="宋体"/>
          <w:color w:val="auto"/>
          <w:sz w:val="21"/>
          <w:szCs w:val="21"/>
          <w:lang w:val="zh-CN"/>
        </w:rPr>
        <w:t>4. 监理人</w:t>
      </w:r>
      <w:bookmarkEnd w:id="669"/>
      <w:bookmarkEnd w:id="670"/>
      <w:bookmarkEnd w:id="671"/>
      <w:bookmarkEnd w:id="672"/>
      <w:bookmarkEnd w:id="673"/>
    </w:p>
    <w:p w14:paraId="7A17C2F4">
      <w:pPr>
        <w:pStyle w:val="2"/>
        <w:keepNext w:val="0"/>
        <w:spacing w:line="360" w:lineRule="exact"/>
        <w:rPr>
          <w:rFonts w:ascii="宋体" w:hAnsi="宋体" w:cs="宋体"/>
          <w:color w:val="auto"/>
          <w:sz w:val="21"/>
          <w:szCs w:val="21"/>
          <w:lang w:val="zh-CN"/>
        </w:rPr>
      </w:pPr>
      <w:bookmarkStart w:id="674" w:name="_Toc406054752"/>
      <w:bookmarkEnd w:id="674"/>
      <w:bookmarkStart w:id="675" w:name="_Toc373227714"/>
      <w:bookmarkEnd w:id="675"/>
      <w:bookmarkStart w:id="676" w:name="_Toc373478361"/>
      <w:bookmarkEnd w:id="676"/>
      <w:bookmarkStart w:id="677" w:name="_Toc25414"/>
      <w:bookmarkStart w:id="678" w:name="_Toc9413"/>
      <w:bookmarkStart w:id="679" w:name="_Toc27604"/>
      <w:bookmarkStart w:id="680" w:name="_Toc14305"/>
      <w:bookmarkStart w:id="681" w:name="_Toc5773"/>
      <w:r>
        <w:rPr>
          <w:rFonts w:ascii="宋体" w:hAnsi="宋体" w:cs="宋体"/>
          <w:color w:val="auto"/>
          <w:sz w:val="21"/>
          <w:szCs w:val="21"/>
          <w:lang w:val="zh-CN"/>
        </w:rPr>
        <w:t>4.1监理人的一般规定</w:t>
      </w:r>
      <w:bookmarkEnd w:id="677"/>
      <w:bookmarkEnd w:id="678"/>
      <w:bookmarkEnd w:id="679"/>
      <w:bookmarkEnd w:id="680"/>
      <w:bookmarkEnd w:id="681"/>
    </w:p>
    <w:p w14:paraId="3FA2DF9D">
      <w:pPr>
        <w:spacing w:line="360" w:lineRule="exact"/>
        <w:ind w:firstLine="420"/>
        <w:jc w:val="left"/>
        <w:rPr>
          <w:rFonts w:ascii="宋体" w:hAnsi="宋体" w:cs="宋体"/>
          <w:color w:val="auto"/>
          <w:kern w:val="1"/>
          <w:szCs w:val="21"/>
        </w:rPr>
      </w:pPr>
      <w:r>
        <w:rPr>
          <w:rFonts w:ascii="宋体" w:hAnsi="宋体" w:cs="宋体"/>
          <w:color w:val="auto"/>
          <w:kern w:val="1"/>
          <w:szCs w:val="21"/>
        </w:rPr>
        <w:t>关于监理人的监理内容：</w:t>
      </w:r>
      <w:r>
        <w:rPr>
          <w:rFonts w:hint="eastAsia" w:ascii="宋体" w:hAnsi="宋体" w:cs="宋体"/>
          <w:color w:val="auto"/>
          <w:kern w:val="1"/>
          <w:szCs w:val="21"/>
          <w:u w:val="single"/>
        </w:rPr>
        <w:t>图纸及工程量清单范围内的内容</w:t>
      </w:r>
      <w:r>
        <w:rPr>
          <w:rFonts w:ascii="宋体" w:hAnsi="宋体" w:cs="宋体"/>
          <w:color w:val="auto"/>
          <w:kern w:val="1"/>
          <w:szCs w:val="21"/>
        </w:rPr>
        <w:t>。</w:t>
      </w:r>
    </w:p>
    <w:p w14:paraId="7F84AB8F">
      <w:pPr>
        <w:spacing w:line="360" w:lineRule="exact"/>
        <w:ind w:firstLine="420"/>
        <w:jc w:val="left"/>
        <w:rPr>
          <w:rFonts w:ascii="宋体" w:hAnsi="宋体" w:cs="宋体"/>
          <w:color w:val="auto"/>
          <w:kern w:val="1"/>
          <w:szCs w:val="21"/>
        </w:rPr>
      </w:pPr>
      <w:r>
        <w:rPr>
          <w:rFonts w:ascii="宋体" w:hAnsi="宋体" w:cs="宋体"/>
          <w:color w:val="auto"/>
          <w:kern w:val="1"/>
          <w:szCs w:val="21"/>
        </w:rPr>
        <w:t>关于监理人的监理权限：</w:t>
      </w:r>
      <w:r>
        <w:rPr>
          <w:rFonts w:hint="eastAsia" w:ascii="宋体" w:hAnsi="宋体" w:cs="宋体"/>
          <w:color w:val="auto"/>
          <w:kern w:val="1"/>
          <w:szCs w:val="21"/>
          <w:u w:val="single"/>
        </w:rPr>
        <w:t>按监理合同约定</w:t>
      </w:r>
      <w:r>
        <w:rPr>
          <w:rFonts w:ascii="宋体" w:hAnsi="宋体" w:cs="宋体"/>
          <w:color w:val="auto"/>
          <w:kern w:val="1"/>
          <w:szCs w:val="21"/>
        </w:rPr>
        <w:t xml:space="preserve">。 </w:t>
      </w:r>
    </w:p>
    <w:p w14:paraId="64E7FE04">
      <w:pPr>
        <w:spacing w:line="360" w:lineRule="exact"/>
        <w:ind w:firstLine="420" w:firstLineChars="200"/>
        <w:rPr>
          <w:rFonts w:ascii="宋体" w:hAnsi="宋体" w:cs="宋体"/>
          <w:color w:val="auto"/>
          <w:kern w:val="1"/>
          <w:szCs w:val="21"/>
        </w:rPr>
      </w:pPr>
      <w:r>
        <w:rPr>
          <w:rFonts w:ascii="宋体" w:hAnsi="宋体" w:cs="宋体"/>
          <w:color w:val="auto"/>
          <w:kern w:val="1"/>
          <w:szCs w:val="21"/>
        </w:rPr>
        <w:t>关于监理人在施工现场的办公场所、生活场所的提供和费用承担的约定：</w:t>
      </w:r>
      <w:r>
        <w:rPr>
          <w:rFonts w:hint="eastAsia" w:ascii="宋体" w:hAnsi="宋体" w:cs="宋体"/>
          <w:color w:val="auto"/>
          <w:kern w:val="1"/>
          <w:szCs w:val="21"/>
          <w:u w:val="single"/>
        </w:rPr>
        <w:t>由承包人承担，承包人投标报价时综合考虑此项费用</w:t>
      </w:r>
      <w:r>
        <w:rPr>
          <w:rFonts w:ascii="宋体" w:hAnsi="宋体" w:cs="宋体"/>
          <w:color w:val="auto"/>
          <w:kern w:val="1"/>
          <w:szCs w:val="21"/>
        </w:rPr>
        <w:t>。</w:t>
      </w:r>
    </w:p>
    <w:p w14:paraId="70C78A34">
      <w:pPr>
        <w:pStyle w:val="2"/>
        <w:keepNext w:val="0"/>
        <w:keepLines/>
        <w:pageBreakBefore w:val="0"/>
        <w:widowControl w:val="0"/>
        <w:kinsoku/>
        <w:wordWrap/>
        <w:overflowPunct/>
        <w:topLinePunct w:val="0"/>
        <w:autoSpaceDE/>
        <w:autoSpaceDN/>
        <w:bidi w:val="0"/>
        <w:adjustRightInd/>
        <w:snapToGrid/>
        <w:spacing w:line="260" w:lineRule="exact"/>
        <w:textAlignment w:val="auto"/>
        <w:rPr>
          <w:rFonts w:ascii="宋体" w:hAnsi="宋体" w:cs="宋体"/>
          <w:color w:val="auto"/>
          <w:sz w:val="21"/>
          <w:szCs w:val="21"/>
          <w:lang w:val="zh-CN"/>
        </w:rPr>
      </w:pPr>
      <w:bookmarkStart w:id="682" w:name="_Toc373227718"/>
      <w:bookmarkEnd w:id="682"/>
      <w:bookmarkStart w:id="683" w:name="_Toc373227717"/>
      <w:bookmarkEnd w:id="683"/>
      <w:bookmarkStart w:id="684" w:name="_Toc406054756"/>
      <w:bookmarkEnd w:id="684"/>
      <w:bookmarkStart w:id="685" w:name="_Toc406054755"/>
      <w:bookmarkEnd w:id="685"/>
      <w:bookmarkStart w:id="686" w:name="_Toc373478365"/>
      <w:bookmarkEnd w:id="686"/>
      <w:bookmarkStart w:id="687" w:name="_Toc373478364"/>
      <w:bookmarkEnd w:id="687"/>
      <w:bookmarkStart w:id="688" w:name="_Toc14034"/>
      <w:bookmarkStart w:id="689" w:name="_Toc4861"/>
      <w:bookmarkStart w:id="690" w:name="_Toc8910"/>
      <w:bookmarkStart w:id="691" w:name="_Toc20378"/>
      <w:bookmarkStart w:id="692" w:name="_Toc29438"/>
      <w:r>
        <w:rPr>
          <w:rFonts w:ascii="宋体" w:hAnsi="宋体" w:cs="宋体"/>
          <w:color w:val="auto"/>
          <w:sz w:val="21"/>
          <w:szCs w:val="21"/>
          <w:lang w:val="zh-CN"/>
        </w:rPr>
        <w:t>5.1 质量要求</w:t>
      </w:r>
      <w:bookmarkEnd w:id="688"/>
      <w:bookmarkEnd w:id="689"/>
      <w:bookmarkEnd w:id="690"/>
      <w:bookmarkEnd w:id="691"/>
      <w:bookmarkEnd w:id="692"/>
    </w:p>
    <w:p w14:paraId="642FC456">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5.1.1 特殊质量标准和要求：</w:t>
      </w:r>
      <w:r>
        <w:rPr>
          <w:rFonts w:hint="eastAsia" w:ascii="宋体" w:hAnsi="宋体" w:cs="宋体"/>
          <w:color w:val="auto"/>
          <w:kern w:val="1"/>
          <w:szCs w:val="21"/>
          <w:u w:val="single"/>
        </w:rPr>
        <w:t>无</w:t>
      </w:r>
      <w:r>
        <w:rPr>
          <w:rFonts w:ascii="宋体" w:hAnsi="宋体" w:cs="宋体"/>
          <w:color w:val="auto"/>
          <w:kern w:val="1"/>
          <w:szCs w:val="21"/>
        </w:rPr>
        <w:t>。</w:t>
      </w:r>
    </w:p>
    <w:p w14:paraId="40CE323F">
      <w:pPr>
        <w:spacing w:line="360" w:lineRule="exact"/>
        <w:ind w:firstLine="420"/>
        <w:jc w:val="left"/>
        <w:rPr>
          <w:rFonts w:ascii="宋体" w:hAnsi="宋体" w:cs="宋体"/>
          <w:color w:val="auto"/>
          <w:kern w:val="1"/>
          <w:szCs w:val="21"/>
        </w:rPr>
      </w:pPr>
      <w:r>
        <w:rPr>
          <w:rFonts w:ascii="宋体" w:hAnsi="宋体" w:cs="宋体"/>
          <w:color w:val="auto"/>
          <w:kern w:val="1"/>
          <w:szCs w:val="21"/>
        </w:rPr>
        <w:t>关于工程奖项的约定：</w:t>
      </w:r>
      <w:r>
        <w:rPr>
          <w:rFonts w:hint="eastAsia" w:ascii="宋体" w:hAnsi="宋体" w:cs="宋体"/>
          <w:color w:val="auto"/>
          <w:kern w:val="1"/>
          <w:szCs w:val="21"/>
          <w:u w:val="single"/>
        </w:rPr>
        <w:t>无</w:t>
      </w:r>
      <w:r>
        <w:rPr>
          <w:rFonts w:ascii="宋体" w:hAnsi="宋体" w:cs="宋体"/>
          <w:color w:val="auto"/>
          <w:kern w:val="1"/>
          <w:szCs w:val="21"/>
        </w:rPr>
        <w:t>。</w:t>
      </w:r>
    </w:p>
    <w:p w14:paraId="7CD52142">
      <w:pPr>
        <w:spacing w:line="360" w:lineRule="exact"/>
        <w:ind w:firstLine="420"/>
        <w:jc w:val="left"/>
        <w:rPr>
          <w:rFonts w:ascii="宋体" w:hAnsi="宋体" w:cs="宋体"/>
          <w:color w:val="auto"/>
          <w:kern w:val="1"/>
          <w:szCs w:val="21"/>
        </w:rPr>
      </w:pPr>
      <w:r>
        <w:rPr>
          <w:rFonts w:ascii="宋体" w:hAnsi="宋体" w:cs="宋体"/>
          <w:color w:val="auto"/>
          <w:kern w:val="1"/>
          <w:szCs w:val="21"/>
        </w:rPr>
        <w:t>5.3 隐蔽工程检查</w:t>
      </w:r>
    </w:p>
    <w:p w14:paraId="0DACBC19">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5.3.2承包人提前通知监理人隐蔽工程检查的期限的约定：</w:t>
      </w:r>
      <w:r>
        <w:rPr>
          <w:rFonts w:ascii="宋体" w:hAnsi="宋体" w:cs="宋体"/>
          <w:bCs/>
          <w:color w:val="auto"/>
          <w:kern w:val="1"/>
          <w:szCs w:val="21"/>
          <w:u w:val="single"/>
        </w:rPr>
        <w:t>工程隐蔽或中间验收前12小时以书面形式通知发包人和监理工程师验收的内容、时间、地点，承包人准备验收记录单（印制的表格）由双方签证。验收合格，承包人可进行隐蔽和继续施工；验收不合格，双方商订时限内修改后按上述循序重新验收。</w:t>
      </w:r>
    </w:p>
    <w:p w14:paraId="5DF39E22">
      <w:pPr>
        <w:spacing w:line="360" w:lineRule="exact"/>
        <w:ind w:firstLine="420"/>
        <w:jc w:val="left"/>
        <w:rPr>
          <w:rFonts w:ascii="宋体" w:hAnsi="宋体" w:cs="宋体"/>
          <w:color w:val="auto"/>
          <w:kern w:val="1"/>
          <w:szCs w:val="21"/>
        </w:rPr>
      </w:pPr>
      <w:r>
        <w:rPr>
          <w:rFonts w:ascii="宋体" w:hAnsi="宋体" w:cs="宋体"/>
          <w:color w:val="auto"/>
          <w:kern w:val="1"/>
          <w:szCs w:val="21"/>
        </w:rPr>
        <w:t>监理人不能按时进行检查时，应提前</w:t>
      </w:r>
      <w:r>
        <w:rPr>
          <w:rFonts w:hint="eastAsia" w:ascii="宋体" w:hAnsi="宋体" w:cs="宋体"/>
          <w:color w:val="auto"/>
          <w:kern w:val="1"/>
          <w:szCs w:val="21"/>
          <w:u w:val="single"/>
        </w:rPr>
        <w:t>24</w:t>
      </w:r>
      <w:r>
        <w:rPr>
          <w:rFonts w:ascii="宋体" w:hAnsi="宋体" w:cs="宋体"/>
          <w:color w:val="auto"/>
          <w:kern w:val="1"/>
          <w:szCs w:val="21"/>
        </w:rPr>
        <w:t>小时提交书面延期要求。</w:t>
      </w:r>
    </w:p>
    <w:p w14:paraId="37F1816A">
      <w:pPr>
        <w:spacing w:line="360" w:lineRule="exact"/>
        <w:ind w:firstLine="420"/>
        <w:jc w:val="left"/>
        <w:rPr>
          <w:rFonts w:ascii="宋体" w:hAnsi="宋体" w:cs="宋体"/>
          <w:color w:val="auto"/>
          <w:kern w:val="1"/>
          <w:szCs w:val="21"/>
        </w:rPr>
      </w:pPr>
      <w:r>
        <w:rPr>
          <w:rFonts w:ascii="宋体" w:hAnsi="宋体" w:cs="宋体"/>
          <w:color w:val="auto"/>
          <w:kern w:val="1"/>
          <w:szCs w:val="21"/>
        </w:rPr>
        <w:t>关于延期最长不得超过：</w:t>
      </w:r>
      <w:r>
        <w:rPr>
          <w:rFonts w:hint="eastAsia" w:ascii="宋体" w:hAnsi="宋体" w:cs="宋体"/>
          <w:color w:val="auto"/>
          <w:kern w:val="1"/>
          <w:szCs w:val="21"/>
          <w:u w:val="single"/>
        </w:rPr>
        <w:t>48</w:t>
      </w:r>
      <w:r>
        <w:rPr>
          <w:rFonts w:ascii="宋体" w:hAnsi="宋体" w:cs="宋体"/>
          <w:color w:val="auto"/>
          <w:kern w:val="1"/>
          <w:szCs w:val="21"/>
        </w:rPr>
        <w:t>小时。</w:t>
      </w:r>
    </w:p>
    <w:p w14:paraId="3B3976E0">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693" w:name="_Toc373478366"/>
      <w:bookmarkEnd w:id="693"/>
      <w:bookmarkStart w:id="694" w:name="_Toc373227719"/>
      <w:bookmarkEnd w:id="694"/>
      <w:bookmarkStart w:id="695" w:name="_Toc406054757"/>
      <w:bookmarkEnd w:id="695"/>
      <w:bookmarkStart w:id="696" w:name="_Toc10228"/>
      <w:bookmarkStart w:id="697" w:name="_Toc22863"/>
      <w:bookmarkStart w:id="698" w:name="_Toc23591"/>
      <w:bookmarkStart w:id="699" w:name="_Toc11301"/>
      <w:bookmarkStart w:id="700" w:name="_Toc28858"/>
      <w:r>
        <w:rPr>
          <w:rFonts w:ascii="宋体" w:hAnsi="宋体" w:cs="宋体"/>
          <w:color w:val="auto"/>
          <w:sz w:val="21"/>
          <w:szCs w:val="21"/>
          <w:lang w:val="zh-CN"/>
        </w:rPr>
        <w:t>6. 安全文明施工与环境保护</w:t>
      </w:r>
      <w:bookmarkEnd w:id="696"/>
      <w:bookmarkEnd w:id="697"/>
      <w:bookmarkEnd w:id="698"/>
      <w:bookmarkEnd w:id="699"/>
      <w:bookmarkEnd w:id="700"/>
    </w:p>
    <w:p w14:paraId="13ABAEBB">
      <w:pPr>
        <w:pStyle w:val="2"/>
        <w:keepNext w:val="0"/>
        <w:spacing w:line="360" w:lineRule="exact"/>
        <w:rPr>
          <w:rFonts w:ascii="宋体" w:hAnsi="宋体" w:cs="宋体"/>
          <w:color w:val="auto"/>
          <w:sz w:val="21"/>
          <w:szCs w:val="21"/>
          <w:lang w:val="zh-CN"/>
        </w:rPr>
      </w:pPr>
      <w:bookmarkStart w:id="701" w:name="_Toc373478367"/>
      <w:bookmarkEnd w:id="701"/>
      <w:bookmarkStart w:id="702" w:name="_Toc406054758"/>
      <w:bookmarkEnd w:id="702"/>
      <w:bookmarkStart w:id="703" w:name="_Toc373227720"/>
      <w:bookmarkEnd w:id="703"/>
      <w:bookmarkStart w:id="704" w:name="_Toc28940"/>
      <w:bookmarkStart w:id="705" w:name="_Toc20214"/>
      <w:bookmarkStart w:id="706" w:name="_Toc3148"/>
      <w:bookmarkStart w:id="707" w:name="_Toc6202"/>
      <w:bookmarkStart w:id="708" w:name="_Toc25324"/>
      <w:r>
        <w:rPr>
          <w:rFonts w:ascii="宋体" w:hAnsi="宋体" w:cs="宋体"/>
          <w:color w:val="auto"/>
          <w:sz w:val="21"/>
          <w:szCs w:val="21"/>
          <w:lang w:val="zh-CN"/>
        </w:rPr>
        <w:t>6.1安全文明施工</w:t>
      </w:r>
      <w:bookmarkEnd w:id="704"/>
      <w:bookmarkEnd w:id="705"/>
      <w:bookmarkEnd w:id="706"/>
      <w:bookmarkEnd w:id="707"/>
      <w:bookmarkEnd w:id="708"/>
    </w:p>
    <w:p w14:paraId="0F35F75C">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6.1.1 项目安全生产的达标目标及相应事项的约定：</w:t>
      </w:r>
      <w:r>
        <w:rPr>
          <w:rFonts w:hint="eastAsia" w:ascii="宋体" w:hAnsi="宋体" w:cs="宋体"/>
          <w:color w:val="auto"/>
          <w:kern w:val="1"/>
          <w:szCs w:val="21"/>
          <w:u w:val="single"/>
        </w:rPr>
        <w:t>符合文明施工工地标准，费用由承包人承担</w:t>
      </w:r>
      <w:r>
        <w:rPr>
          <w:rFonts w:ascii="宋体" w:hAnsi="宋体" w:cs="宋体"/>
          <w:color w:val="auto"/>
          <w:kern w:val="1"/>
          <w:szCs w:val="21"/>
        </w:rPr>
        <w:t>。</w:t>
      </w:r>
    </w:p>
    <w:p w14:paraId="4A61236E">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6.1.4 关于治安保卫的特别约定：</w:t>
      </w:r>
      <w:r>
        <w:rPr>
          <w:rFonts w:ascii="宋体" w:hAnsi="宋体" w:cs="宋体"/>
          <w:color w:val="auto"/>
          <w:kern w:val="1"/>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7AC0178">
      <w:pPr>
        <w:spacing w:line="360" w:lineRule="exact"/>
        <w:ind w:firstLine="420"/>
        <w:jc w:val="left"/>
        <w:rPr>
          <w:rFonts w:ascii="宋体" w:hAnsi="宋体" w:cs="宋体"/>
          <w:color w:val="auto"/>
          <w:kern w:val="1"/>
          <w:szCs w:val="21"/>
        </w:rPr>
      </w:pPr>
      <w:r>
        <w:rPr>
          <w:rFonts w:ascii="宋体" w:hAnsi="宋体" w:cs="宋体"/>
          <w:color w:val="auto"/>
          <w:kern w:val="1"/>
          <w:szCs w:val="21"/>
        </w:rPr>
        <w:t>关于编制施工场地治安管理计划的约定：</w:t>
      </w:r>
      <w:r>
        <w:rPr>
          <w:rFonts w:hint="eastAsia" w:ascii="宋体" w:hAnsi="宋体" w:cs="宋体"/>
          <w:color w:val="auto"/>
          <w:kern w:val="1"/>
          <w:szCs w:val="21"/>
          <w:u w:val="single"/>
        </w:rPr>
        <w:t>由承包人负责编制和办理报批手续</w:t>
      </w:r>
      <w:r>
        <w:rPr>
          <w:rFonts w:ascii="宋体" w:hAnsi="宋体" w:cs="宋体"/>
          <w:color w:val="auto"/>
          <w:kern w:val="1"/>
          <w:szCs w:val="21"/>
        </w:rPr>
        <w:t>。</w:t>
      </w:r>
    </w:p>
    <w:p w14:paraId="0E40C335">
      <w:pPr>
        <w:spacing w:line="360" w:lineRule="exact"/>
        <w:ind w:firstLine="420"/>
        <w:jc w:val="left"/>
        <w:rPr>
          <w:rFonts w:ascii="宋体" w:hAnsi="宋体" w:cs="宋体"/>
          <w:color w:val="auto"/>
          <w:kern w:val="1"/>
          <w:szCs w:val="21"/>
        </w:rPr>
      </w:pPr>
      <w:r>
        <w:rPr>
          <w:rFonts w:ascii="宋体" w:hAnsi="宋体" w:cs="宋体"/>
          <w:color w:val="auto"/>
          <w:kern w:val="1"/>
          <w:szCs w:val="21"/>
        </w:rPr>
        <w:t>6.1.5 文明施工</w:t>
      </w:r>
    </w:p>
    <w:p w14:paraId="793091B8">
      <w:pPr>
        <w:spacing w:line="360" w:lineRule="exact"/>
        <w:ind w:firstLine="420" w:firstLineChars="200"/>
        <w:jc w:val="left"/>
        <w:rPr>
          <w:rFonts w:ascii="宋体" w:hAnsi="宋体" w:cs="宋体"/>
          <w:color w:val="auto"/>
          <w:kern w:val="1"/>
          <w:szCs w:val="21"/>
        </w:rPr>
      </w:pPr>
      <w:r>
        <w:rPr>
          <w:rFonts w:ascii="宋体" w:hAnsi="宋体" w:cs="宋体"/>
          <w:color w:val="auto"/>
          <w:kern w:val="1"/>
          <w:szCs w:val="21"/>
        </w:rPr>
        <w:t>合同当事人对文明施工的要求：</w:t>
      </w:r>
      <w:r>
        <w:rPr>
          <w:rFonts w:hint="eastAsia" w:ascii="宋体" w:hAnsi="宋体" w:cs="宋体"/>
          <w:color w:val="auto"/>
          <w:kern w:val="1"/>
          <w:szCs w:val="21"/>
          <w:u w:val="single"/>
        </w:rPr>
        <w:t>遵守行业和项目所在地方政府的规定</w:t>
      </w:r>
      <w:r>
        <w:rPr>
          <w:rFonts w:ascii="宋体" w:hAnsi="宋体" w:cs="宋体"/>
          <w:color w:val="auto"/>
          <w:kern w:val="1"/>
          <w:szCs w:val="21"/>
        </w:rPr>
        <w:t>。</w:t>
      </w:r>
    </w:p>
    <w:p w14:paraId="2460CEB6">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6.1.6 关于安全文明施工费支付比例和支</w:t>
      </w:r>
      <w:r>
        <w:rPr>
          <w:rFonts w:hint="eastAsia" w:ascii="宋体" w:hAnsi="宋体" w:cs="宋体"/>
          <w:color w:val="auto"/>
          <w:kern w:val="1"/>
          <w:szCs w:val="21"/>
        </w:rPr>
        <w:t>付期限：</w:t>
      </w:r>
      <w:r>
        <w:rPr>
          <w:rFonts w:ascii="宋体" w:hAnsi="宋体" w:cs="宋体"/>
          <w:color w:val="auto"/>
          <w:kern w:val="1"/>
          <w:szCs w:val="21"/>
          <w:u w:val="single"/>
        </w:rPr>
        <w:t>本合同价款已包含安全防护、文明施工措施费</w:t>
      </w:r>
      <w:r>
        <w:rPr>
          <w:rFonts w:hint="eastAsia" w:ascii="宋体" w:hAnsi="宋体"/>
          <w:color w:val="auto"/>
          <w:szCs w:val="21"/>
          <w:u w:val="single"/>
          <w:lang w:val="en-US" w:eastAsia="zh-CN"/>
        </w:rPr>
        <w:t>**</w:t>
      </w:r>
      <w:r>
        <w:rPr>
          <w:rFonts w:hint="eastAsia" w:ascii="宋体" w:hAnsi="宋体" w:cs="宋体"/>
          <w:color w:val="auto"/>
          <w:kern w:val="1"/>
          <w:szCs w:val="21"/>
          <w:u w:val="single"/>
        </w:rPr>
        <w:t>（¥</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r>
        <w:rPr>
          <w:rFonts w:ascii="宋体" w:hAnsi="宋体" w:cs="宋体"/>
          <w:color w:val="auto"/>
          <w:kern w:val="1"/>
          <w:szCs w:val="21"/>
          <w:u w:val="single"/>
        </w:rPr>
        <w:t>元</w:t>
      </w:r>
      <w:r>
        <w:rPr>
          <w:rFonts w:hint="eastAsia" w:ascii="宋体" w:hAnsi="宋体" w:cs="宋体"/>
          <w:color w:val="auto"/>
          <w:kern w:val="1"/>
          <w:szCs w:val="21"/>
          <w:u w:val="single"/>
        </w:rPr>
        <w:t>）</w:t>
      </w:r>
      <w:r>
        <w:rPr>
          <w:rFonts w:ascii="宋体" w:hAnsi="宋体" w:cs="宋体"/>
          <w:color w:val="auto"/>
          <w:kern w:val="1"/>
          <w:szCs w:val="21"/>
        </w:rPr>
        <w:t>，</w:t>
      </w:r>
      <w:r>
        <w:rPr>
          <w:rFonts w:hint="eastAsia" w:ascii="宋体" w:hAnsi="宋体" w:cs="宋体"/>
          <w:color w:val="auto"/>
          <w:kern w:val="1"/>
          <w:szCs w:val="21"/>
        </w:rPr>
        <w:t>支</w:t>
      </w:r>
      <w:r>
        <w:rPr>
          <w:rFonts w:ascii="宋体" w:hAnsi="宋体" w:cs="宋体"/>
          <w:color w:val="auto"/>
          <w:kern w:val="1"/>
          <w:szCs w:val="21"/>
        </w:rPr>
        <w:t>付期限的约定：</w:t>
      </w:r>
      <w:r>
        <w:rPr>
          <w:rFonts w:hint="eastAsia" w:ascii="宋体" w:hAnsi="宋体" w:cs="宋体"/>
          <w:color w:val="auto"/>
          <w:kern w:val="1"/>
          <w:szCs w:val="21"/>
          <w:u w:val="single"/>
        </w:rPr>
        <w:t xml:space="preserve">  </w:t>
      </w:r>
      <w:r>
        <w:rPr>
          <w:rFonts w:hint="eastAsia" w:ascii="宋体" w:hAnsi="宋体" w:cs="宋体"/>
          <w:color w:val="auto"/>
          <w:kern w:val="1"/>
          <w:szCs w:val="21"/>
          <w:u w:val="single"/>
          <w:lang w:val="en-US" w:eastAsia="zh-CN"/>
        </w:rPr>
        <w:t>工程进度款同期。</w:t>
      </w:r>
      <w:r>
        <w:rPr>
          <w:rFonts w:hint="eastAsia" w:ascii="宋体" w:hAnsi="宋体" w:cs="宋体"/>
          <w:color w:val="auto"/>
          <w:kern w:val="1"/>
          <w:szCs w:val="21"/>
          <w:u w:val="single"/>
        </w:rPr>
        <w:t xml:space="preserve"> </w:t>
      </w:r>
      <w:r>
        <w:rPr>
          <w:rFonts w:hint="eastAsia" w:ascii="宋体" w:hAnsi="宋体" w:cs="宋体"/>
          <w:color w:val="auto"/>
          <w:kern w:val="1"/>
          <w:szCs w:val="21"/>
        </w:rPr>
        <w:t xml:space="preserve"> </w:t>
      </w:r>
      <w:r>
        <w:rPr>
          <w:rFonts w:ascii="宋体" w:hAnsi="宋体" w:cs="宋体"/>
          <w:color w:val="auto"/>
          <w:kern w:val="1"/>
          <w:szCs w:val="21"/>
          <w:u w:val="single"/>
        </w:rPr>
        <w:t>使用要求：专款专用。具体按《广西壮族自治区</w:t>
      </w:r>
      <w:r>
        <w:rPr>
          <w:rFonts w:hint="eastAsia" w:ascii="宋体" w:hAnsi="宋体" w:cs="宋体"/>
          <w:color w:val="auto"/>
          <w:kern w:val="1"/>
          <w:szCs w:val="21"/>
          <w:u w:val="single"/>
        </w:rPr>
        <w:t>建设</w:t>
      </w:r>
      <w:r>
        <w:rPr>
          <w:rFonts w:ascii="宋体" w:hAnsi="宋体" w:cs="宋体"/>
          <w:color w:val="auto"/>
          <w:kern w:val="1"/>
          <w:szCs w:val="21"/>
          <w:u w:val="single"/>
        </w:rPr>
        <w:t>工程安全文明施工费</w:t>
      </w:r>
      <w:r>
        <w:rPr>
          <w:rFonts w:hint="eastAsia" w:ascii="宋体" w:hAnsi="宋体" w:cs="宋体"/>
          <w:color w:val="auto"/>
          <w:kern w:val="1"/>
          <w:szCs w:val="21"/>
          <w:u w:val="single"/>
        </w:rPr>
        <w:t>使用</w:t>
      </w:r>
      <w:r>
        <w:rPr>
          <w:rFonts w:ascii="宋体" w:hAnsi="宋体" w:cs="宋体"/>
          <w:color w:val="auto"/>
          <w:kern w:val="1"/>
          <w:szCs w:val="21"/>
          <w:u w:val="single"/>
        </w:rPr>
        <w:t>管理细则》</w:t>
      </w:r>
      <w:r>
        <w:rPr>
          <w:rFonts w:hint="eastAsia" w:ascii="宋体" w:hAnsi="宋体" w:cs="宋体"/>
          <w:color w:val="auto"/>
          <w:kern w:val="1"/>
          <w:szCs w:val="21"/>
          <w:u w:val="single"/>
        </w:rPr>
        <w:t>（</w:t>
      </w:r>
      <w:r>
        <w:rPr>
          <w:rFonts w:ascii="宋体" w:hAnsi="宋体" w:cs="宋体"/>
          <w:color w:val="auto"/>
          <w:kern w:val="1"/>
          <w:szCs w:val="21"/>
          <w:u w:val="single"/>
        </w:rPr>
        <w:t>桂建质</w:t>
      </w:r>
      <w:r>
        <w:rPr>
          <w:rFonts w:hint="eastAsia" w:ascii="宋体" w:hAnsi="宋体" w:cs="宋体"/>
          <w:color w:val="auto"/>
          <w:kern w:val="1"/>
          <w:szCs w:val="21"/>
          <w:u w:val="single"/>
        </w:rPr>
        <w:t>〔</w:t>
      </w:r>
      <w:r>
        <w:rPr>
          <w:rFonts w:ascii="宋体" w:hAnsi="宋体" w:cs="宋体"/>
          <w:color w:val="auto"/>
          <w:kern w:val="1"/>
          <w:szCs w:val="21"/>
          <w:u w:val="single"/>
        </w:rPr>
        <w:t>20</w:t>
      </w:r>
      <w:r>
        <w:rPr>
          <w:rFonts w:hint="eastAsia" w:ascii="宋体" w:hAnsi="宋体" w:cs="宋体"/>
          <w:color w:val="auto"/>
          <w:kern w:val="1"/>
          <w:szCs w:val="21"/>
          <w:u w:val="single"/>
        </w:rPr>
        <w:t>15〕16</w:t>
      </w:r>
      <w:r>
        <w:rPr>
          <w:rFonts w:ascii="宋体" w:hAnsi="宋体" w:cs="宋体"/>
          <w:color w:val="auto"/>
          <w:kern w:val="1"/>
          <w:szCs w:val="21"/>
          <w:u w:val="single"/>
        </w:rPr>
        <w:t>号</w:t>
      </w:r>
      <w:r>
        <w:rPr>
          <w:rFonts w:hint="eastAsia" w:ascii="宋体" w:hAnsi="宋体" w:cs="宋体"/>
          <w:color w:val="auto"/>
          <w:kern w:val="1"/>
          <w:szCs w:val="21"/>
          <w:u w:val="single"/>
        </w:rPr>
        <w:t>）</w:t>
      </w:r>
      <w:r>
        <w:rPr>
          <w:rFonts w:ascii="宋体" w:hAnsi="宋体" w:cs="宋体"/>
          <w:color w:val="auto"/>
          <w:kern w:val="1"/>
          <w:szCs w:val="21"/>
          <w:u w:val="single"/>
        </w:rPr>
        <w:t>相关规定执行。</w:t>
      </w:r>
    </w:p>
    <w:p w14:paraId="5B43109A">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709" w:name="_Toc373227721"/>
      <w:bookmarkEnd w:id="709"/>
      <w:bookmarkStart w:id="710" w:name="_Toc373478368"/>
      <w:bookmarkEnd w:id="710"/>
      <w:bookmarkStart w:id="711" w:name="_Toc406054759"/>
      <w:bookmarkEnd w:id="711"/>
      <w:bookmarkStart w:id="712" w:name="_Toc10359"/>
      <w:bookmarkStart w:id="713" w:name="_Toc23610"/>
      <w:bookmarkStart w:id="714" w:name="_Toc3866"/>
      <w:bookmarkStart w:id="715" w:name="_Toc21437"/>
      <w:bookmarkStart w:id="716" w:name="_Toc13465"/>
      <w:r>
        <w:rPr>
          <w:rFonts w:ascii="宋体" w:hAnsi="宋体" w:cs="宋体"/>
          <w:color w:val="auto"/>
          <w:sz w:val="21"/>
          <w:szCs w:val="21"/>
          <w:lang w:val="zh-CN"/>
        </w:rPr>
        <w:t>6.3环境保护</w:t>
      </w:r>
      <w:bookmarkEnd w:id="712"/>
      <w:bookmarkEnd w:id="713"/>
      <w:bookmarkEnd w:id="714"/>
      <w:bookmarkEnd w:id="715"/>
      <w:bookmarkEnd w:id="716"/>
    </w:p>
    <w:p w14:paraId="22203F9A">
      <w:pPr>
        <w:spacing w:line="360" w:lineRule="exact"/>
        <w:ind w:firstLine="420"/>
        <w:jc w:val="left"/>
        <w:rPr>
          <w:rFonts w:ascii="宋体" w:hAnsi="宋体" w:cs="宋体"/>
          <w:color w:val="auto"/>
          <w:kern w:val="1"/>
          <w:szCs w:val="21"/>
          <w:u w:val="single"/>
        </w:rPr>
      </w:pPr>
      <w:r>
        <w:rPr>
          <w:rFonts w:ascii="宋体" w:hAnsi="宋体" w:cs="宋体"/>
          <w:color w:val="auto"/>
          <w:kern w:val="1"/>
          <w:szCs w:val="21"/>
          <w:u w:val="single"/>
        </w:rPr>
        <w:t>因施工需要，经发包人批准，由承包人办理有关施工场地交通、环卫和施工噪音管理等手续，费用由承包人负责。</w:t>
      </w:r>
    </w:p>
    <w:p w14:paraId="116BCD24">
      <w:pPr>
        <w:spacing w:line="360" w:lineRule="exact"/>
        <w:ind w:firstLine="420"/>
        <w:jc w:val="left"/>
        <w:rPr>
          <w:rFonts w:ascii="宋体" w:hAnsi="宋体" w:cs="宋体"/>
          <w:color w:val="auto"/>
          <w:kern w:val="1"/>
          <w:szCs w:val="21"/>
          <w:u w:val="single"/>
        </w:rPr>
      </w:pPr>
      <w:r>
        <w:rPr>
          <w:rFonts w:ascii="宋体" w:hAnsi="宋体" w:cs="宋体"/>
          <w:color w:val="auto"/>
          <w:kern w:val="1"/>
          <w:szCs w:val="21"/>
          <w:u w:val="single"/>
        </w:rPr>
        <w:t>经过城市道路的施工车辆，必须按交警、城管、运输等部门相关规定执行。由于施工车辆造成的道路、环境等污染，其责任和费用均由承包人承担。</w:t>
      </w:r>
    </w:p>
    <w:p w14:paraId="506C1D7B">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717" w:name="_Toc406054760"/>
      <w:bookmarkEnd w:id="717"/>
      <w:bookmarkStart w:id="718" w:name="_Toc373478369"/>
      <w:bookmarkEnd w:id="718"/>
      <w:bookmarkStart w:id="719" w:name="_Toc373227722"/>
      <w:bookmarkEnd w:id="719"/>
      <w:bookmarkStart w:id="720" w:name="_Toc28798"/>
      <w:bookmarkStart w:id="721" w:name="_Toc7956"/>
      <w:bookmarkStart w:id="722" w:name="_Toc10051"/>
      <w:bookmarkStart w:id="723" w:name="_Toc29232"/>
      <w:bookmarkStart w:id="724" w:name="_Toc10816"/>
      <w:r>
        <w:rPr>
          <w:rFonts w:ascii="宋体" w:hAnsi="宋体" w:cs="宋体"/>
          <w:color w:val="auto"/>
          <w:sz w:val="21"/>
          <w:szCs w:val="21"/>
          <w:lang w:val="zh-CN"/>
        </w:rPr>
        <w:t>7. 工期和进度</w:t>
      </w:r>
      <w:bookmarkEnd w:id="720"/>
      <w:bookmarkEnd w:id="721"/>
      <w:bookmarkEnd w:id="722"/>
      <w:bookmarkEnd w:id="723"/>
      <w:bookmarkEnd w:id="724"/>
    </w:p>
    <w:p w14:paraId="3E5D558A">
      <w:pPr>
        <w:pStyle w:val="2"/>
        <w:keepNext w:val="0"/>
        <w:keepLines/>
        <w:pageBreakBefore w:val="0"/>
        <w:widowControl w:val="0"/>
        <w:kinsoku/>
        <w:wordWrap/>
        <w:overflowPunct/>
        <w:topLinePunct w:val="0"/>
        <w:autoSpaceDE/>
        <w:autoSpaceDN/>
        <w:bidi w:val="0"/>
        <w:adjustRightInd/>
        <w:snapToGrid/>
        <w:spacing w:line="260" w:lineRule="exact"/>
        <w:textAlignment w:val="auto"/>
        <w:rPr>
          <w:rFonts w:ascii="宋体" w:hAnsi="宋体" w:cs="宋体"/>
          <w:color w:val="auto"/>
          <w:sz w:val="21"/>
          <w:szCs w:val="21"/>
          <w:lang w:val="zh-CN"/>
        </w:rPr>
      </w:pPr>
      <w:bookmarkStart w:id="725" w:name="_Toc406054761"/>
      <w:bookmarkEnd w:id="725"/>
      <w:bookmarkStart w:id="726" w:name="_Toc373478370"/>
      <w:bookmarkEnd w:id="726"/>
      <w:bookmarkStart w:id="727" w:name="_Toc373227723"/>
      <w:bookmarkEnd w:id="727"/>
      <w:bookmarkStart w:id="728" w:name="_Toc2532"/>
      <w:bookmarkStart w:id="729" w:name="_Toc31035"/>
      <w:bookmarkStart w:id="730" w:name="_Toc8936"/>
      <w:bookmarkStart w:id="731" w:name="_Toc23140"/>
      <w:bookmarkStart w:id="732" w:name="_Toc4338"/>
      <w:r>
        <w:rPr>
          <w:rFonts w:ascii="宋体" w:hAnsi="宋体" w:cs="宋体"/>
          <w:color w:val="auto"/>
          <w:sz w:val="21"/>
          <w:szCs w:val="21"/>
          <w:lang w:val="zh-CN"/>
        </w:rPr>
        <w:t>7.1 施工组织设计</w:t>
      </w:r>
      <w:bookmarkEnd w:id="728"/>
      <w:bookmarkEnd w:id="729"/>
      <w:bookmarkEnd w:id="730"/>
      <w:bookmarkEnd w:id="731"/>
      <w:bookmarkEnd w:id="732"/>
    </w:p>
    <w:p w14:paraId="595A31C7">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7.1.1 合同当事人约定的施工组织设计应包括的其他内容：</w:t>
      </w:r>
      <w:r>
        <w:rPr>
          <w:rFonts w:hint="eastAsia" w:ascii="宋体" w:hAnsi="宋体" w:cs="宋体"/>
          <w:color w:val="auto"/>
          <w:kern w:val="1"/>
          <w:szCs w:val="21"/>
          <w:u w:val="single"/>
        </w:rPr>
        <w:t>按照工程特点和行业有关规定编制</w:t>
      </w:r>
      <w:r>
        <w:rPr>
          <w:rFonts w:ascii="宋体" w:hAnsi="宋体" w:cs="宋体"/>
          <w:color w:val="auto"/>
          <w:kern w:val="1"/>
          <w:szCs w:val="21"/>
          <w:u w:val="single"/>
        </w:rPr>
        <w:t>。</w:t>
      </w:r>
    </w:p>
    <w:p w14:paraId="34A1A20F">
      <w:pPr>
        <w:spacing w:line="360" w:lineRule="exact"/>
        <w:ind w:firstLine="420"/>
        <w:jc w:val="left"/>
        <w:rPr>
          <w:rFonts w:ascii="宋体" w:hAnsi="宋体" w:cs="宋体"/>
          <w:color w:val="auto"/>
          <w:kern w:val="1"/>
          <w:szCs w:val="21"/>
        </w:rPr>
      </w:pPr>
      <w:r>
        <w:rPr>
          <w:rFonts w:ascii="宋体" w:hAnsi="宋体" w:cs="宋体"/>
          <w:color w:val="auto"/>
          <w:kern w:val="1"/>
          <w:szCs w:val="21"/>
        </w:rPr>
        <w:t>7.1.2 施工组织设计的提交和修改</w:t>
      </w:r>
    </w:p>
    <w:p w14:paraId="4084F963">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承包人提交详细施工组织设计的期限的约定：</w:t>
      </w:r>
      <w:r>
        <w:rPr>
          <w:rFonts w:hint="eastAsia" w:ascii="宋体" w:hAnsi="宋体" w:cs="宋体"/>
          <w:color w:val="auto"/>
          <w:kern w:val="1"/>
          <w:szCs w:val="21"/>
          <w:u w:val="single"/>
        </w:rPr>
        <w:t>开工前7天</w:t>
      </w:r>
      <w:r>
        <w:rPr>
          <w:rFonts w:ascii="宋体" w:hAnsi="宋体" w:cs="宋体"/>
          <w:color w:val="auto"/>
          <w:kern w:val="1"/>
          <w:szCs w:val="21"/>
        </w:rPr>
        <w:t>。</w:t>
      </w:r>
    </w:p>
    <w:p w14:paraId="1D1C9680">
      <w:pPr>
        <w:spacing w:line="360" w:lineRule="exact"/>
        <w:ind w:firstLine="420"/>
        <w:jc w:val="left"/>
        <w:rPr>
          <w:rFonts w:ascii="宋体" w:hAnsi="宋体" w:cs="宋体"/>
          <w:color w:val="auto"/>
          <w:kern w:val="1"/>
          <w:szCs w:val="21"/>
        </w:rPr>
      </w:pPr>
      <w:r>
        <w:rPr>
          <w:rFonts w:ascii="宋体" w:hAnsi="宋体" w:cs="宋体"/>
          <w:color w:val="auto"/>
          <w:kern w:val="1"/>
          <w:szCs w:val="21"/>
        </w:rPr>
        <w:t>发包人和监理人在收到详细的施工组织设计后确认或提出修改意见的期限：</w:t>
      </w:r>
      <w:r>
        <w:rPr>
          <w:rFonts w:hint="eastAsia" w:ascii="宋体" w:hAnsi="宋体" w:cs="宋体"/>
          <w:color w:val="auto"/>
          <w:kern w:val="1"/>
          <w:szCs w:val="21"/>
          <w:u w:val="single"/>
        </w:rPr>
        <w:t>收到后7天内</w:t>
      </w:r>
      <w:r>
        <w:rPr>
          <w:rFonts w:ascii="宋体" w:hAnsi="宋体" w:cs="宋体"/>
          <w:color w:val="auto"/>
          <w:kern w:val="1"/>
          <w:szCs w:val="21"/>
        </w:rPr>
        <w:t>。</w:t>
      </w:r>
    </w:p>
    <w:p w14:paraId="731D005D">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733" w:name="_Toc373478371"/>
      <w:bookmarkEnd w:id="733"/>
      <w:bookmarkStart w:id="734" w:name="_Toc406054762"/>
      <w:bookmarkEnd w:id="734"/>
      <w:bookmarkStart w:id="735" w:name="_Toc373227724"/>
      <w:bookmarkEnd w:id="735"/>
      <w:bookmarkStart w:id="736" w:name="_Toc7447"/>
      <w:bookmarkStart w:id="737" w:name="_Toc30920"/>
      <w:bookmarkStart w:id="738" w:name="_Toc27126"/>
      <w:bookmarkStart w:id="739" w:name="_Toc7075"/>
      <w:bookmarkStart w:id="740" w:name="_Toc29621"/>
      <w:r>
        <w:rPr>
          <w:rFonts w:ascii="宋体" w:hAnsi="宋体" w:cs="宋体"/>
          <w:color w:val="auto"/>
          <w:sz w:val="21"/>
          <w:szCs w:val="21"/>
          <w:lang w:val="zh-CN"/>
        </w:rPr>
        <w:t>7.2 施工进度计划</w:t>
      </w:r>
      <w:bookmarkEnd w:id="736"/>
      <w:bookmarkEnd w:id="737"/>
      <w:bookmarkEnd w:id="738"/>
      <w:bookmarkEnd w:id="739"/>
      <w:bookmarkEnd w:id="740"/>
    </w:p>
    <w:p w14:paraId="56298CAD">
      <w:pPr>
        <w:spacing w:line="360" w:lineRule="exact"/>
        <w:ind w:firstLine="420"/>
        <w:jc w:val="left"/>
        <w:rPr>
          <w:rFonts w:ascii="宋体" w:hAnsi="宋体" w:cs="宋体"/>
          <w:color w:val="auto"/>
          <w:kern w:val="1"/>
          <w:szCs w:val="21"/>
        </w:rPr>
      </w:pPr>
      <w:r>
        <w:rPr>
          <w:rFonts w:ascii="宋体" w:hAnsi="宋体" w:cs="宋体"/>
          <w:color w:val="auto"/>
          <w:kern w:val="1"/>
          <w:szCs w:val="21"/>
        </w:rPr>
        <w:t>7.2.2 施工进度计划的修订</w:t>
      </w:r>
    </w:p>
    <w:p w14:paraId="1AEBDF85">
      <w:pPr>
        <w:spacing w:line="360" w:lineRule="exact"/>
        <w:ind w:firstLine="420"/>
        <w:jc w:val="left"/>
        <w:rPr>
          <w:rFonts w:ascii="宋体" w:hAnsi="宋体" w:cs="宋体"/>
          <w:color w:val="auto"/>
          <w:kern w:val="1"/>
          <w:szCs w:val="21"/>
        </w:rPr>
      </w:pPr>
      <w:r>
        <w:rPr>
          <w:rFonts w:ascii="宋体" w:hAnsi="宋体" w:cs="宋体"/>
          <w:color w:val="auto"/>
          <w:kern w:val="1"/>
          <w:szCs w:val="21"/>
        </w:rPr>
        <w:t>发包人和监理人在收到修订的施工进度计划后确认或提出修改意见的期限：</w:t>
      </w:r>
      <w:r>
        <w:rPr>
          <w:rFonts w:hint="eastAsia" w:ascii="宋体" w:hAnsi="宋体" w:cs="宋体"/>
          <w:color w:val="auto"/>
          <w:kern w:val="1"/>
          <w:szCs w:val="21"/>
          <w:u w:val="single"/>
        </w:rPr>
        <w:t>收到后7天内</w:t>
      </w:r>
      <w:r>
        <w:rPr>
          <w:rFonts w:ascii="宋体" w:hAnsi="宋体" w:cs="宋体"/>
          <w:color w:val="auto"/>
          <w:kern w:val="1"/>
          <w:szCs w:val="21"/>
        </w:rPr>
        <w:t>。</w:t>
      </w:r>
    </w:p>
    <w:p w14:paraId="3EE6CC07">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741" w:name="_Toc373478372"/>
      <w:bookmarkEnd w:id="741"/>
      <w:bookmarkStart w:id="742" w:name="_Toc406054763"/>
      <w:bookmarkEnd w:id="742"/>
      <w:bookmarkStart w:id="743" w:name="_Toc373227725"/>
      <w:bookmarkEnd w:id="743"/>
      <w:bookmarkStart w:id="744" w:name="_Toc1752"/>
      <w:bookmarkStart w:id="745" w:name="_Toc362"/>
      <w:bookmarkStart w:id="746" w:name="_Toc12650"/>
      <w:bookmarkStart w:id="747" w:name="_Toc20726"/>
      <w:bookmarkStart w:id="748" w:name="_Toc11954"/>
      <w:r>
        <w:rPr>
          <w:rFonts w:ascii="宋体" w:hAnsi="宋体" w:cs="宋体"/>
          <w:color w:val="auto"/>
          <w:sz w:val="21"/>
          <w:szCs w:val="21"/>
          <w:lang w:val="zh-CN"/>
        </w:rPr>
        <w:t>7.3 开工</w:t>
      </w:r>
      <w:bookmarkEnd w:id="744"/>
      <w:bookmarkEnd w:id="745"/>
      <w:bookmarkEnd w:id="746"/>
      <w:bookmarkEnd w:id="747"/>
      <w:bookmarkEnd w:id="748"/>
    </w:p>
    <w:p w14:paraId="7B2376FD">
      <w:pPr>
        <w:spacing w:line="360" w:lineRule="exact"/>
        <w:ind w:firstLine="420"/>
        <w:jc w:val="left"/>
        <w:rPr>
          <w:rFonts w:ascii="宋体" w:hAnsi="宋体" w:cs="宋体"/>
          <w:color w:val="auto"/>
          <w:kern w:val="1"/>
          <w:szCs w:val="21"/>
        </w:rPr>
      </w:pPr>
      <w:r>
        <w:rPr>
          <w:rFonts w:ascii="宋体" w:hAnsi="宋体" w:cs="宋体"/>
          <w:color w:val="auto"/>
          <w:kern w:val="1"/>
          <w:szCs w:val="21"/>
        </w:rPr>
        <w:t>7.3.1 开工准备</w:t>
      </w:r>
    </w:p>
    <w:p w14:paraId="5962ED64">
      <w:pPr>
        <w:spacing w:line="360" w:lineRule="exact"/>
        <w:ind w:firstLine="426"/>
        <w:jc w:val="left"/>
        <w:rPr>
          <w:rFonts w:ascii="宋体" w:hAnsi="宋体" w:cs="宋体"/>
          <w:color w:val="auto"/>
          <w:kern w:val="1"/>
          <w:szCs w:val="21"/>
          <w:u w:val="single"/>
        </w:rPr>
      </w:pPr>
      <w:r>
        <w:rPr>
          <w:rFonts w:ascii="宋体" w:hAnsi="宋体" w:cs="宋体"/>
          <w:color w:val="auto"/>
          <w:kern w:val="1"/>
          <w:szCs w:val="21"/>
        </w:rPr>
        <w:t>关于承包人提交工程开工报审表的期限：</w:t>
      </w:r>
      <w:r>
        <w:rPr>
          <w:rFonts w:hint="eastAsia" w:ascii="宋体" w:hAnsi="宋体" w:cs="宋体"/>
          <w:color w:val="auto"/>
          <w:kern w:val="1"/>
          <w:szCs w:val="21"/>
          <w:u w:val="single"/>
        </w:rPr>
        <w:t>开工前3天</w:t>
      </w:r>
      <w:r>
        <w:rPr>
          <w:rFonts w:ascii="宋体" w:hAnsi="宋体" w:cs="宋体"/>
          <w:color w:val="auto"/>
          <w:kern w:val="1"/>
          <w:szCs w:val="21"/>
        </w:rPr>
        <w:t>。</w:t>
      </w:r>
    </w:p>
    <w:p w14:paraId="5F30E86D">
      <w:pPr>
        <w:spacing w:line="360" w:lineRule="exact"/>
        <w:ind w:firstLine="426"/>
        <w:jc w:val="left"/>
        <w:rPr>
          <w:rFonts w:ascii="宋体" w:hAnsi="宋体" w:cs="宋体"/>
          <w:color w:val="auto"/>
          <w:kern w:val="1"/>
          <w:szCs w:val="21"/>
          <w:u w:val="single"/>
        </w:rPr>
      </w:pPr>
      <w:r>
        <w:rPr>
          <w:rFonts w:ascii="宋体" w:hAnsi="宋体" w:cs="宋体"/>
          <w:color w:val="auto"/>
          <w:kern w:val="1"/>
          <w:szCs w:val="21"/>
        </w:rPr>
        <w:t>关于发包人应完成的其他开工准备工作及期限：</w:t>
      </w:r>
      <w:r>
        <w:rPr>
          <w:rFonts w:hint="eastAsia" w:ascii="宋体" w:hAnsi="宋体" w:cs="宋体"/>
          <w:color w:val="auto"/>
          <w:kern w:val="1"/>
          <w:szCs w:val="21"/>
          <w:u w:val="single"/>
        </w:rPr>
        <w:t>开工前7天</w:t>
      </w:r>
      <w:r>
        <w:rPr>
          <w:rFonts w:ascii="宋体" w:hAnsi="宋体" w:cs="宋体"/>
          <w:color w:val="auto"/>
          <w:kern w:val="1"/>
          <w:szCs w:val="21"/>
        </w:rPr>
        <w:t>。</w:t>
      </w:r>
    </w:p>
    <w:p w14:paraId="48B6AFBB">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关于承包人应完成的其他开工准备工作及期限：</w:t>
      </w:r>
      <w:r>
        <w:rPr>
          <w:rFonts w:hint="eastAsia" w:ascii="宋体" w:hAnsi="宋体" w:cs="宋体"/>
          <w:color w:val="auto"/>
          <w:kern w:val="1"/>
          <w:szCs w:val="21"/>
          <w:u w:val="single"/>
        </w:rPr>
        <w:t>开工前3天</w:t>
      </w:r>
      <w:r>
        <w:rPr>
          <w:rFonts w:ascii="宋体" w:hAnsi="宋体" w:cs="宋体"/>
          <w:color w:val="auto"/>
          <w:kern w:val="1"/>
          <w:szCs w:val="21"/>
        </w:rPr>
        <w:t>。</w:t>
      </w:r>
    </w:p>
    <w:p w14:paraId="19B263DC">
      <w:pPr>
        <w:spacing w:line="360" w:lineRule="exact"/>
        <w:ind w:firstLine="420"/>
        <w:jc w:val="left"/>
        <w:rPr>
          <w:rFonts w:ascii="宋体" w:hAnsi="宋体" w:cs="宋体"/>
          <w:color w:val="auto"/>
          <w:kern w:val="1"/>
          <w:szCs w:val="21"/>
        </w:rPr>
      </w:pPr>
      <w:r>
        <w:rPr>
          <w:rFonts w:ascii="宋体" w:hAnsi="宋体" w:cs="宋体"/>
          <w:color w:val="auto"/>
          <w:kern w:val="1"/>
          <w:szCs w:val="21"/>
        </w:rPr>
        <w:t>7.3.2开工通知</w:t>
      </w:r>
    </w:p>
    <w:p w14:paraId="2258B932">
      <w:pPr>
        <w:spacing w:line="360" w:lineRule="exact"/>
        <w:ind w:firstLine="420"/>
        <w:jc w:val="left"/>
        <w:rPr>
          <w:rFonts w:ascii="宋体" w:hAnsi="宋体" w:cs="宋体"/>
          <w:color w:val="auto"/>
          <w:kern w:val="1"/>
          <w:szCs w:val="21"/>
        </w:rPr>
      </w:pPr>
      <w:r>
        <w:rPr>
          <w:rFonts w:ascii="宋体" w:hAnsi="宋体" w:cs="宋体"/>
          <w:color w:val="auto"/>
          <w:kern w:val="1"/>
          <w:szCs w:val="21"/>
        </w:rPr>
        <w:t>因发包人原因造成监理人未能在计划开工日期之日起</w:t>
      </w:r>
      <w:r>
        <w:rPr>
          <w:rFonts w:hint="eastAsia" w:ascii="宋体" w:hAnsi="宋体" w:cs="宋体"/>
          <w:color w:val="auto"/>
          <w:kern w:val="1"/>
          <w:szCs w:val="21"/>
          <w:u w:val="single"/>
        </w:rPr>
        <w:t>360</w:t>
      </w:r>
      <w:r>
        <w:rPr>
          <w:rFonts w:ascii="宋体" w:hAnsi="宋体" w:cs="宋体"/>
          <w:color w:val="auto"/>
          <w:kern w:val="1"/>
          <w:szCs w:val="21"/>
        </w:rPr>
        <w:t>天内发出开工通知的，承包人有权提出价格调整要求，或者解除合同。</w:t>
      </w:r>
    </w:p>
    <w:p w14:paraId="22DE0A5A">
      <w:pPr>
        <w:pStyle w:val="2"/>
        <w:keepNext w:val="0"/>
        <w:keepLines/>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 w:val="21"/>
          <w:szCs w:val="21"/>
          <w:lang w:val="zh-CN"/>
        </w:rPr>
      </w:pPr>
      <w:bookmarkStart w:id="749" w:name="_Toc373478373"/>
      <w:bookmarkEnd w:id="749"/>
      <w:bookmarkStart w:id="750" w:name="_Toc406054764"/>
      <w:bookmarkEnd w:id="750"/>
      <w:bookmarkStart w:id="751" w:name="_Toc373227726"/>
      <w:bookmarkEnd w:id="751"/>
      <w:bookmarkStart w:id="752" w:name="_Toc26810"/>
      <w:bookmarkStart w:id="753" w:name="_Toc19735"/>
      <w:bookmarkStart w:id="754" w:name="_Toc29965"/>
      <w:bookmarkStart w:id="755" w:name="_Toc7424"/>
      <w:bookmarkStart w:id="756" w:name="_Toc19427"/>
      <w:r>
        <w:rPr>
          <w:rFonts w:ascii="宋体" w:hAnsi="宋体" w:cs="宋体"/>
          <w:color w:val="auto"/>
          <w:sz w:val="21"/>
          <w:szCs w:val="21"/>
          <w:lang w:val="zh-CN"/>
        </w:rPr>
        <w:t>7.4 测量放线</w:t>
      </w:r>
      <w:bookmarkEnd w:id="752"/>
      <w:bookmarkEnd w:id="753"/>
      <w:bookmarkEnd w:id="754"/>
      <w:bookmarkEnd w:id="755"/>
      <w:bookmarkEnd w:id="756"/>
    </w:p>
    <w:p w14:paraId="29809CDE">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7.4.1发包人通过监理人向承包人提供测量基准点、基准线和水准点及其书面资料的期限：</w:t>
      </w:r>
      <w:r>
        <w:rPr>
          <w:rFonts w:hint="eastAsia" w:ascii="宋体" w:hAnsi="宋体" w:cs="宋体"/>
          <w:color w:val="auto"/>
          <w:kern w:val="1"/>
          <w:szCs w:val="21"/>
          <w:u w:val="single"/>
        </w:rPr>
        <w:t>开工前7天</w:t>
      </w:r>
      <w:r>
        <w:rPr>
          <w:rFonts w:ascii="宋体" w:hAnsi="宋体" w:cs="宋体"/>
          <w:color w:val="auto"/>
          <w:kern w:val="1"/>
          <w:szCs w:val="21"/>
        </w:rPr>
        <w:t>。</w:t>
      </w:r>
    </w:p>
    <w:p w14:paraId="280B9F1D">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757" w:name="_Toc406054765"/>
      <w:bookmarkEnd w:id="757"/>
      <w:bookmarkStart w:id="758" w:name="_Toc373227727"/>
      <w:bookmarkEnd w:id="758"/>
      <w:bookmarkStart w:id="759" w:name="_Toc373478374"/>
      <w:bookmarkEnd w:id="759"/>
      <w:bookmarkStart w:id="760" w:name="_Toc26076"/>
      <w:bookmarkStart w:id="761" w:name="_Toc26830"/>
      <w:bookmarkStart w:id="762" w:name="_Toc18188"/>
      <w:bookmarkStart w:id="763" w:name="_Toc24977"/>
      <w:bookmarkStart w:id="764" w:name="_Toc28852"/>
      <w:r>
        <w:rPr>
          <w:rFonts w:ascii="宋体" w:hAnsi="宋体" w:cs="宋体"/>
          <w:color w:val="auto"/>
          <w:sz w:val="21"/>
          <w:szCs w:val="21"/>
          <w:lang w:val="zh-CN"/>
        </w:rPr>
        <w:t>7.5 工期延误</w:t>
      </w:r>
      <w:bookmarkEnd w:id="760"/>
      <w:bookmarkEnd w:id="761"/>
      <w:bookmarkEnd w:id="762"/>
      <w:bookmarkEnd w:id="763"/>
      <w:bookmarkEnd w:id="764"/>
    </w:p>
    <w:p w14:paraId="4AAAB460">
      <w:pPr>
        <w:spacing w:line="360" w:lineRule="exact"/>
        <w:ind w:firstLine="420"/>
        <w:jc w:val="left"/>
        <w:rPr>
          <w:rFonts w:ascii="宋体" w:hAnsi="宋体" w:cs="宋体"/>
          <w:color w:val="auto"/>
          <w:kern w:val="1"/>
          <w:szCs w:val="21"/>
        </w:rPr>
      </w:pPr>
      <w:r>
        <w:rPr>
          <w:rFonts w:ascii="宋体" w:hAnsi="宋体" w:cs="宋体"/>
          <w:color w:val="auto"/>
          <w:kern w:val="1"/>
          <w:szCs w:val="21"/>
        </w:rPr>
        <w:t>7.5.1 因发包人原因导致工期延误</w:t>
      </w:r>
    </w:p>
    <w:p w14:paraId="0AE567A6">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因发包人原因导致工期延误的其他情形：</w:t>
      </w:r>
      <w:r>
        <w:rPr>
          <w:rFonts w:hint="eastAsia" w:ascii="宋体" w:hAnsi="宋体" w:cs="宋体"/>
          <w:color w:val="auto"/>
          <w:kern w:val="1"/>
          <w:szCs w:val="21"/>
          <w:u w:val="single"/>
        </w:rPr>
        <w:t>政策性调整</w:t>
      </w:r>
      <w:r>
        <w:rPr>
          <w:rFonts w:hint="eastAsia" w:ascii="宋体" w:hAnsi="宋体" w:cs="宋体"/>
          <w:color w:val="auto"/>
          <w:kern w:val="1"/>
          <w:szCs w:val="21"/>
          <w:u w:val="single"/>
          <w:lang w:val="en-US" w:eastAsia="zh-CN"/>
        </w:rPr>
        <w:t>及其他因发包人原因引起的情况</w:t>
      </w:r>
      <w:r>
        <w:rPr>
          <w:rFonts w:ascii="宋体" w:hAnsi="宋体" w:cs="宋体"/>
          <w:color w:val="auto"/>
          <w:kern w:val="1"/>
          <w:szCs w:val="21"/>
        </w:rPr>
        <w:t>。</w:t>
      </w:r>
    </w:p>
    <w:p w14:paraId="06836F8A">
      <w:pPr>
        <w:spacing w:line="360" w:lineRule="exact"/>
        <w:ind w:firstLine="420"/>
        <w:jc w:val="left"/>
        <w:rPr>
          <w:rFonts w:ascii="宋体" w:hAnsi="宋体" w:cs="宋体"/>
          <w:color w:val="auto"/>
          <w:kern w:val="1"/>
          <w:szCs w:val="21"/>
        </w:rPr>
      </w:pPr>
      <w:r>
        <w:rPr>
          <w:rFonts w:ascii="宋体" w:hAnsi="宋体" w:cs="宋体"/>
          <w:color w:val="auto"/>
          <w:kern w:val="1"/>
          <w:szCs w:val="21"/>
        </w:rPr>
        <w:t>7.5.2 因承包人原因导致工期延误</w:t>
      </w:r>
    </w:p>
    <w:p w14:paraId="5089B1E9">
      <w:pPr>
        <w:spacing w:line="360" w:lineRule="exact"/>
        <w:ind w:firstLine="420"/>
        <w:jc w:val="left"/>
        <w:rPr>
          <w:rFonts w:ascii="宋体" w:hAnsi="宋体" w:cs="宋体"/>
          <w:color w:val="auto"/>
          <w:kern w:val="1"/>
          <w:szCs w:val="21"/>
        </w:rPr>
      </w:pPr>
      <w:r>
        <w:rPr>
          <w:rFonts w:ascii="宋体" w:hAnsi="宋体" w:cs="宋体"/>
          <w:color w:val="auto"/>
          <w:kern w:val="1"/>
          <w:szCs w:val="21"/>
        </w:rPr>
        <w:t>双方约定经监理工程师确认，工期相应顺延的情况：</w:t>
      </w:r>
      <w:r>
        <w:rPr>
          <w:rFonts w:hint="eastAsia" w:ascii="宋体" w:hAnsi="宋体" w:cs="宋体"/>
          <w:color w:val="auto"/>
          <w:kern w:val="1"/>
          <w:szCs w:val="21"/>
          <w:u w:val="single"/>
          <w:lang w:val="en-US" w:eastAsia="zh-CN"/>
        </w:rPr>
        <w:t>停水、停电、雨天等不属于承包人的直接原因</w:t>
      </w:r>
      <w:r>
        <w:rPr>
          <w:rFonts w:ascii="宋体" w:hAnsi="宋体" w:cs="宋体"/>
          <w:color w:val="auto"/>
          <w:kern w:val="1"/>
          <w:szCs w:val="21"/>
        </w:rPr>
        <w:t>。</w:t>
      </w:r>
    </w:p>
    <w:p w14:paraId="1752D4DD">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因承包人原因造成工期延误，逾期竣工违约金的计算方法为：</w:t>
      </w:r>
      <w:r>
        <w:rPr>
          <w:rFonts w:hint="eastAsia" w:ascii="宋体" w:hAnsi="宋体" w:cs="宋体"/>
          <w:color w:val="auto"/>
          <w:kern w:val="1"/>
          <w:szCs w:val="21"/>
          <w:u w:val="single"/>
        </w:rPr>
        <w:t>每逾期1天，罚款10000元。</w:t>
      </w:r>
    </w:p>
    <w:p w14:paraId="794E3FEC">
      <w:pPr>
        <w:spacing w:line="360" w:lineRule="exact"/>
        <w:ind w:firstLine="420"/>
        <w:jc w:val="left"/>
        <w:rPr>
          <w:rFonts w:ascii="宋体" w:hAnsi="宋体" w:cs="宋体"/>
          <w:color w:val="auto"/>
          <w:kern w:val="1"/>
          <w:szCs w:val="21"/>
        </w:rPr>
      </w:pPr>
      <w:r>
        <w:rPr>
          <w:rFonts w:ascii="宋体" w:hAnsi="宋体" w:cs="宋体"/>
          <w:color w:val="auto"/>
          <w:kern w:val="1"/>
          <w:szCs w:val="21"/>
        </w:rPr>
        <w:t>因承包人原因造成工期延误，逾期竣工违约金的上限：</w:t>
      </w:r>
      <w:r>
        <w:rPr>
          <w:rFonts w:ascii="宋体" w:hAnsi="宋体" w:cs="宋体"/>
          <w:color w:val="auto"/>
          <w:kern w:val="1"/>
          <w:szCs w:val="21"/>
          <w:u w:val="single"/>
        </w:rPr>
        <w:t>合同价的</w:t>
      </w:r>
      <w:r>
        <w:rPr>
          <w:rFonts w:hint="eastAsia" w:ascii="宋体" w:hAnsi="宋体" w:cs="宋体"/>
          <w:color w:val="auto"/>
          <w:kern w:val="1"/>
          <w:szCs w:val="21"/>
          <w:u w:val="single"/>
        </w:rPr>
        <w:t>30</w:t>
      </w:r>
      <w:r>
        <w:rPr>
          <w:rFonts w:ascii="宋体" w:hAnsi="宋体" w:cs="宋体"/>
          <w:color w:val="auto"/>
          <w:kern w:val="1"/>
          <w:szCs w:val="21"/>
          <w:u w:val="single"/>
        </w:rPr>
        <w:t>%</w:t>
      </w:r>
      <w:r>
        <w:rPr>
          <w:rFonts w:ascii="宋体" w:hAnsi="宋体" w:cs="宋体"/>
          <w:color w:val="auto"/>
          <w:kern w:val="1"/>
          <w:szCs w:val="21"/>
        </w:rPr>
        <w:t>。</w:t>
      </w:r>
    </w:p>
    <w:p w14:paraId="39367520">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765" w:name="_Toc373478375"/>
      <w:bookmarkEnd w:id="765"/>
      <w:bookmarkStart w:id="766" w:name="_Toc406054766"/>
      <w:bookmarkEnd w:id="766"/>
      <w:bookmarkStart w:id="767" w:name="_Toc373227728"/>
      <w:bookmarkEnd w:id="767"/>
      <w:bookmarkStart w:id="768" w:name="_Toc16469"/>
      <w:bookmarkStart w:id="769" w:name="_Toc12717"/>
      <w:bookmarkStart w:id="770" w:name="_Toc8036"/>
      <w:bookmarkStart w:id="771" w:name="_Toc2679"/>
      <w:bookmarkStart w:id="772" w:name="_Toc6757"/>
      <w:r>
        <w:rPr>
          <w:rFonts w:ascii="宋体" w:hAnsi="宋体" w:cs="宋体"/>
          <w:color w:val="auto"/>
          <w:sz w:val="21"/>
          <w:szCs w:val="21"/>
          <w:lang w:val="zh-CN"/>
        </w:rPr>
        <w:t>7.6 不利物质条件</w:t>
      </w:r>
      <w:bookmarkEnd w:id="768"/>
      <w:bookmarkEnd w:id="769"/>
      <w:bookmarkEnd w:id="770"/>
      <w:bookmarkEnd w:id="771"/>
      <w:bookmarkEnd w:id="772"/>
    </w:p>
    <w:p w14:paraId="766407A0">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不利物质条件的其他情形和有关约定：</w:t>
      </w:r>
      <w:r>
        <w:rPr>
          <w:rFonts w:hint="eastAsia" w:ascii="宋体" w:hAnsi="宋体" w:cs="宋体"/>
          <w:color w:val="auto"/>
          <w:kern w:val="1"/>
          <w:szCs w:val="21"/>
          <w:u w:val="single"/>
        </w:rPr>
        <w:t>按照通用条款</w:t>
      </w:r>
      <w:r>
        <w:rPr>
          <w:rFonts w:ascii="宋体" w:hAnsi="宋体" w:cs="宋体"/>
          <w:color w:val="auto"/>
          <w:kern w:val="1"/>
          <w:szCs w:val="21"/>
        </w:rPr>
        <w:t>。</w:t>
      </w:r>
    </w:p>
    <w:p w14:paraId="404097BA">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773" w:name="_Toc373227729"/>
      <w:bookmarkEnd w:id="773"/>
      <w:bookmarkStart w:id="774" w:name="_Toc373478376"/>
      <w:bookmarkEnd w:id="774"/>
      <w:bookmarkStart w:id="775" w:name="_Toc406054767"/>
      <w:bookmarkEnd w:id="775"/>
      <w:bookmarkStart w:id="776" w:name="_Toc19624"/>
      <w:bookmarkStart w:id="777" w:name="_Toc23017"/>
      <w:bookmarkStart w:id="778" w:name="_Toc7333"/>
      <w:bookmarkStart w:id="779" w:name="_Toc2593"/>
      <w:bookmarkStart w:id="780" w:name="_Toc31978"/>
      <w:r>
        <w:rPr>
          <w:rFonts w:ascii="宋体" w:hAnsi="宋体" w:cs="宋体"/>
          <w:color w:val="auto"/>
          <w:sz w:val="21"/>
          <w:szCs w:val="21"/>
          <w:lang w:val="zh-CN"/>
        </w:rPr>
        <w:t>7.7异常恶劣的气候条件</w:t>
      </w:r>
      <w:bookmarkEnd w:id="776"/>
      <w:bookmarkEnd w:id="777"/>
      <w:bookmarkEnd w:id="778"/>
      <w:bookmarkEnd w:id="779"/>
      <w:bookmarkEnd w:id="780"/>
    </w:p>
    <w:p w14:paraId="5BF4E4AD">
      <w:pPr>
        <w:spacing w:line="360" w:lineRule="exact"/>
        <w:ind w:firstLine="420"/>
        <w:jc w:val="left"/>
        <w:rPr>
          <w:rFonts w:ascii="宋体" w:hAnsi="宋体" w:cs="宋体"/>
          <w:color w:val="auto"/>
          <w:kern w:val="1"/>
          <w:szCs w:val="21"/>
        </w:rPr>
      </w:pPr>
      <w:r>
        <w:rPr>
          <w:rFonts w:ascii="宋体" w:hAnsi="宋体" w:cs="宋体"/>
          <w:color w:val="auto"/>
          <w:kern w:val="1"/>
          <w:szCs w:val="21"/>
        </w:rPr>
        <w:t>发包人和承包人同意以下情形视为异常恶劣的气候条件</w:t>
      </w:r>
      <w:r>
        <w:rPr>
          <w:rFonts w:hint="eastAsia" w:ascii="宋体" w:hAnsi="宋体" w:cs="宋体"/>
          <w:color w:val="auto"/>
          <w:kern w:val="1"/>
          <w:szCs w:val="21"/>
        </w:rPr>
        <w:t>（以气象台记录为准）</w:t>
      </w:r>
      <w:r>
        <w:rPr>
          <w:rFonts w:ascii="宋体" w:hAnsi="宋体" w:cs="宋体"/>
          <w:color w:val="auto"/>
          <w:kern w:val="1"/>
          <w:szCs w:val="21"/>
        </w:rPr>
        <w:t>：</w:t>
      </w:r>
    </w:p>
    <w:p w14:paraId="379140B5">
      <w:pPr>
        <w:spacing w:line="360" w:lineRule="exact"/>
        <w:ind w:firstLine="420"/>
        <w:jc w:val="left"/>
        <w:rPr>
          <w:rFonts w:ascii="宋体" w:hAnsi="宋体" w:cs="宋体"/>
          <w:color w:val="auto"/>
          <w:kern w:val="1"/>
          <w:szCs w:val="21"/>
        </w:rPr>
      </w:pPr>
      <w:r>
        <w:rPr>
          <w:rFonts w:ascii="宋体" w:hAnsi="宋体" w:cs="宋体"/>
          <w:color w:val="auto"/>
          <w:kern w:val="1"/>
          <w:szCs w:val="21"/>
        </w:rPr>
        <w:t>（1）</w:t>
      </w:r>
      <w:r>
        <w:rPr>
          <w:rFonts w:hint="eastAsia" w:ascii="宋体" w:hAnsi="宋体" w:cs="宋体"/>
          <w:color w:val="auto"/>
          <w:kern w:val="1"/>
          <w:szCs w:val="21"/>
          <w:u w:val="single"/>
        </w:rPr>
        <w:t>零度以下低温天气</w:t>
      </w:r>
      <w:r>
        <w:rPr>
          <w:rFonts w:ascii="宋体" w:hAnsi="宋体" w:cs="宋体"/>
          <w:color w:val="auto"/>
          <w:kern w:val="1"/>
          <w:szCs w:val="21"/>
        </w:rPr>
        <w:t>；</w:t>
      </w:r>
    </w:p>
    <w:p w14:paraId="1939B391">
      <w:pPr>
        <w:spacing w:line="360" w:lineRule="exact"/>
        <w:ind w:firstLine="420"/>
        <w:jc w:val="left"/>
        <w:rPr>
          <w:rFonts w:ascii="宋体" w:hAnsi="宋体" w:cs="宋体"/>
          <w:color w:val="auto"/>
          <w:kern w:val="1"/>
          <w:szCs w:val="21"/>
        </w:rPr>
      </w:pPr>
      <w:r>
        <w:rPr>
          <w:rFonts w:ascii="宋体" w:hAnsi="宋体" w:cs="宋体"/>
          <w:color w:val="auto"/>
          <w:kern w:val="1"/>
          <w:szCs w:val="21"/>
        </w:rPr>
        <w:t>（2）</w:t>
      </w:r>
      <w:r>
        <w:rPr>
          <w:rFonts w:hint="eastAsia" w:ascii="宋体" w:hAnsi="宋体" w:cs="宋体"/>
          <w:color w:val="auto"/>
          <w:kern w:val="1"/>
          <w:szCs w:val="21"/>
          <w:u w:val="single"/>
        </w:rPr>
        <w:t>连续暴雨3天以上</w:t>
      </w:r>
      <w:r>
        <w:rPr>
          <w:rFonts w:ascii="宋体" w:hAnsi="宋体" w:cs="宋体"/>
          <w:color w:val="auto"/>
          <w:kern w:val="1"/>
          <w:szCs w:val="21"/>
        </w:rPr>
        <w:t>；</w:t>
      </w:r>
    </w:p>
    <w:p w14:paraId="49664859">
      <w:pPr>
        <w:spacing w:line="360" w:lineRule="exact"/>
        <w:ind w:firstLine="420"/>
        <w:jc w:val="left"/>
        <w:rPr>
          <w:rFonts w:ascii="宋体" w:hAnsi="宋体" w:cs="宋体"/>
          <w:color w:val="auto"/>
          <w:kern w:val="1"/>
          <w:szCs w:val="21"/>
        </w:rPr>
      </w:pPr>
      <w:r>
        <w:rPr>
          <w:rFonts w:ascii="宋体" w:hAnsi="宋体" w:cs="宋体"/>
          <w:color w:val="auto"/>
          <w:kern w:val="1"/>
          <w:szCs w:val="21"/>
        </w:rPr>
        <w:t>（3）</w:t>
      </w:r>
      <w:r>
        <w:rPr>
          <w:rFonts w:hint="eastAsia" w:ascii="宋体" w:hAnsi="宋体" w:cs="宋体"/>
          <w:color w:val="auto"/>
          <w:kern w:val="1"/>
          <w:szCs w:val="21"/>
          <w:u w:val="single"/>
        </w:rPr>
        <w:t>连续3天8级以上（含）大风</w:t>
      </w:r>
      <w:r>
        <w:rPr>
          <w:rFonts w:ascii="宋体" w:hAnsi="宋体" w:cs="宋体"/>
          <w:color w:val="auto"/>
          <w:kern w:val="1"/>
          <w:szCs w:val="21"/>
        </w:rPr>
        <w:t>。</w:t>
      </w:r>
    </w:p>
    <w:p w14:paraId="7FA8642F">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781" w:name="_Toc373227730"/>
      <w:bookmarkEnd w:id="781"/>
      <w:bookmarkStart w:id="782" w:name="_Toc373478377"/>
      <w:bookmarkEnd w:id="782"/>
      <w:bookmarkStart w:id="783" w:name="_Toc406054768"/>
      <w:bookmarkEnd w:id="783"/>
      <w:bookmarkStart w:id="784" w:name="_Toc18249"/>
      <w:bookmarkStart w:id="785" w:name="_Toc393"/>
      <w:bookmarkStart w:id="786" w:name="_Toc7501"/>
      <w:bookmarkStart w:id="787" w:name="_Toc8050"/>
      <w:bookmarkStart w:id="788" w:name="_Toc11556"/>
      <w:r>
        <w:rPr>
          <w:rFonts w:ascii="宋体" w:hAnsi="宋体" w:cs="宋体"/>
          <w:color w:val="auto"/>
          <w:sz w:val="21"/>
          <w:szCs w:val="21"/>
          <w:lang w:val="zh-CN"/>
        </w:rPr>
        <w:t>7.9 提前竣工的奖励</w:t>
      </w:r>
      <w:bookmarkEnd w:id="784"/>
      <w:bookmarkEnd w:id="785"/>
      <w:bookmarkEnd w:id="786"/>
      <w:bookmarkEnd w:id="787"/>
      <w:bookmarkEnd w:id="788"/>
    </w:p>
    <w:p w14:paraId="1FD0183F">
      <w:pPr>
        <w:spacing w:line="360" w:lineRule="exact"/>
        <w:ind w:firstLine="420"/>
        <w:jc w:val="left"/>
        <w:rPr>
          <w:rFonts w:ascii="宋体" w:hAnsi="宋体" w:cs="宋体"/>
          <w:color w:val="auto"/>
          <w:kern w:val="1"/>
          <w:szCs w:val="21"/>
        </w:rPr>
      </w:pPr>
      <w:r>
        <w:rPr>
          <w:rFonts w:ascii="宋体" w:hAnsi="宋体" w:cs="宋体"/>
          <w:color w:val="auto"/>
          <w:kern w:val="1"/>
          <w:szCs w:val="21"/>
        </w:rPr>
        <w:t>7.9.2提前竣工的奖励：</w:t>
      </w:r>
      <w:r>
        <w:rPr>
          <w:rFonts w:hint="eastAsia" w:ascii="宋体" w:hAnsi="宋体" w:cs="宋体"/>
          <w:color w:val="auto"/>
          <w:kern w:val="1"/>
          <w:szCs w:val="21"/>
          <w:u w:val="single"/>
        </w:rPr>
        <w:t>无（如有则另签订补充协议）</w:t>
      </w:r>
      <w:r>
        <w:rPr>
          <w:rFonts w:ascii="宋体" w:hAnsi="宋体" w:cs="宋体"/>
          <w:color w:val="auto"/>
          <w:kern w:val="1"/>
          <w:szCs w:val="21"/>
        </w:rPr>
        <w:t>。</w:t>
      </w:r>
    </w:p>
    <w:p w14:paraId="5E89FAC6">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789" w:name="_Toc373478378"/>
      <w:bookmarkEnd w:id="789"/>
      <w:bookmarkStart w:id="790" w:name="_Toc373227731"/>
      <w:bookmarkEnd w:id="790"/>
      <w:bookmarkStart w:id="791" w:name="_Toc406054769"/>
      <w:bookmarkEnd w:id="791"/>
      <w:bookmarkStart w:id="792" w:name="_Toc22364"/>
      <w:bookmarkStart w:id="793" w:name="_Toc12611"/>
      <w:bookmarkStart w:id="794" w:name="_Toc4052"/>
      <w:bookmarkStart w:id="795" w:name="_Toc28958"/>
      <w:bookmarkStart w:id="796" w:name="_Toc24475"/>
      <w:r>
        <w:rPr>
          <w:rFonts w:ascii="宋体" w:hAnsi="宋体" w:cs="宋体"/>
          <w:color w:val="auto"/>
          <w:sz w:val="21"/>
          <w:szCs w:val="21"/>
          <w:lang w:val="zh-CN"/>
        </w:rPr>
        <w:t>8. 材料与设备</w:t>
      </w:r>
      <w:bookmarkEnd w:id="792"/>
      <w:bookmarkEnd w:id="793"/>
      <w:bookmarkEnd w:id="794"/>
      <w:bookmarkEnd w:id="795"/>
      <w:bookmarkEnd w:id="796"/>
    </w:p>
    <w:p w14:paraId="6B2E9BA5">
      <w:pPr>
        <w:pStyle w:val="2"/>
        <w:keepNext w:val="0"/>
        <w:keepLines/>
        <w:pageBreakBefore w:val="0"/>
        <w:widowControl w:val="0"/>
        <w:kinsoku/>
        <w:wordWrap/>
        <w:overflowPunct/>
        <w:topLinePunct w:val="0"/>
        <w:autoSpaceDE/>
        <w:autoSpaceDN/>
        <w:bidi w:val="0"/>
        <w:adjustRightInd/>
        <w:snapToGrid/>
        <w:spacing w:line="260" w:lineRule="exact"/>
        <w:textAlignment w:val="auto"/>
        <w:rPr>
          <w:rFonts w:ascii="宋体" w:hAnsi="宋体" w:cs="宋体"/>
          <w:color w:val="auto"/>
          <w:sz w:val="21"/>
          <w:szCs w:val="21"/>
          <w:lang w:val="zh-CN"/>
        </w:rPr>
      </w:pPr>
      <w:bookmarkStart w:id="797" w:name="_Toc406054770"/>
      <w:bookmarkEnd w:id="797"/>
      <w:bookmarkStart w:id="798" w:name="_Toc373478379"/>
      <w:bookmarkEnd w:id="798"/>
      <w:bookmarkStart w:id="799" w:name="_Toc373227732"/>
      <w:bookmarkEnd w:id="799"/>
      <w:bookmarkStart w:id="800" w:name="_Toc25793"/>
      <w:bookmarkStart w:id="801" w:name="_Toc18865"/>
      <w:bookmarkStart w:id="802" w:name="_Toc3518"/>
      <w:bookmarkStart w:id="803" w:name="_Toc4157"/>
      <w:bookmarkStart w:id="804" w:name="_Toc21090"/>
      <w:r>
        <w:rPr>
          <w:rFonts w:ascii="宋体" w:hAnsi="宋体" w:cs="宋体"/>
          <w:color w:val="auto"/>
          <w:sz w:val="21"/>
          <w:szCs w:val="21"/>
          <w:lang w:val="zh-CN"/>
        </w:rPr>
        <w:t>8.2承包人采购材料与工程设备</w:t>
      </w:r>
      <w:bookmarkEnd w:id="800"/>
      <w:bookmarkEnd w:id="801"/>
      <w:bookmarkEnd w:id="802"/>
      <w:bookmarkEnd w:id="803"/>
      <w:bookmarkEnd w:id="804"/>
    </w:p>
    <w:p w14:paraId="097087A2">
      <w:pPr>
        <w:pStyle w:val="171"/>
        <w:widowControl w:val="0"/>
        <w:shd w:val="clear" w:color="000000" w:fill="FFFFFF"/>
        <w:spacing w:before="0" w:beforeAutospacing="0" w:after="0" w:afterAutospacing="0" w:line="360" w:lineRule="exact"/>
        <w:ind w:firstLine="420"/>
        <w:rPr>
          <w:rFonts w:cs="Times New Roman"/>
          <w:color w:val="auto"/>
          <w:sz w:val="21"/>
          <w:szCs w:val="21"/>
        </w:rPr>
      </w:pPr>
      <w:r>
        <w:rPr>
          <w:rFonts w:cs="Times New Roman"/>
          <w:color w:val="auto"/>
          <w:sz w:val="21"/>
          <w:szCs w:val="21"/>
        </w:rPr>
        <w:t>除专用合同条款的附件《发包人供应材料设备一览表》中明确的材料、工程设备外，由承包人负责材料和工程设备的采购、运输和保管。</w:t>
      </w:r>
    </w:p>
    <w:p w14:paraId="5E8AD3E6">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805" w:name="_Toc373478380"/>
      <w:bookmarkEnd w:id="805"/>
      <w:bookmarkStart w:id="806" w:name="_Toc406054771"/>
      <w:bookmarkEnd w:id="806"/>
      <w:bookmarkStart w:id="807" w:name="_Toc373227733"/>
      <w:bookmarkEnd w:id="807"/>
      <w:bookmarkStart w:id="808" w:name="_Toc18019"/>
      <w:bookmarkStart w:id="809" w:name="_Toc14994"/>
      <w:bookmarkStart w:id="810" w:name="_Toc4068"/>
      <w:bookmarkStart w:id="811" w:name="_Toc19461"/>
      <w:bookmarkStart w:id="812" w:name="_Toc23727"/>
      <w:r>
        <w:rPr>
          <w:rFonts w:ascii="宋体" w:hAnsi="宋体" w:cs="宋体"/>
          <w:color w:val="auto"/>
          <w:sz w:val="21"/>
          <w:szCs w:val="21"/>
          <w:lang w:val="zh-CN"/>
        </w:rPr>
        <w:t>8.4材料与工程设备的保管与使用</w:t>
      </w:r>
      <w:bookmarkEnd w:id="808"/>
      <w:bookmarkEnd w:id="809"/>
      <w:bookmarkEnd w:id="810"/>
      <w:bookmarkEnd w:id="811"/>
      <w:bookmarkEnd w:id="812"/>
    </w:p>
    <w:p w14:paraId="31508545">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8.4.1发包人供应的材料设备的保管费用的承担：</w:t>
      </w:r>
      <w:r>
        <w:rPr>
          <w:rFonts w:hint="eastAsia" w:ascii="宋体" w:hAnsi="宋体" w:cs="宋体"/>
          <w:color w:val="auto"/>
          <w:kern w:val="1"/>
          <w:szCs w:val="21"/>
          <w:u w:val="single"/>
        </w:rPr>
        <w:t>由承包人承担</w:t>
      </w:r>
      <w:r>
        <w:rPr>
          <w:rFonts w:ascii="宋体" w:hAnsi="宋体" w:cs="宋体"/>
          <w:color w:val="auto"/>
          <w:kern w:val="1"/>
          <w:szCs w:val="21"/>
        </w:rPr>
        <w:t>。</w:t>
      </w:r>
    </w:p>
    <w:p w14:paraId="6AF3C06C">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813" w:name="_Toc406054772"/>
      <w:bookmarkEnd w:id="813"/>
      <w:bookmarkStart w:id="814" w:name="_Toc373478381"/>
      <w:bookmarkEnd w:id="814"/>
      <w:bookmarkStart w:id="815" w:name="_Toc373227734"/>
      <w:bookmarkEnd w:id="815"/>
      <w:bookmarkStart w:id="816" w:name="_Toc22475"/>
      <w:bookmarkStart w:id="817" w:name="_Toc28277"/>
      <w:bookmarkStart w:id="818" w:name="_Toc25461"/>
      <w:bookmarkStart w:id="819" w:name="_Toc32707"/>
      <w:bookmarkStart w:id="820" w:name="_Toc30924"/>
      <w:r>
        <w:rPr>
          <w:rFonts w:ascii="宋体" w:hAnsi="宋体" w:cs="宋体"/>
          <w:color w:val="auto"/>
          <w:sz w:val="21"/>
          <w:szCs w:val="21"/>
          <w:lang w:val="zh-CN"/>
        </w:rPr>
        <w:t>8.6 样品</w:t>
      </w:r>
      <w:bookmarkEnd w:id="816"/>
      <w:bookmarkEnd w:id="817"/>
      <w:bookmarkEnd w:id="818"/>
      <w:bookmarkEnd w:id="819"/>
      <w:bookmarkEnd w:id="820"/>
    </w:p>
    <w:p w14:paraId="381BDFF6">
      <w:pPr>
        <w:spacing w:line="360" w:lineRule="exact"/>
        <w:ind w:firstLine="420"/>
        <w:jc w:val="left"/>
        <w:rPr>
          <w:rFonts w:ascii="宋体" w:hAnsi="宋体" w:cs="宋体"/>
          <w:color w:val="auto"/>
          <w:kern w:val="1"/>
          <w:szCs w:val="21"/>
        </w:rPr>
      </w:pPr>
      <w:r>
        <w:rPr>
          <w:rFonts w:ascii="宋体" w:hAnsi="宋体" w:cs="宋体"/>
          <w:color w:val="auto"/>
          <w:kern w:val="1"/>
          <w:szCs w:val="21"/>
        </w:rPr>
        <w:t>8.6.1样品的报送与封存</w:t>
      </w:r>
    </w:p>
    <w:p w14:paraId="3EDAEC96">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需要承包人报送样品的材料或工程设备，样品的种类、名称、规格、数量要求：</w:t>
      </w:r>
      <w:r>
        <w:rPr>
          <w:rFonts w:ascii="宋体" w:hAnsi="宋体" w:cs="宋体"/>
          <w:color w:val="auto"/>
          <w:kern w:val="1"/>
          <w:szCs w:val="21"/>
          <w:u w:val="single"/>
        </w:rPr>
        <w:t>主要材料涉及品种、款式、颜色等方面内容的，承包人应提交准备合格的材料样品送发包人选定。</w:t>
      </w:r>
    </w:p>
    <w:p w14:paraId="762332C9">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821" w:name="_Toc373478382"/>
      <w:bookmarkEnd w:id="821"/>
      <w:bookmarkStart w:id="822" w:name="_Toc373227735"/>
      <w:bookmarkEnd w:id="822"/>
      <w:bookmarkStart w:id="823" w:name="_Toc406054773"/>
      <w:bookmarkEnd w:id="823"/>
      <w:bookmarkStart w:id="824" w:name="_Toc29813"/>
      <w:bookmarkStart w:id="825" w:name="_Toc1435"/>
      <w:bookmarkStart w:id="826" w:name="_Toc23908"/>
      <w:bookmarkStart w:id="827" w:name="_Toc23386"/>
      <w:bookmarkStart w:id="828" w:name="_Toc1708"/>
      <w:r>
        <w:rPr>
          <w:rFonts w:ascii="宋体" w:hAnsi="宋体" w:cs="宋体"/>
          <w:color w:val="auto"/>
          <w:sz w:val="21"/>
          <w:szCs w:val="21"/>
          <w:lang w:val="zh-CN"/>
        </w:rPr>
        <w:t>8.8 施工设备和临时设施</w:t>
      </w:r>
      <w:bookmarkEnd w:id="824"/>
      <w:bookmarkEnd w:id="825"/>
      <w:bookmarkEnd w:id="826"/>
      <w:bookmarkEnd w:id="827"/>
      <w:bookmarkEnd w:id="828"/>
    </w:p>
    <w:p w14:paraId="421F28C9">
      <w:pPr>
        <w:spacing w:line="360" w:lineRule="exact"/>
        <w:ind w:firstLine="420"/>
        <w:jc w:val="left"/>
        <w:rPr>
          <w:rFonts w:ascii="宋体" w:hAnsi="宋体" w:cs="宋体"/>
          <w:color w:val="auto"/>
          <w:kern w:val="1"/>
          <w:szCs w:val="21"/>
        </w:rPr>
      </w:pPr>
      <w:r>
        <w:rPr>
          <w:rFonts w:ascii="宋体" w:hAnsi="宋体" w:cs="宋体"/>
          <w:color w:val="auto"/>
          <w:kern w:val="1"/>
          <w:szCs w:val="21"/>
        </w:rPr>
        <w:t>8.8.1 承包人提供的施工设备和临时设施</w:t>
      </w:r>
    </w:p>
    <w:p w14:paraId="4783E3B9">
      <w:pPr>
        <w:spacing w:line="360" w:lineRule="exact"/>
        <w:ind w:firstLine="420"/>
        <w:jc w:val="left"/>
        <w:rPr>
          <w:rFonts w:ascii="宋体" w:hAnsi="宋体" w:cs="宋体"/>
          <w:color w:val="auto"/>
          <w:kern w:val="1"/>
          <w:szCs w:val="21"/>
        </w:rPr>
      </w:pPr>
      <w:r>
        <w:rPr>
          <w:rFonts w:ascii="宋体" w:hAnsi="宋体" w:cs="宋体"/>
          <w:color w:val="auto"/>
          <w:kern w:val="1"/>
          <w:szCs w:val="21"/>
        </w:rPr>
        <w:t>除专用合同条款另有约定的其他独立承包人和监理人指示的他人提供条件外，承包人运入施工场地的所有施工设备以及在施工场地建设的临时设施仅限于用于合同工程。</w:t>
      </w:r>
    </w:p>
    <w:p w14:paraId="563D7EE9">
      <w:pPr>
        <w:spacing w:line="360" w:lineRule="exact"/>
        <w:ind w:firstLine="420"/>
        <w:jc w:val="left"/>
        <w:rPr>
          <w:rFonts w:ascii="宋体" w:hAnsi="宋体" w:cs="宋体"/>
          <w:color w:val="auto"/>
          <w:kern w:val="1"/>
          <w:szCs w:val="21"/>
        </w:rPr>
      </w:pPr>
      <w:r>
        <w:rPr>
          <w:rFonts w:ascii="宋体" w:hAnsi="宋体" w:cs="宋体"/>
          <w:color w:val="auto"/>
          <w:kern w:val="1"/>
          <w:szCs w:val="21"/>
        </w:rPr>
        <w:t>关于修建临时设施费用承担的约定：</w:t>
      </w:r>
    </w:p>
    <w:p w14:paraId="15E445A2">
      <w:pPr>
        <w:spacing w:line="360" w:lineRule="exact"/>
        <w:ind w:firstLine="420"/>
        <w:jc w:val="left"/>
        <w:rPr>
          <w:rFonts w:ascii="宋体" w:hAnsi="宋体" w:cs="宋体"/>
          <w:color w:val="auto"/>
          <w:kern w:val="1"/>
          <w:szCs w:val="21"/>
          <w:u w:val="single"/>
        </w:rPr>
      </w:pPr>
      <w:r>
        <w:rPr>
          <w:rFonts w:ascii="宋体" w:hAnsi="宋体" w:cs="宋体"/>
          <w:color w:val="auto"/>
          <w:kern w:val="1"/>
          <w:szCs w:val="21"/>
          <w:u w:val="single"/>
        </w:rPr>
        <w:t>①承包人的临时用地（含项目部驻地等）租用费（含拆迁补偿）、临时用地的环保、恢复、临时用地的青苗补偿及地面附着物拆除等费用均由承包人负责，以上费用在投标报价中综合考虑。</w:t>
      </w:r>
    </w:p>
    <w:p w14:paraId="64EAB113">
      <w:pPr>
        <w:spacing w:line="360" w:lineRule="exact"/>
        <w:ind w:firstLine="420"/>
        <w:jc w:val="left"/>
        <w:rPr>
          <w:rFonts w:ascii="宋体" w:hAnsi="宋体" w:cs="宋体"/>
          <w:color w:val="auto"/>
          <w:kern w:val="1"/>
          <w:szCs w:val="21"/>
          <w:u w:val="single"/>
        </w:rPr>
      </w:pPr>
      <w:r>
        <w:rPr>
          <w:rFonts w:ascii="宋体" w:hAnsi="宋体" w:cs="宋体"/>
          <w:color w:val="auto"/>
          <w:kern w:val="1"/>
          <w:szCs w:val="21"/>
          <w:u w:val="single"/>
        </w:rPr>
        <w:t>②承包人负责合同实施期间其合同段内临时交通道路（含场内外连接公共交通道路）和交通设施的修建、维修、养护和交通管理工作，并承担一切费用。</w:t>
      </w:r>
    </w:p>
    <w:p w14:paraId="203BE3A0">
      <w:pPr>
        <w:spacing w:line="360" w:lineRule="exact"/>
        <w:ind w:firstLine="420"/>
        <w:jc w:val="left"/>
        <w:rPr>
          <w:rFonts w:ascii="宋体" w:hAnsi="宋体" w:cs="宋体"/>
          <w:color w:val="auto"/>
          <w:kern w:val="1"/>
          <w:szCs w:val="21"/>
          <w:u w:val="single"/>
        </w:rPr>
      </w:pPr>
      <w:r>
        <w:rPr>
          <w:rFonts w:ascii="宋体" w:hAnsi="宋体" w:cs="宋体"/>
          <w:color w:val="auto"/>
          <w:kern w:val="1"/>
          <w:szCs w:val="21"/>
          <w:u w:val="single"/>
        </w:rPr>
        <w:t>③承包人修建的临时道路和交通设施，应免费提供给发包人、监理工程师和其他合同段的承包人使用。</w:t>
      </w:r>
    </w:p>
    <w:p w14:paraId="36490B69">
      <w:pPr>
        <w:spacing w:line="360" w:lineRule="exact"/>
        <w:ind w:firstLine="420"/>
        <w:jc w:val="left"/>
        <w:rPr>
          <w:rFonts w:ascii="宋体" w:hAnsi="宋体" w:cs="宋体"/>
          <w:color w:val="auto"/>
          <w:kern w:val="1"/>
          <w:szCs w:val="21"/>
        </w:rPr>
      </w:pPr>
      <w:r>
        <w:rPr>
          <w:rFonts w:ascii="宋体" w:hAnsi="宋体" w:cs="宋体"/>
          <w:color w:val="auto"/>
          <w:kern w:val="1"/>
          <w:szCs w:val="21"/>
        </w:rPr>
        <w:t>8.8.2 发包人提供的施工设备和临时设施</w:t>
      </w:r>
    </w:p>
    <w:p w14:paraId="6F8B8B6D">
      <w:pPr>
        <w:spacing w:line="360" w:lineRule="exact"/>
        <w:ind w:firstLine="420"/>
        <w:jc w:val="left"/>
        <w:rPr>
          <w:rFonts w:ascii="宋体" w:hAnsi="宋体" w:cs="宋体"/>
          <w:color w:val="auto"/>
          <w:kern w:val="1"/>
          <w:szCs w:val="21"/>
        </w:rPr>
      </w:pPr>
      <w:r>
        <w:rPr>
          <w:rFonts w:ascii="宋体" w:hAnsi="宋体" w:cs="宋体"/>
          <w:color w:val="auto"/>
          <w:kern w:val="1"/>
          <w:szCs w:val="21"/>
        </w:rPr>
        <w:t>发包人提供的施工设备和临时设施：</w:t>
      </w:r>
      <w:r>
        <w:rPr>
          <w:rFonts w:hint="eastAsia" w:ascii="宋体" w:hAnsi="宋体" w:cs="宋体"/>
          <w:color w:val="auto"/>
          <w:kern w:val="1"/>
          <w:szCs w:val="21"/>
          <w:u w:val="single"/>
        </w:rPr>
        <w:t>无</w:t>
      </w:r>
      <w:r>
        <w:rPr>
          <w:rFonts w:ascii="宋体" w:hAnsi="宋体" w:cs="宋体"/>
          <w:color w:val="auto"/>
          <w:kern w:val="1"/>
          <w:szCs w:val="21"/>
        </w:rPr>
        <w:t>。</w:t>
      </w:r>
    </w:p>
    <w:p w14:paraId="0E248911">
      <w:pPr>
        <w:spacing w:line="360" w:lineRule="exact"/>
        <w:ind w:firstLine="420"/>
        <w:jc w:val="left"/>
        <w:rPr>
          <w:rFonts w:ascii="宋体" w:hAnsi="宋体" w:cs="宋体"/>
          <w:color w:val="auto"/>
          <w:kern w:val="1"/>
          <w:szCs w:val="21"/>
        </w:rPr>
      </w:pPr>
      <w:r>
        <w:rPr>
          <w:rFonts w:ascii="宋体" w:hAnsi="宋体" w:cs="宋体"/>
          <w:color w:val="auto"/>
          <w:kern w:val="1"/>
          <w:szCs w:val="21"/>
        </w:rPr>
        <w:t>发包人提供的施工设备和临时设施的运行、维护、拆除、清运费用的承担人：</w:t>
      </w:r>
      <w:r>
        <w:rPr>
          <w:rFonts w:hint="eastAsia" w:ascii="宋体" w:hAnsi="宋体" w:cs="宋体"/>
          <w:color w:val="auto"/>
          <w:kern w:val="1"/>
          <w:szCs w:val="21"/>
          <w:u w:val="single"/>
        </w:rPr>
        <w:t xml:space="preserve"> 无  </w:t>
      </w:r>
      <w:r>
        <w:rPr>
          <w:rFonts w:ascii="宋体" w:hAnsi="宋体" w:cs="宋体"/>
          <w:color w:val="auto"/>
          <w:kern w:val="1"/>
          <w:szCs w:val="21"/>
        </w:rPr>
        <w:t>。</w:t>
      </w:r>
    </w:p>
    <w:p w14:paraId="4072947F">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829" w:name="_Toc373478383"/>
      <w:bookmarkEnd w:id="829"/>
      <w:bookmarkStart w:id="830" w:name="_Toc373227736"/>
      <w:bookmarkEnd w:id="830"/>
      <w:bookmarkStart w:id="831" w:name="_Toc406054774"/>
      <w:bookmarkEnd w:id="831"/>
      <w:bookmarkStart w:id="832" w:name="_Toc26937"/>
      <w:bookmarkStart w:id="833" w:name="_Toc25548"/>
      <w:bookmarkStart w:id="834" w:name="_Toc12546"/>
      <w:bookmarkStart w:id="835" w:name="_Toc19929"/>
      <w:bookmarkStart w:id="836" w:name="_Toc32593"/>
      <w:r>
        <w:rPr>
          <w:rFonts w:ascii="宋体" w:hAnsi="宋体" w:cs="宋体"/>
          <w:color w:val="auto"/>
          <w:sz w:val="21"/>
          <w:szCs w:val="21"/>
          <w:lang w:val="zh-CN"/>
        </w:rPr>
        <w:t>9. 试验与检验</w:t>
      </w:r>
      <w:bookmarkEnd w:id="832"/>
      <w:bookmarkEnd w:id="833"/>
      <w:bookmarkEnd w:id="834"/>
      <w:bookmarkEnd w:id="835"/>
      <w:bookmarkEnd w:id="836"/>
    </w:p>
    <w:p w14:paraId="0C826245">
      <w:pPr>
        <w:pStyle w:val="2"/>
        <w:keepNext w:val="0"/>
        <w:spacing w:line="360" w:lineRule="exact"/>
        <w:rPr>
          <w:rFonts w:ascii="宋体" w:hAnsi="宋体" w:cs="宋体"/>
          <w:color w:val="auto"/>
          <w:sz w:val="21"/>
          <w:szCs w:val="21"/>
          <w:lang w:val="zh-CN"/>
        </w:rPr>
      </w:pPr>
      <w:bookmarkStart w:id="837" w:name="_Toc406054775"/>
      <w:bookmarkEnd w:id="837"/>
      <w:bookmarkStart w:id="838" w:name="_Toc373227737"/>
      <w:bookmarkEnd w:id="838"/>
      <w:bookmarkStart w:id="839" w:name="_Toc373478384"/>
      <w:bookmarkEnd w:id="839"/>
      <w:bookmarkStart w:id="840" w:name="_Toc22713"/>
      <w:bookmarkStart w:id="841" w:name="_Toc27989"/>
      <w:bookmarkStart w:id="842" w:name="_Toc31428"/>
      <w:bookmarkStart w:id="843" w:name="_Toc7791"/>
      <w:bookmarkStart w:id="844" w:name="_Toc3688"/>
      <w:r>
        <w:rPr>
          <w:rFonts w:ascii="宋体" w:hAnsi="宋体" w:cs="宋体"/>
          <w:color w:val="auto"/>
          <w:sz w:val="21"/>
          <w:szCs w:val="21"/>
          <w:lang w:val="zh-CN"/>
        </w:rPr>
        <w:t>9.1试验设备与试验人员</w:t>
      </w:r>
      <w:bookmarkEnd w:id="840"/>
      <w:bookmarkEnd w:id="841"/>
      <w:bookmarkEnd w:id="842"/>
      <w:bookmarkEnd w:id="843"/>
      <w:bookmarkEnd w:id="844"/>
    </w:p>
    <w:p w14:paraId="252428EB">
      <w:pPr>
        <w:spacing w:line="360" w:lineRule="exact"/>
        <w:jc w:val="left"/>
        <w:rPr>
          <w:rFonts w:ascii="宋体" w:hAnsi="宋体" w:cs="宋体"/>
          <w:color w:val="auto"/>
          <w:kern w:val="1"/>
          <w:szCs w:val="21"/>
        </w:rPr>
      </w:pPr>
      <w:r>
        <w:rPr>
          <w:rFonts w:ascii="宋体" w:hAnsi="宋体" w:cs="宋体"/>
          <w:color w:val="auto"/>
          <w:kern w:val="1"/>
          <w:szCs w:val="21"/>
        </w:rPr>
        <w:t>9</w:t>
      </w:r>
      <w:bookmarkStart w:id="845" w:name="_Toc297216194"/>
      <w:bookmarkEnd w:id="845"/>
      <w:bookmarkStart w:id="846" w:name="_Toc303539141"/>
      <w:bookmarkEnd w:id="846"/>
      <w:bookmarkStart w:id="847" w:name="_Toc312678023"/>
      <w:bookmarkEnd w:id="847"/>
      <w:bookmarkStart w:id="848" w:name="_Toc297123535"/>
      <w:bookmarkEnd w:id="848"/>
      <w:bookmarkStart w:id="849" w:name="_Toc300934984"/>
      <w:bookmarkEnd w:id="849"/>
      <w:bookmarkStart w:id="850" w:name="_Toc304295561"/>
      <w:bookmarkEnd w:id="850"/>
      <w:bookmarkStart w:id="851" w:name="_Toc312677497"/>
      <w:bookmarkEnd w:id="851"/>
      <w:r>
        <w:rPr>
          <w:rFonts w:ascii="宋体" w:hAnsi="宋体" w:cs="宋体"/>
          <w:color w:val="auto"/>
          <w:kern w:val="1"/>
          <w:szCs w:val="21"/>
        </w:rPr>
        <w:t>.1.2 试验设备</w:t>
      </w:r>
    </w:p>
    <w:p w14:paraId="6B1A294D">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施工现场需要配置的试验场所：</w:t>
      </w:r>
      <w:r>
        <w:rPr>
          <w:rFonts w:hint="eastAsia" w:ascii="宋体" w:hAnsi="宋体" w:cs="宋体"/>
          <w:color w:val="auto"/>
          <w:kern w:val="1"/>
          <w:szCs w:val="21"/>
          <w:u w:val="single"/>
        </w:rPr>
        <w:t>无</w:t>
      </w:r>
      <w:r>
        <w:rPr>
          <w:rFonts w:ascii="宋体" w:hAnsi="宋体" w:cs="宋体"/>
          <w:color w:val="auto"/>
          <w:kern w:val="1"/>
          <w:szCs w:val="21"/>
        </w:rPr>
        <w:t>。</w:t>
      </w:r>
    </w:p>
    <w:p w14:paraId="1F59E42C">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施工现场需要配备的试验设备：</w:t>
      </w:r>
      <w:r>
        <w:rPr>
          <w:rFonts w:hint="eastAsia" w:ascii="宋体" w:hAnsi="宋体" w:cs="宋体"/>
          <w:color w:val="auto"/>
          <w:kern w:val="1"/>
          <w:szCs w:val="21"/>
          <w:u w:val="single"/>
        </w:rPr>
        <w:t>无</w:t>
      </w:r>
      <w:r>
        <w:rPr>
          <w:rFonts w:ascii="宋体" w:hAnsi="宋体" w:cs="宋体"/>
          <w:color w:val="auto"/>
          <w:kern w:val="1"/>
          <w:szCs w:val="21"/>
        </w:rPr>
        <w:t>。</w:t>
      </w:r>
    </w:p>
    <w:p w14:paraId="659A58F6">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施工现场需要具备的其他试验条件：</w:t>
      </w:r>
      <w:r>
        <w:rPr>
          <w:rFonts w:hint="eastAsia" w:ascii="宋体" w:hAnsi="宋体" w:cs="宋体"/>
          <w:color w:val="auto"/>
          <w:kern w:val="1"/>
          <w:szCs w:val="21"/>
          <w:u w:val="single"/>
        </w:rPr>
        <w:t>无</w:t>
      </w:r>
      <w:r>
        <w:rPr>
          <w:rFonts w:ascii="宋体" w:hAnsi="宋体" w:cs="宋体"/>
          <w:color w:val="auto"/>
          <w:kern w:val="1"/>
          <w:szCs w:val="21"/>
        </w:rPr>
        <w:t>。</w:t>
      </w:r>
    </w:p>
    <w:p w14:paraId="4883E2B5">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852" w:name="_Toc373227738"/>
      <w:bookmarkEnd w:id="852"/>
      <w:bookmarkStart w:id="853" w:name="_Toc406054776"/>
      <w:bookmarkEnd w:id="853"/>
      <w:bookmarkStart w:id="854" w:name="_Toc373478385"/>
      <w:bookmarkEnd w:id="854"/>
      <w:bookmarkStart w:id="855" w:name="_Toc13242"/>
      <w:bookmarkStart w:id="856" w:name="_Toc10530"/>
      <w:bookmarkStart w:id="857" w:name="_Toc17791"/>
      <w:bookmarkStart w:id="858" w:name="_Toc2434"/>
      <w:bookmarkStart w:id="859" w:name="_Toc31358"/>
      <w:r>
        <w:rPr>
          <w:rFonts w:ascii="宋体" w:hAnsi="宋体" w:cs="宋体"/>
          <w:color w:val="auto"/>
          <w:sz w:val="21"/>
          <w:szCs w:val="21"/>
          <w:lang w:val="zh-CN"/>
        </w:rPr>
        <w:t>9.4 现场工艺试验</w:t>
      </w:r>
      <w:bookmarkEnd w:id="855"/>
      <w:bookmarkEnd w:id="856"/>
      <w:bookmarkEnd w:id="857"/>
      <w:bookmarkEnd w:id="858"/>
      <w:bookmarkEnd w:id="859"/>
    </w:p>
    <w:p w14:paraId="713A2D71">
      <w:pPr>
        <w:spacing w:line="360" w:lineRule="exact"/>
        <w:ind w:firstLine="420"/>
        <w:jc w:val="left"/>
        <w:rPr>
          <w:rFonts w:ascii="宋体" w:hAnsi="宋体" w:cs="宋体"/>
          <w:color w:val="auto"/>
          <w:kern w:val="1"/>
          <w:szCs w:val="21"/>
        </w:rPr>
      </w:pPr>
      <w:r>
        <w:rPr>
          <w:rFonts w:ascii="宋体" w:hAnsi="宋体" w:cs="宋体"/>
          <w:color w:val="auto"/>
          <w:kern w:val="1"/>
          <w:szCs w:val="21"/>
        </w:rPr>
        <w:t>现场工艺试验的有关约定：</w:t>
      </w:r>
      <w:r>
        <w:rPr>
          <w:rFonts w:hint="eastAsia" w:ascii="宋体" w:hAnsi="宋体" w:cs="宋体"/>
          <w:color w:val="auto"/>
          <w:kern w:val="1"/>
          <w:szCs w:val="21"/>
          <w:u w:val="single"/>
        </w:rPr>
        <w:t>无</w:t>
      </w:r>
      <w:r>
        <w:rPr>
          <w:rFonts w:ascii="宋体" w:hAnsi="宋体" w:cs="宋体"/>
          <w:color w:val="auto"/>
          <w:kern w:val="1"/>
          <w:szCs w:val="21"/>
        </w:rPr>
        <w:t>。</w:t>
      </w:r>
    </w:p>
    <w:p w14:paraId="6BACDE0A">
      <w:pPr>
        <w:spacing w:line="360" w:lineRule="exact"/>
        <w:jc w:val="left"/>
        <w:rPr>
          <w:rFonts w:ascii="宋体" w:hAnsi="宋体" w:cs="宋体"/>
          <w:color w:val="auto"/>
          <w:kern w:val="1"/>
          <w:szCs w:val="21"/>
        </w:rPr>
      </w:pPr>
      <w:bookmarkStart w:id="860" w:name="OLE_LINK1"/>
      <w:bookmarkEnd w:id="860"/>
      <w:r>
        <w:rPr>
          <w:rFonts w:ascii="宋体" w:hAnsi="宋体" w:cs="宋体"/>
          <w:b/>
          <w:color w:val="auto"/>
          <w:kern w:val="1"/>
          <w:szCs w:val="21"/>
        </w:rPr>
        <w:t>9.5 检验费用</w:t>
      </w:r>
    </w:p>
    <w:p w14:paraId="7DDDB679">
      <w:pPr>
        <w:spacing w:line="360" w:lineRule="exact"/>
        <w:ind w:firstLine="412"/>
        <w:rPr>
          <w:rFonts w:ascii="宋体" w:hAnsi="宋体" w:cs="宋体"/>
          <w:color w:val="auto"/>
          <w:kern w:val="1"/>
          <w:szCs w:val="21"/>
        </w:rPr>
      </w:pPr>
      <w:r>
        <w:rPr>
          <w:rFonts w:ascii="宋体" w:hAnsi="宋体" w:cs="宋体"/>
          <w:color w:val="auto"/>
          <w:kern w:val="1"/>
          <w:szCs w:val="21"/>
        </w:rPr>
        <w:t>根据《建设工程质量检测管理办法》（建设部令第141号）以及</w:t>
      </w:r>
      <w:r>
        <w:rPr>
          <w:rFonts w:ascii="宋体" w:hAnsi="宋体" w:cs="宋体"/>
          <w:bCs/>
          <w:color w:val="auto"/>
          <w:kern w:val="1"/>
          <w:szCs w:val="21"/>
        </w:rPr>
        <w:t>《广西壮族自治区建设工程质量检测管理规定》</w:t>
      </w:r>
      <w:r>
        <w:rPr>
          <w:rFonts w:hint="eastAsia" w:ascii="宋体" w:hAnsi="宋体" w:cs="宋体"/>
          <w:bCs/>
          <w:color w:val="auto"/>
          <w:kern w:val="1"/>
          <w:szCs w:val="21"/>
        </w:rPr>
        <w:t>（</w:t>
      </w:r>
      <w:r>
        <w:rPr>
          <w:rFonts w:ascii="宋体" w:hAnsi="宋体" w:cs="宋体"/>
          <w:bCs/>
          <w:color w:val="auto"/>
          <w:kern w:val="1"/>
          <w:szCs w:val="21"/>
        </w:rPr>
        <w:t>桂建管</w:t>
      </w:r>
      <w:r>
        <w:rPr>
          <w:rFonts w:hint="eastAsia" w:ascii="宋体" w:hAnsi="宋体" w:cs="宋体"/>
          <w:bCs/>
          <w:color w:val="auto"/>
          <w:kern w:val="1"/>
          <w:szCs w:val="21"/>
        </w:rPr>
        <w:t>〔</w:t>
      </w:r>
      <w:r>
        <w:rPr>
          <w:rFonts w:ascii="宋体" w:hAnsi="宋体" w:cs="宋体"/>
          <w:bCs/>
          <w:color w:val="auto"/>
          <w:kern w:val="1"/>
          <w:szCs w:val="21"/>
        </w:rPr>
        <w:t>2013</w:t>
      </w:r>
      <w:r>
        <w:rPr>
          <w:rFonts w:hint="eastAsia" w:ascii="宋体" w:hAnsi="宋体" w:cs="宋体"/>
          <w:bCs/>
          <w:color w:val="auto"/>
          <w:kern w:val="1"/>
          <w:szCs w:val="21"/>
        </w:rPr>
        <w:t>〕</w:t>
      </w:r>
      <w:r>
        <w:rPr>
          <w:rFonts w:ascii="宋体" w:hAnsi="宋体" w:cs="宋体"/>
          <w:bCs/>
          <w:color w:val="auto"/>
          <w:kern w:val="1"/>
          <w:szCs w:val="21"/>
        </w:rPr>
        <w:t>11号</w:t>
      </w:r>
      <w:r>
        <w:rPr>
          <w:rFonts w:hint="eastAsia" w:ascii="宋体" w:hAnsi="宋体" w:cs="宋体"/>
          <w:bCs/>
          <w:color w:val="auto"/>
          <w:kern w:val="1"/>
          <w:szCs w:val="21"/>
        </w:rPr>
        <w:t>）</w:t>
      </w:r>
      <w:r>
        <w:rPr>
          <w:rFonts w:ascii="宋体" w:hAnsi="宋体" w:cs="宋体"/>
          <w:color w:val="auto"/>
          <w:kern w:val="1"/>
          <w:szCs w:val="21"/>
        </w:rPr>
        <w:t>规定，工程质量检测业务由招标人委托有相应资质的检测机构检测。费用从招标人的项目建设经费中支出并直接支付给检测机构，不计入合同价款内。</w:t>
      </w:r>
    </w:p>
    <w:p w14:paraId="0B45F601">
      <w:pPr>
        <w:pStyle w:val="2"/>
        <w:keepNext w:val="0"/>
        <w:keepLines/>
        <w:pageBreakBefore w:val="0"/>
        <w:widowControl w:val="0"/>
        <w:kinsoku/>
        <w:wordWrap/>
        <w:overflowPunct/>
        <w:topLinePunct w:val="0"/>
        <w:autoSpaceDE/>
        <w:autoSpaceDN/>
        <w:bidi w:val="0"/>
        <w:adjustRightInd/>
        <w:snapToGrid/>
        <w:spacing w:line="260" w:lineRule="exact"/>
        <w:textAlignment w:val="auto"/>
        <w:rPr>
          <w:rFonts w:ascii="宋体" w:hAnsi="宋体" w:cs="宋体"/>
          <w:color w:val="auto"/>
          <w:sz w:val="21"/>
          <w:szCs w:val="21"/>
          <w:lang w:val="zh-CN"/>
        </w:rPr>
      </w:pPr>
      <w:bookmarkStart w:id="861" w:name="_Toc406054777"/>
      <w:bookmarkEnd w:id="861"/>
      <w:bookmarkStart w:id="862" w:name="_Toc373227739"/>
      <w:bookmarkEnd w:id="862"/>
      <w:bookmarkStart w:id="863" w:name="_Toc373478386"/>
      <w:bookmarkEnd w:id="863"/>
      <w:bookmarkStart w:id="864" w:name="_Toc14485"/>
      <w:bookmarkStart w:id="865" w:name="_Toc5651"/>
      <w:bookmarkStart w:id="866" w:name="_Toc18035"/>
      <w:bookmarkStart w:id="867" w:name="_Toc13466"/>
      <w:bookmarkStart w:id="868" w:name="_Toc7546"/>
      <w:r>
        <w:rPr>
          <w:rFonts w:ascii="宋体" w:hAnsi="宋体" w:cs="宋体"/>
          <w:color w:val="auto"/>
          <w:sz w:val="21"/>
          <w:szCs w:val="21"/>
          <w:lang w:val="zh-CN"/>
        </w:rPr>
        <w:t>10. 变更</w:t>
      </w:r>
      <w:bookmarkEnd w:id="864"/>
      <w:bookmarkEnd w:id="865"/>
      <w:bookmarkEnd w:id="866"/>
      <w:bookmarkEnd w:id="867"/>
      <w:bookmarkEnd w:id="868"/>
    </w:p>
    <w:p w14:paraId="44311EA8">
      <w:pPr>
        <w:pStyle w:val="2"/>
        <w:keepNext w:val="0"/>
        <w:keepLines/>
        <w:pageBreakBefore w:val="0"/>
        <w:widowControl w:val="0"/>
        <w:kinsoku/>
        <w:wordWrap/>
        <w:overflowPunct/>
        <w:topLinePunct w:val="0"/>
        <w:autoSpaceDE/>
        <w:autoSpaceDN/>
        <w:bidi w:val="0"/>
        <w:adjustRightInd/>
        <w:snapToGrid/>
        <w:spacing w:line="260" w:lineRule="exact"/>
        <w:textAlignment w:val="auto"/>
        <w:rPr>
          <w:rFonts w:ascii="宋体" w:hAnsi="宋体" w:cs="宋体"/>
          <w:color w:val="auto"/>
          <w:sz w:val="21"/>
          <w:szCs w:val="21"/>
          <w:lang w:val="zh-CN"/>
        </w:rPr>
      </w:pPr>
      <w:bookmarkStart w:id="869" w:name="_Toc406054778"/>
      <w:bookmarkEnd w:id="869"/>
      <w:bookmarkStart w:id="870" w:name="_Toc373478387"/>
      <w:bookmarkEnd w:id="870"/>
      <w:bookmarkStart w:id="871" w:name="_Toc373227740"/>
      <w:bookmarkEnd w:id="871"/>
      <w:bookmarkStart w:id="872" w:name="_Toc21579"/>
      <w:bookmarkStart w:id="873" w:name="_Toc7929"/>
      <w:bookmarkStart w:id="874" w:name="_Toc17430"/>
      <w:bookmarkStart w:id="875" w:name="_Toc26023"/>
      <w:bookmarkStart w:id="876" w:name="_Toc9588"/>
      <w:r>
        <w:rPr>
          <w:rFonts w:ascii="宋体" w:hAnsi="宋体" w:cs="宋体"/>
          <w:color w:val="auto"/>
          <w:sz w:val="21"/>
          <w:szCs w:val="21"/>
          <w:lang w:val="zh-CN"/>
        </w:rPr>
        <w:t>1</w:t>
      </w:r>
      <w:bookmarkStart w:id="877" w:name="_Toc297120494"/>
      <w:bookmarkEnd w:id="877"/>
      <w:bookmarkStart w:id="878" w:name="_Toc296346695"/>
      <w:bookmarkEnd w:id="878"/>
      <w:bookmarkStart w:id="879" w:name="_Toc296944533"/>
      <w:bookmarkEnd w:id="879"/>
      <w:bookmarkStart w:id="880" w:name="_Toc300934990"/>
      <w:bookmarkEnd w:id="880"/>
      <w:bookmarkStart w:id="881" w:name="_Toc296891234"/>
      <w:bookmarkEnd w:id="881"/>
      <w:bookmarkStart w:id="882" w:name="_Toc292559399"/>
      <w:bookmarkEnd w:id="882"/>
      <w:bookmarkStart w:id="883" w:name="_Toc297048380"/>
      <w:bookmarkEnd w:id="883"/>
      <w:bookmarkStart w:id="884" w:name="_Toc303539147"/>
      <w:bookmarkEnd w:id="884"/>
      <w:bookmarkStart w:id="885" w:name="_Toc304295567"/>
      <w:bookmarkEnd w:id="885"/>
      <w:bookmarkStart w:id="886" w:name="_Toc296347193"/>
      <w:bookmarkEnd w:id="886"/>
      <w:bookmarkStart w:id="887" w:name="_Toc312678026"/>
      <w:bookmarkEnd w:id="887"/>
      <w:bookmarkStart w:id="888" w:name="_Toc297216200"/>
      <w:bookmarkEnd w:id="888"/>
      <w:bookmarkStart w:id="889" w:name="_Toc297123541"/>
      <w:bookmarkEnd w:id="889"/>
      <w:bookmarkStart w:id="890" w:name="_Toc292559904"/>
      <w:bookmarkEnd w:id="890"/>
      <w:bookmarkStart w:id="891" w:name="_Toc312677500"/>
      <w:bookmarkEnd w:id="891"/>
      <w:bookmarkStart w:id="892" w:name="_Toc296503194"/>
      <w:bookmarkEnd w:id="892"/>
      <w:bookmarkStart w:id="893" w:name="_Toc296891022"/>
      <w:bookmarkEnd w:id="893"/>
      <w:r>
        <w:rPr>
          <w:rFonts w:ascii="宋体" w:hAnsi="宋体" w:cs="宋体"/>
          <w:color w:val="auto"/>
          <w:sz w:val="21"/>
          <w:szCs w:val="21"/>
          <w:lang w:val="zh-CN"/>
        </w:rPr>
        <w:t>0.1变更的范围</w:t>
      </w:r>
      <w:bookmarkEnd w:id="872"/>
      <w:bookmarkEnd w:id="873"/>
      <w:bookmarkEnd w:id="874"/>
      <w:bookmarkEnd w:id="875"/>
      <w:bookmarkEnd w:id="876"/>
    </w:p>
    <w:p w14:paraId="67498446">
      <w:pPr>
        <w:spacing w:line="360" w:lineRule="exact"/>
        <w:ind w:firstLine="426"/>
        <w:jc w:val="left"/>
        <w:rPr>
          <w:rFonts w:ascii="宋体" w:hAnsi="宋体" w:cs="宋体"/>
          <w:color w:val="auto"/>
          <w:kern w:val="1"/>
          <w:szCs w:val="21"/>
        </w:rPr>
      </w:pPr>
      <w:r>
        <w:rPr>
          <w:rFonts w:ascii="宋体" w:hAnsi="宋体" w:cs="宋体"/>
          <w:color w:val="auto"/>
          <w:kern w:val="1"/>
          <w:szCs w:val="21"/>
        </w:rPr>
        <w:t>关于变更的范围的约定：</w:t>
      </w:r>
      <w:r>
        <w:rPr>
          <w:rFonts w:hint="eastAsia" w:ascii="宋体" w:hAnsi="宋体" w:cs="宋体"/>
          <w:color w:val="auto"/>
          <w:kern w:val="1"/>
          <w:szCs w:val="21"/>
          <w:u w:val="single"/>
        </w:rPr>
        <w:t>超出招标图纸和工程量清单的子目</w:t>
      </w:r>
      <w:r>
        <w:rPr>
          <w:rFonts w:ascii="宋体" w:hAnsi="宋体" w:cs="宋体"/>
          <w:color w:val="auto"/>
          <w:kern w:val="1"/>
          <w:szCs w:val="21"/>
        </w:rPr>
        <w:t>。</w:t>
      </w:r>
    </w:p>
    <w:p w14:paraId="5A9516E7">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894" w:name="_Toc373478388"/>
      <w:bookmarkEnd w:id="894"/>
      <w:bookmarkStart w:id="895" w:name="_Toc373227741"/>
      <w:bookmarkEnd w:id="895"/>
      <w:bookmarkStart w:id="896" w:name="_Toc406054779"/>
      <w:bookmarkEnd w:id="896"/>
      <w:bookmarkStart w:id="897" w:name="_Toc907"/>
      <w:bookmarkStart w:id="898" w:name="_Toc4895"/>
      <w:bookmarkStart w:id="899" w:name="_Toc21161"/>
      <w:bookmarkStart w:id="900" w:name="_Toc5877"/>
      <w:bookmarkStart w:id="901" w:name="_Toc31685"/>
      <w:r>
        <w:rPr>
          <w:rFonts w:ascii="宋体" w:hAnsi="宋体" w:cs="宋体"/>
          <w:color w:val="auto"/>
          <w:sz w:val="21"/>
          <w:szCs w:val="21"/>
          <w:lang w:val="zh-CN"/>
        </w:rPr>
        <w:t>10.3 变更程序</w:t>
      </w:r>
      <w:bookmarkEnd w:id="897"/>
      <w:bookmarkEnd w:id="898"/>
      <w:bookmarkEnd w:id="899"/>
      <w:bookmarkEnd w:id="900"/>
      <w:bookmarkEnd w:id="901"/>
    </w:p>
    <w:p w14:paraId="3B5901E1">
      <w:pPr>
        <w:pStyle w:val="25"/>
        <w:spacing w:line="360" w:lineRule="exact"/>
        <w:ind w:firstLine="441"/>
        <w:rPr>
          <w:rFonts w:hAnsi="宋体" w:cs="宋体"/>
          <w:color w:val="auto"/>
          <w:sz w:val="21"/>
        </w:rPr>
      </w:pPr>
      <w:r>
        <w:rPr>
          <w:rFonts w:hAnsi="宋体" w:cs="宋体"/>
          <w:color w:val="auto"/>
          <w:sz w:val="21"/>
        </w:rPr>
        <w:t>10.3.1</w:t>
      </w:r>
    </w:p>
    <w:p w14:paraId="27D65FEF">
      <w:pPr>
        <w:pStyle w:val="25"/>
        <w:spacing w:line="360" w:lineRule="exact"/>
        <w:ind w:firstLine="441"/>
        <w:rPr>
          <w:rFonts w:hAnsi="宋体" w:cs="宋体"/>
          <w:color w:val="auto"/>
          <w:sz w:val="21"/>
        </w:rPr>
      </w:pPr>
      <w:r>
        <w:rPr>
          <w:rFonts w:hAnsi="宋体" w:cs="宋体"/>
          <w:color w:val="auto"/>
          <w:sz w:val="21"/>
        </w:rPr>
        <w:t>⑴设计变更和工程签证，按各市政府或相关部门的规定办理。属不可抗力（自然灾害、突发事件等）造成变更的，按特事特办原则予以办理。</w:t>
      </w:r>
    </w:p>
    <w:p w14:paraId="4E9730EA">
      <w:pPr>
        <w:pStyle w:val="25"/>
        <w:spacing w:line="360" w:lineRule="exact"/>
        <w:ind w:firstLine="441"/>
        <w:rPr>
          <w:rFonts w:hAnsi="宋体" w:cs="宋体"/>
          <w:color w:val="auto"/>
          <w:sz w:val="21"/>
        </w:rPr>
      </w:pPr>
      <w:r>
        <w:rPr>
          <w:rFonts w:hAnsi="宋体" w:cs="宋体"/>
          <w:color w:val="auto"/>
          <w:sz w:val="21"/>
        </w:rPr>
        <w:t>⑵建设单位在实施项目过程中，若发生单价变动，由建设单位、监理单位、施工单位及其他相关单位共同商定并签字确认。</w:t>
      </w:r>
    </w:p>
    <w:p w14:paraId="503DE6D2">
      <w:pPr>
        <w:spacing w:line="360" w:lineRule="exact"/>
        <w:ind w:firstLine="420"/>
        <w:jc w:val="left"/>
        <w:rPr>
          <w:rFonts w:ascii="宋体" w:hAnsi="宋体" w:cs="宋体"/>
          <w:color w:val="auto"/>
          <w:kern w:val="1"/>
          <w:szCs w:val="21"/>
        </w:rPr>
      </w:pPr>
      <w:r>
        <w:rPr>
          <w:rFonts w:ascii="宋体" w:hAnsi="宋体" w:cs="宋体"/>
          <w:color w:val="auto"/>
          <w:kern w:val="1"/>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04130038">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902" w:name="_Toc373478389"/>
      <w:bookmarkEnd w:id="902"/>
      <w:bookmarkStart w:id="903" w:name="_Toc373227742"/>
      <w:bookmarkEnd w:id="903"/>
      <w:bookmarkStart w:id="904" w:name="_Toc406054780"/>
      <w:bookmarkEnd w:id="904"/>
      <w:bookmarkStart w:id="905" w:name="_Toc14970"/>
      <w:bookmarkStart w:id="906" w:name="_Toc11010"/>
      <w:bookmarkStart w:id="907" w:name="_Toc31127"/>
      <w:bookmarkStart w:id="908" w:name="_Toc5457"/>
      <w:bookmarkStart w:id="909" w:name="_Toc19081"/>
      <w:r>
        <w:rPr>
          <w:rFonts w:ascii="宋体" w:hAnsi="宋体" w:cs="宋体"/>
          <w:color w:val="auto"/>
          <w:sz w:val="21"/>
          <w:szCs w:val="21"/>
          <w:lang w:val="zh-CN"/>
        </w:rPr>
        <w:t>10.4 变更估价</w:t>
      </w:r>
      <w:bookmarkEnd w:id="905"/>
      <w:bookmarkEnd w:id="906"/>
      <w:bookmarkEnd w:id="907"/>
      <w:bookmarkEnd w:id="908"/>
      <w:bookmarkEnd w:id="909"/>
    </w:p>
    <w:p w14:paraId="300E20C4">
      <w:pPr>
        <w:spacing w:line="360" w:lineRule="exact"/>
        <w:ind w:firstLine="420"/>
        <w:jc w:val="left"/>
        <w:rPr>
          <w:rFonts w:ascii="宋体" w:hAnsi="宋体" w:cs="宋体"/>
          <w:color w:val="auto"/>
          <w:kern w:val="1"/>
          <w:szCs w:val="21"/>
        </w:rPr>
      </w:pPr>
      <w:r>
        <w:rPr>
          <w:rFonts w:ascii="宋体" w:hAnsi="宋体" w:cs="宋体"/>
          <w:color w:val="auto"/>
          <w:kern w:val="1"/>
          <w:szCs w:val="21"/>
        </w:rPr>
        <w:t>10.4.1 变更估价原则</w:t>
      </w:r>
    </w:p>
    <w:p w14:paraId="1AFCA9CB">
      <w:pPr>
        <w:spacing w:line="360" w:lineRule="exact"/>
        <w:ind w:firstLine="420"/>
        <w:outlineLvl w:val="0"/>
        <w:rPr>
          <w:rFonts w:ascii="宋体" w:hAnsi="宋体" w:cs="宋体"/>
          <w:color w:val="auto"/>
          <w:kern w:val="1"/>
          <w:szCs w:val="21"/>
        </w:rPr>
      </w:pPr>
      <w:bookmarkStart w:id="910" w:name="_Toc373227743"/>
      <w:bookmarkEnd w:id="910"/>
      <w:bookmarkStart w:id="911" w:name="_Toc406054781"/>
      <w:bookmarkEnd w:id="911"/>
      <w:bookmarkStart w:id="912" w:name="_Toc373478390"/>
      <w:bookmarkEnd w:id="912"/>
      <w:bookmarkStart w:id="913" w:name="_Toc406054516"/>
      <w:bookmarkEnd w:id="913"/>
      <w:bookmarkStart w:id="914" w:name="_Toc406054785"/>
      <w:bookmarkEnd w:id="914"/>
      <w:bookmarkStart w:id="915" w:name="_Toc12239"/>
      <w:bookmarkStart w:id="916" w:name="_Toc9118"/>
      <w:bookmarkStart w:id="917" w:name="_Toc8748"/>
      <w:bookmarkStart w:id="918" w:name="_Toc19523"/>
      <w:bookmarkStart w:id="919" w:name="_Toc12187"/>
      <w:r>
        <w:rPr>
          <w:rFonts w:ascii="宋体" w:hAnsi="宋体" w:cs="宋体"/>
          <w:color w:val="auto"/>
          <w:kern w:val="1"/>
          <w:szCs w:val="21"/>
        </w:rPr>
        <w:t>关于变更估价的约定:</w:t>
      </w:r>
      <w:bookmarkEnd w:id="915"/>
      <w:bookmarkEnd w:id="916"/>
      <w:bookmarkEnd w:id="917"/>
      <w:bookmarkEnd w:id="918"/>
      <w:bookmarkEnd w:id="919"/>
    </w:p>
    <w:p w14:paraId="6E99ED89">
      <w:pPr>
        <w:spacing w:line="360" w:lineRule="exact"/>
        <w:ind w:firstLine="420"/>
        <w:outlineLvl w:val="0"/>
        <w:rPr>
          <w:rFonts w:ascii="宋体" w:hAnsi="宋体" w:cs="宋体"/>
          <w:color w:val="auto"/>
          <w:kern w:val="1"/>
          <w:szCs w:val="21"/>
          <w:u w:val="single"/>
        </w:rPr>
      </w:pPr>
      <w:bookmarkStart w:id="920" w:name="_Toc10657"/>
      <w:bookmarkStart w:id="921" w:name="_Toc2257"/>
      <w:bookmarkStart w:id="922" w:name="_Toc28432"/>
      <w:bookmarkStart w:id="923" w:name="_Toc3214"/>
      <w:bookmarkStart w:id="924" w:name="_Toc7102"/>
      <w:r>
        <w:rPr>
          <w:rFonts w:hint="eastAsia" w:ascii="宋体" w:hAnsi="宋体" w:cs="宋体"/>
          <w:color w:val="auto"/>
          <w:kern w:val="1"/>
          <w:szCs w:val="21"/>
          <w:u w:val="single"/>
        </w:rPr>
        <w:t>（1）工程量清单中的子目工程量为结算最终工程量（除工程内容变更外）。承包人按照施工图纸完成全部工程。</w:t>
      </w:r>
      <w:bookmarkEnd w:id="920"/>
      <w:bookmarkEnd w:id="921"/>
      <w:bookmarkEnd w:id="922"/>
      <w:bookmarkEnd w:id="923"/>
      <w:bookmarkEnd w:id="924"/>
    </w:p>
    <w:p w14:paraId="0459ADFF">
      <w:pPr>
        <w:spacing w:line="360" w:lineRule="exact"/>
        <w:ind w:firstLine="420"/>
        <w:outlineLvl w:val="0"/>
        <w:rPr>
          <w:rFonts w:ascii="宋体" w:hAnsi="宋体" w:cs="宋体"/>
          <w:color w:val="auto"/>
          <w:kern w:val="1"/>
          <w:szCs w:val="21"/>
          <w:u w:val="single"/>
        </w:rPr>
      </w:pPr>
      <w:bookmarkStart w:id="925" w:name="_Toc406054782"/>
      <w:bookmarkEnd w:id="925"/>
      <w:bookmarkStart w:id="926" w:name="_Toc406054517"/>
      <w:bookmarkEnd w:id="926"/>
      <w:bookmarkStart w:id="927" w:name="_Toc27321"/>
      <w:bookmarkStart w:id="928" w:name="_Toc2244"/>
      <w:bookmarkStart w:id="929" w:name="_Toc8506"/>
      <w:bookmarkStart w:id="930" w:name="_Toc9823"/>
      <w:bookmarkStart w:id="931" w:name="_Toc20872"/>
      <w:r>
        <w:rPr>
          <w:rFonts w:hint="eastAsia" w:ascii="宋体" w:hAnsi="宋体" w:cs="宋体"/>
          <w:color w:val="auto"/>
          <w:kern w:val="1"/>
          <w:szCs w:val="21"/>
          <w:u w:val="single"/>
        </w:rPr>
        <w:t>（2）已标价工程量清单中有适用于变更工作的子目的，采用评审报告中有相同细目的单价进行结算。</w:t>
      </w:r>
      <w:bookmarkEnd w:id="927"/>
      <w:bookmarkEnd w:id="928"/>
      <w:bookmarkEnd w:id="929"/>
      <w:bookmarkEnd w:id="930"/>
      <w:bookmarkEnd w:id="931"/>
    </w:p>
    <w:p w14:paraId="4024DE4B">
      <w:pPr>
        <w:spacing w:line="360" w:lineRule="exact"/>
        <w:ind w:firstLine="420"/>
        <w:outlineLvl w:val="0"/>
        <w:rPr>
          <w:rFonts w:ascii="宋体" w:hAnsi="宋体" w:cs="宋体"/>
          <w:color w:val="auto"/>
          <w:kern w:val="1"/>
          <w:szCs w:val="21"/>
          <w:u w:val="single"/>
        </w:rPr>
      </w:pPr>
      <w:bookmarkStart w:id="932" w:name="_Toc406054518"/>
      <w:bookmarkEnd w:id="932"/>
      <w:bookmarkStart w:id="933" w:name="_Toc406054783"/>
      <w:bookmarkEnd w:id="933"/>
      <w:bookmarkStart w:id="934" w:name="_Toc16997"/>
      <w:bookmarkStart w:id="935" w:name="_Toc18369"/>
      <w:bookmarkStart w:id="936" w:name="_Toc4314"/>
      <w:bookmarkStart w:id="937" w:name="_Toc4011"/>
      <w:bookmarkStart w:id="938" w:name="_Toc8945"/>
      <w:r>
        <w:rPr>
          <w:rFonts w:hint="eastAsia" w:ascii="宋体" w:hAnsi="宋体" w:cs="宋体"/>
          <w:color w:val="auto"/>
          <w:kern w:val="1"/>
          <w:szCs w:val="21"/>
          <w:u w:val="single"/>
        </w:rPr>
        <w:t>（3）已标价工程量清单中无适用于变更工作的子目，但有类似子目的，可在合理范围内按照评审报告中类似细目的单价进行结算，由监理人按第3.5款商定或确定变更工作的单价；</w:t>
      </w:r>
      <w:bookmarkEnd w:id="934"/>
      <w:bookmarkEnd w:id="935"/>
      <w:bookmarkEnd w:id="936"/>
      <w:bookmarkEnd w:id="937"/>
      <w:bookmarkEnd w:id="938"/>
    </w:p>
    <w:p w14:paraId="62DE5433">
      <w:pPr>
        <w:spacing w:line="360" w:lineRule="exact"/>
        <w:ind w:firstLine="420"/>
        <w:outlineLvl w:val="0"/>
        <w:rPr>
          <w:rFonts w:ascii="宋体" w:hAnsi="宋体" w:cs="宋体"/>
          <w:color w:val="auto"/>
          <w:kern w:val="1"/>
          <w:szCs w:val="21"/>
          <w:u w:val="single"/>
        </w:rPr>
      </w:pPr>
      <w:bookmarkStart w:id="939" w:name="_Toc406054784"/>
      <w:bookmarkEnd w:id="939"/>
      <w:bookmarkStart w:id="940" w:name="_Toc406054519"/>
      <w:bookmarkEnd w:id="940"/>
      <w:bookmarkStart w:id="941" w:name="_Toc24989"/>
      <w:bookmarkStart w:id="942" w:name="_Toc11918"/>
      <w:bookmarkStart w:id="943" w:name="_Toc3043"/>
      <w:bookmarkStart w:id="944" w:name="_Toc3073"/>
      <w:bookmarkStart w:id="945" w:name="_Toc16253"/>
      <w:r>
        <w:rPr>
          <w:rFonts w:hint="eastAsia" w:ascii="宋体" w:hAnsi="宋体" w:cs="宋体"/>
          <w:color w:val="auto"/>
          <w:kern w:val="1"/>
          <w:szCs w:val="21"/>
          <w:u w:val="single"/>
        </w:rPr>
        <w:t>（4）已标价工程量清单中无适用或类似子目的单价，新增项目有定额的套定额进行计算，其中材料价格有信息价的按信息价，无信息价的按市场价；新增项目无定额可套的，由发包人、承包人根据市场价格协商决定。</w:t>
      </w:r>
      <w:bookmarkEnd w:id="941"/>
      <w:bookmarkEnd w:id="942"/>
      <w:bookmarkEnd w:id="943"/>
      <w:bookmarkEnd w:id="944"/>
      <w:bookmarkEnd w:id="945"/>
    </w:p>
    <w:p w14:paraId="1F3E3B88">
      <w:pPr>
        <w:spacing w:line="360" w:lineRule="exact"/>
        <w:outlineLvl w:val="0"/>
        <w:rPr>
          <w:rFonts w:ascii="宋体" w:hAnsi="宋体" w:cs="宋体"/>
          <w:b/>
          <w:color w:val="auto"/>
          <w:kern w:val="1"/>
          <w:szCs w:val="21"/>
        </w:rPr>
      </w:pPr>
      <w:bookmarkStart w:id="946" w:name="_Toc15003"/>
      <w:bookmarkStart w:id="947" w:name="_Toc10089"/>
      <w:bookmarkStart w:id="948" w:name="_Toc5928"/>
      <w:bookmarkStart w:id="949" w:name="_Toc26696"/>
      <w:bookmarkStart w:id="950" w:name="_Toc30202"/>
      <w:r>
        <w:rPr>
          <w:rFonts w:ascii="宋体" w:hAnsi="宋体" w:cs="宋体"/>
          <w:b/>
          <w:color w:val="auto"/>
          <w:kern w:val="1"/>
          <w:szCs w:val="21"/>
        </w:rPr>
        <w:t>10.5承包人的合理化建议</w:t>
      </w:r>
      <w:bookmarkEnd w:id="946"/>
      <w:bookmarkEnd w:id="947"/>
      <w:bookmarkEnd w:id="948"/>
      <w:bookmarkEnd w:id="949"/>
      <w:bookmarkEnd w:id="950"/>
    </w:p>
    <w:p w14:paraId="5C588B83">
      <w:pPr>
        <w:spacing w:line="360" w:lineRule="exact"/>
        <w:ind w:firstLine="420"/>
        <w:jc w:val="left"/>
        <w:rPr>
          <w:rFonts w:ascii="宋体" w:hAnsi="宋体" w:cs="宋体"/>
          <w:color w:val="auto"/>
          <w:kern w:val="1"/>
          <w:szCs w:val="21"/>
        </w:rPr>
      </w:pPr>
      <w:r>
        <w:rPr>
          <w:rFonts w:ascii="宋体" w:hAnsi="宋体" w:cs="宋体"/>
          <w:color w:val="auto"/>
          <w:kern w:val="1"/>
          <w:szCs w:val="21"/>
        </w:rPr>
        <w:t>监理人审查承包人合理化建议的期限：</w:t>
      </w:r>
      <w:r>
        <w:rPr>
          <w:rFonts w:hint="eastAsia" w:ascii="宋体" w:hAnsi="宋体" w:cs="宋体"/>
          <w:color w:val="auto"/>
          <w:kern w:val="1"/>
          <w:szCs w:val="21"/>
          <w:u w:val="single"/>
        </w:rPr>
        <w:t>收到书面建议后30天内</w:t>
      </w:r>
      <w:r>
        <w:rPr>
          <w:rFonts w:ascii="宋体" w:hAnsi="宋体" w:cs="宋体"/>
          <w:color w:val="auto"/>
          <w:kern w:val="1"/>
          <w:szCs w:val="21"/>
        </w:rPr>
        <w:t>。</w:t>
      </w:r>
    </w:p>
    <w:p w14:paraId="44133203">
      <w:pPr>
        <w:spacing w:line="360" w:lineRule="exact"/>
        <w:ind w:firstLine="420"/>
        <w:jc w:val="left"/>
        <w:rPr>
          <w:rFonts w:ascii="宋体" w:hAnsi="宋体" w:cs="宋体"/>
          <w:color w:val="auto"/>
          <w:kern w:val="1"/>
          <w:szCs w:val="21"/>
        </w:rPr>
      </w:pPr>
      <w:r>
        <w:rPr>
          <w:rFonts w:ascii="宋体" w:hAnsi="宋体" w:cs="宋体"/>
          <w:color w:val="auto"/>
          <w:kern w:val="1"/>
          <w:szCs w:val="21"/>
        </w:rPr>
        <w:t>发包人审批承包人合理化建议的期限：</w:t>
      </w:r>
      <w:r>
        <w:rPr>
          <w:rFonts w:hint="eastAsia" w:ascii="宋体" w:hAnsi="宋体" w:cs="宋体"/>
          <w:color w:val="auto"/>
          <w:kern w:val="1"/>
          <w:szCs w:val="21"/>
          <w:u w:val="single"/>
        </w:rPr>
        <w:t>收到监理人的审核意见后30天内</w:t>
      </w:r>
      <w:r>
        <w:rPr>
          <w:rFonts w:ascii="宋体" w:hAnsi="宋体" w:cs="宋体"/>
          <w:color w:val="auto"/>
          <w:kern w:val="1"/>
          <w:szCs w:val="21"/>
        </w:rPr>
        <w:t>。</w:t>
      </w:r>
    </w:p>
    <w:p w14:paraId="3840395E">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承包人提出的合理化建议降低了合同价格或者提高了工程经济效益的奖励的方法和金额为：</w:t>
      </w:r>
      <w:r>
        <w:rPr>
          <w:rFonts w:ascii="宋体" w:hAnsi="宋体" w:cs="宋体"/>
          <w:color w:val="auto"/>
          <w:kern w:val="1"/>
          <w:szCs w:val="21"/>
          <w:u w:val="single"/>
        </w:rPr>
        <w:t xml:space="preserve"> 无  </w:t>
      </w:r>
      <w:r>
        <w:rPr>
          <w:rFonts w:ascii="宋体" w:hAnsi="宋体" w:cs="宋体"/>
          <w:color w:val="auto"/>
          <w:kern w:val="1"/>
          <w:szCs w:val="21"/>
        </w:rPr>
        <w:t>。</w:t>
      </w:r>
    </w:p>
    <w:p w14:paraId="6E3A2096">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951" w:name="_Toc406054786"/>
      <w:bookmarkEnd w:id="951"/>
      <w:bookmarkStart w:id="952" w:name="_Toc373478391"/>
      <w:bookmarkEnd w:id="952"/>
      <w:bookmarkStart w:id="953" w:name="_Toc373227744"/>
      <w:bookmarkEnd w:id="953"/>
      <w:bookmarkStart w:id="954" w:name="_Toc31926"/>
      <w:bookmarkStart w:id="955" w:name="_Toc28208"/>
      <w:bookmarkStart w:id="956" w:name="_Toc13378"/>
      <w:bookmarkStart w:id="957" w:name="_Toc15990"/>
      <w:bookmarkStart w:id="958" w:name="_Toc13257"/>
      <w:r>
        <w:rPr>
          <w:rFonts w:ascii="宋体" w:hAnsi="宋体" w:cs="宋体"/>
          <w:color w:val="auto"/>
          <w:sz w:val="21"/>
          <w:szCs w:val="21"/>
          <w:lang w:val="zh-CN"/>
        </w:rPr>
        <w:t>10.7 暂估价</w:t>
      </w:r>
      <w:bookmarkEnd w:id="954"/>
      <w:bookmarkEnd w:id="955"/>
      <w:bookmarkEnd w:id="956"/>
      <w:bookmarkEnd w:id="957"/>
      <w:bookmarkEnd w:id="958"/>
    </w:p>
    <w:p w14:paraId="7936E66D">
      <w:pPr>
        <w:spacing w:line="360" w:lineRule="exact"/>
        <w:jc w:val="left"/>
        <w:rPr>
          <w:rFonts w:ascii="宋体" w:hAnsi="宋体" w:cs="宋体"/>
          <w:color w:val="auto"/>
          <w:kern w:val="1"/>
          <w:szCs w:val="21"/>
        </w:rPr>
      </w:pPr>
      <w:r>
        <w:rPr>
          <w:rFonts w:ascii="宋体" w:hAnsi="宋体" w:cs="宋体"/>
          <w:color w:val="auto"/>
          <w:kern w:val="1"/>
          <w:szCs w:val="21"/>
          <w:u w:val="single"/>
        </w:rPr>
        <w:t xml:space="preserve">无  </w:t>
      </w:r>
      <w:r>
        <w:rPr>
          <w:rFonts w:ascii="宋体" w:hAnsi="宋体" w:cs="宋体"/>
          <w:color w:val="auto"/>
          <w:kern w:val="1"/>
          <w:szCs w:val="21"/>
        </w:rPr>
        <w:t>。</w:t>
      </w:r>
    </w:p>
    <w:p w14:paraId="10532EA4">
      <w:pPr>
        <w:pStyle w:val="2"/>
        <w:keepNext w:val="0"/>
        <w:keepLines/>
        <w:pageBreakBefore w:val="0"/>
        <w:widowControl w:val="0"/>
        <w:kinsoku/>
        <w:wordWrap/>
        <w:overflowPunct/>
        <w:topLinePunct w:val="0"/>
        <w:autoSpaceDE/>
        <w:autoSpaceDN/>
        <w:bidi w:val="0"/>
        <w:adjustRightInd/>
        <w:snapToGrid/>
        <w:spacing w:line="260" w:lineRule="exact"/>
        <w:textAlignment w:val="auto"/>
        <w:rPr>
          <w:rFonts w:ascii="宋体" w:hAnsi="宋体" w:cs="宋体"/>
          <w:color w:val="auto"/>
          <w:sz w:val="21"/>
          <w:szCs w:val="21"/>
          <w:lang w:val="zh-CN"/>
        </w:rPr>
      </w:pPr>
      <w:bookmarkStart w:id="959" w:name="_Toc373227746"/>
      <w:bookmarkEnd w:id="959"/>
      <w:bookmarkStart w:id="960" w:name="_Toc406054788"/>
      <w:bookmarkEnd w:id="960"/>
      <w:bookmarkStart w:id="961" w:name="_Toc373478393"/>
      <w:bookmarkEnd w:id="961"/>
      <w:bookmarkStart w:id="962" w:name="_Toc21245"/>
      <w:bookmarkStart w:id="963" w:name="_Toc5033"/>
      <w:bookmarkStart w:id="964" w:name="_Toc6797"/>
      <w:bookmarkStart w:id="965" w:name="_Toc23765"/>
      <w:bookmarkStart w:id="966" w:name="_Toc24713"/>
      <w:r>
        <w:rPr>
          <w:rFonts w:ascii="宋体" w:hAnsi="宋体" w:cs="宋体"/>
          <w:color w:val="auto"/>
          <w:sz w:val="21"/>
          <w:szCs w:val="21"/>
          <w:lang w:val="zh-CN"/>
        </w:rPr>
        <w:t>11. 价格调整</w:t>
      </w:r>
      <w:bookmarkEnd w:id="962"/>
      <w:bookmarkEnd w:id="963"/>
      <w:bookmarkEnd w:id="964"/>
      <w:bookmarkEnd w:id="965"/>
      <w:bookmarkEnd w:id="966"/>
    </w:p>
    <w:p w14:paraId="47FF0BC7">
      <w:pPr>
        <w:pStyle w:val="2"/>
        <w:keepNext w:val="0"/>
        <w:keepLines/>
        <w:pageBreakBefore w:val="0"/>
        <w:widowControl w:val="0"/>
        <w:kinsoku/>
        <w:wordWrap/>
        <w:overflowPunct/>
        <w:topLinePunct w:val="0"/>
        <w:autoSpaceDE/>
        <w:autoSpaceDN/>
        <w:bidi w:val="0"/>
        <w:adjustRightInd/>
        <w:snapToGrid/>
        <w:spacing w:line="260" w:lineRule="exact"/>
        <w:textAlignment w:val="auto"/>
        <w:rPr>
          <w:rFonts w:ascii="宋体" w:hAnsi="宋体" w:cs="宋体"/>
          <w:color w:val="auto"/>
          <w:sz w:val="21"/>
          <w:szCs w:val="21"/>
          <w:lang w:val="zh-CN"/>
        </w:rPr>
      </w:pPr>
      <w:bookmarkStart w:id="967" w:name="_Toc373227747"/>
      <w:bookmarkEnd w:id="967"/>
      <w:bookmarkStart w:id="968" w:name="_Toc406054789"/>
      <w:bookmarkEnd w:id="968"/>
      <w:bookmarkStart w:id="969" w:name="_Toc373478394"/>
      <w:bookmarkEnd w:id="969"/>
      <w:bookmarkStart w:id="970" w:name="_Toc18181"/>
      <w:bookmarkStart w:id="971" w:name="_Toc16266"/>
      <w:bookmarkStart w:id="972" w:name="_Toc24086"/>
      <w:bookmarkStart w:id="973" w:name="_Toc10505"/>
      <w:bookmarkStart w:id="974" w:name="_Toc28750"/>
      <w:r>
        <w:rPr>
          <w:rFonts w:ascii="宋体" w:hAnsi="宋体" w:cs="宋体"/>
          <w:color w:val="auto"/>
          <w:sz w:val="21"/>
          <w:szCs w:val="21"/>
          <w:lang w:val="zh-CN"/>
        </w:rPr>
        <w:t>11.1 市场价格波动引起的调整</w:t>
      </w:r>
      <w:bookmarkEnd w:id="970"/>
      <w:bookmarkEnd w:id="971"/>
      <w:bookmarkEnd w:id="972"/>
      <w:bookmarkEnd w:id="973"/>
      <w:bookmarkEnd w:id="974"/>
    </w:p>
    <w:p w14:paraId="06167EED">
      <w:pPr>
        <w:spacing w:line="360" w:lineRule="exact"/>
        <w:ind w:firstLine="420"/>
        <w:jc w:val="left"/>
        <w:rPr>
          <w:rFonts w:ascii="宋体" w:hAnsi="宋体" w:cs="宋体"/>
          <w:color w:val="auto"/>
          <w:kern w:val="1"/>
          <w:szCs w:val="21"/>
        </w:rPr>
      </w:pPr>
      <w:r>
        <w:rPr>
          <w:rFonts w:ascii="宋体" w:hAnsi="宋体" w:cs="宋体"/>
          <w:color w:val="auto"/>
          <w:kern w:val="1"/>
          <w:szCs w:val="21"/>
        </w:rPr>
        <w:t>市场价格波动是否调整合同价格的约定：</w:t>
      </w:r>
      <w:r>
        <w:rPr>
          <w:rFonts w:hint="eastAsia" w:ascii="宋体" w:hAnsi="宋体" w:cs="宋体"/>
          <w:color w:val="auto"/>
          <w:kern w:val="1"/>
          <w:szCs w:val="21"/>
          <w:u w:val="single"/>
        </w:rPr>
        <w:t>正常的施工条件下不予调整。非承包人原因造成的工期延误超过360天的，受到影响部分进行调整</w:t>
      </w:r>
      <w:r>
        <w:rPr>
          <w:rFonts w:ascii="宋体" w:hAnsi="宋体" w:cs="宋体"/>
          <w:color w:val="auto"/>
          <w:kern w:val="1"/>
          <w:szCs w:val="21"/>
        </w:rPr>
        <w:t>。</w:t>
      </w:r>
    </w:p>
    <w:p w14:paraId="7FE171E7">
      <w:pPr>
        <w:spacing w:line="360" w:lineRule="exact"/>
        <w:ind w:firstLine="420"/>
        <w:jc w:val="left"/>
        <w:rPr>
          <w:rFonts w:ascii="宋体" w:hAnsi="宋体" w:cs="宋体"/>
          <w:color w:val="auto"/>
          <w:kern w:val="1"/>
          <w:szCs w:val="21"/>
        </w:rPr>
      </w:pPr>
      <w:r>
        <w:rPr>
          <w:rFonts w:ascii="宋体" w:hAnsi="宋体" w:cs="宋体"/>
          <w:color w:val="auto"/>
          <w:kern w:val="1"/>
          <w:szCs w:val="21"/>
        </w:rPr>
        <w:t>因市场价格波动调整合同价格，采用以下方式对合同价格进行调整：</w:t>
      </w:r>
    </w:p>
    <w:p w14:paraId="6637C6BE">
      <w:pPr>
        <w:spacing w:line="360" w:lineRule="exact"/>
        <w:ind w:firstLine="420"/>
        <w:jc w:val="left"/>
        <w:rPr>
          <w:rFonts w:ascii="宋体" w:hAnsi="宋体" w:cs="宋体"/>
          <w:color w:val="auto"/>
          <w:kern w:val="1"/>
          <w:szCs w:val="21"/>
        </w:rPr>
      </w:pPr>
      <w:r>
        <w:rPr>
          <w:rFonts w:ascii="宋体" w:hAnsi="宋体" w:cs="宋体"/>
          <w:color w:val="auto"/>
          <w:kern w:val="1"/>
          <w:szCs w:val="21"/>
        </w:rPr>
        <w:t>（1）主要材料确认价：</w:t>
      </w:r>
    </w:p>
    <w:p w14:paraId="641F8AB6">
      <w:pPr>
        <w:spacing w:line="360" w:lineRule="exact"/>
        <w:ind w:firstLine="420"/>
        <w:jc w:val="left"/>
        <w:rPr>
          <w:rFonts w:ascii="宋体" w:hAnsi="宋体" w:cs="宋体"/>
          <w:color w:val="auto"/>
          <w:kern w:val="1"/>
          <w:szCs w:val="21"/>
        </w:rPr>
      </w:pPr>
      <w:r>
        <w:rPr>
          <w:rFonts w:ascii="宋体" w:hAnsi="宋体" w:cs="宋体"/>
          <w:color w:val="auto"/>
          <w:kern w:val="1"/>
          <w:szCs w:val="21"/>
        </w:rPr>
        <w:t>按施工期间</w:t>
      </w:r>
      <w:r>
        <w:rPr>
          <w:rFonts w:hint="eastAsia"/>
          <w:color w:val="auto"/>
        </w:rPr>
        <w:t>《梧州建设工程造价信息》部分价格</w:t>
      </w:r>
      <w:r>
        <w:rPr>
          <w:rFonts w:ascii="宋体" w:hAnsi="宋体" w:cs="宋体"/>
          <w:color w:val="auto"/>
          <w:kern w:val="1"/>
          <w:szCs w:val="21"/>
        </w:rPr>
        <w:t>计算，信息价没有的按通用条款规定确定。</w:t>
      </w:r>
    </w:p>
    <w:p w14:paraId="6EEF95C1">
      <w:pPr>
        <w:spacing w:line="360" w:lineRule="exact"/>
        <w:ind w:firstLine="420"/>
        <w:jc w:val="left"/>
        <w:rPr>
          <w:rFonts w:ascii="宋体" w:hAnsi="宋体" w:cs="宋体"/>
          <w:color w:val="auto"/>
          <w:kern w:val="1"/>
          <w:szCs w:val="21"/>
        </w:rPr>
      </w:pPr>
      <w:r>
        <w:rPr>
          <w:rFonts w:ascii="宋体" w:hAnsi="宋体" w:cs="宋体"/>
          <w:color w:val="auto"/>
          <w:kern w:val="1"/>
          <w:szCs w:val="21"/>
        </w:rPr>
        <w:t>（2）价差计算方法：</w:t>
      </w:r>
    </w:p>
    <w:p w14:paraId="66B28084">
      <w:pPr>
        <w:spacing w:line="360" w:lineRule="exact"/>
        <w:ind w:firstLine="420"/>
        <w:jc w:val="left"/>
        <w:rPr>
          <w:rFonts w:ascii="宋体" w:hAnsi="宋体" w:cs="宋体"/>
          <w:color w:val="auto"/>
          <w:kern w:val="1"/>
          <w:szCs w:val="21"/>
        </w:rPr>
      </w:pPr>
      <w:r>
        <w:rPr>
          <w:rFonts w:ascii="宋体" w:hAnsi="宋体" w:cs="宋体"/>
          <w:color w:val="auto"/>
          <w:kern w:val="1"/>
          <w:szCs w:val="21"/>
        </w:rPr>
        <w:t>①《承包人提供的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408D16C9">
      <w:pPr>
        <w:spacing w:line="360" w:lineRule="exact"/>
        <w:ind w:firstLine="420"/>
        <w:jc w:val="left"/>
        <w:rPr>
          <w:rFonts w:ascii="宋体" w:hAnsi="宋体" w:cs="宋体"/>
          <w:color w:val="auto"/>
          <w:kern w:val="1"/>
          <w:szCs w:val="21"/>
        </w:rPr>
      </w:pPr>
      <w:r>
        <w:rPr>
          <w:rFonts w:ascii="宋体" w:hAnsi="宋体" w:cs="宋体"/>
          <w:color w:val="auto"/>
          <w:kern w:val="1"/>
          <w:szCs w:val="21"/>
        </w:rPr>
        <w:t>②承包人在《承包人提供的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1B60E7B4">
      <w:pPr>
        <w:spacing w:line="360" w:lineRule="exact"/>
        <w:ind w:firstLine="420"/>
        <w:jc w:val="left"/>
        <w:rPr>
          <w:rFonts w:ascii="宋体" w:hAnsi="宋体" w:cs="宋体"/>
          <w:color w:val="auto"/>
          <w:kern w:val="1"/>
          <w:szCs w:val="21"/>
        </w:rPr>
      </w:pPr>
      <w:r>
        <w:rPr>
          <w:rFonts w:ascii="宋体" w:hAnsi="宋体" w:cs="宋体"/>
          <w:color w:val="auto"/>
          <w:kern w:val="1"/>
          <w:szCs w:val="21"/>
        </w:rPr>
        <w:t>③承包人在《承包人提供的主要材料和设备一览表》中载明的材料单价等于基准单价的：合同履行期间材料单价涨跌幅以基准单价为基础超过约定的风险范围时，其超过部分据实调整。</w:t>
      </w:r>
    </w:p>
    <w:p w14:paraId="216F451A">
      <w:pPr>
        <w:spacing w:line="360" w:lineRule="exact"/>
        <w:rPr>
          <w:rFonts w:ascii="宋体" w:hAnsi="宋体" w:cs="宋体"/>
          <w:b/>
          <w:color w:val="auto"/>
          <w:kern w:val="1"/>
          <w:szCs w:val="21"/>
        </w:rPr>
      </w:pPr>
      <w:bookmarkStart w:id="975" w:name="_Toc373478395"/>
      <w:bookmarkEnd w:id="975"/>
      <w:bookmarkStart w:id="976" w:name="_Toc373227748"/>
      <w:bookmarkEnd w:id="976"/>
      <w:r>
        <w:rPr>
          <w:rFonts w:ascii="宋体" w:hAnsi="宋体" w:cs="宋体"/>
          <w:b/>
          <w:color w:val="auto"/>
          <w:kern w:val="1"/>
          <w:szCs w:val="21"/>
        </w:rPr>
        <w:t>12. 合同价格、计量与支付</w:t>
      </w:r>
    </w:p>
    <w:p w14:paraId="718DE3A0">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977" w:name="_Toc373478396"/>
      <w:bookmarkEnd w:id="977"/>
      <w:bookmarkStart w:id="978" w:name="_Toc373227749"/>
      <w:bookmarkEnd w:id="978"/>
      <w:bookmarkStart w:id="979" w:name="_Toc406054790"/>
      <w:bookmarkEnd w:id="979"/>
      <w:bookmarkStart w:id="980" w:name="_Toc24916"/>
      <w:bookmarkStart w:id="981" w:name="_Toc1967"/>
      <w:bookmarkStart w:id="982" w:name="_Toc30378"/>
      <w:bookmarkStart w:id="983" w:name="_Toc8019"/>
      <w:bookmarkStart w:id="984" w:name="_Toc9075"/>
      <w:r>
        <w:rPr>
          <w:rFonts w:ascii="宋体" w:hAnsi="宋体" w:cs="宋体"/>
          <w:color w:val="auto"/>
          <w:sz w:val="21"/>
          <w:szCs w:val="21"/>
          <w:lang w:val="zh-CN"/>
        </w:rPr>
        <w:t>12.1 合同价格形式</w:t>
      </w:r>
      <w:bookmarkEnd w:id="980"/>
      <w:bookmarkEnd w:id="981"/>
      <w:bookmarkEnd w:id="982"/>
      <w:bookmarkEnd w:id="983"/>
      <w:bookmarkEnd w:id="984"/>
    </w:p>
    <w:p w14:paraId="1C2495AF">
      <w:pPr>
        <w:spacing w:line="360" w:lineRule="exact"/>
        <w:ind w:firstLine="420"/>
        <w:jc w:val="left"/>
        <w:rPr>
          <w:rFonts w:ascii="宋体" w:hAnsi="宋体" w:cs="宋体"/>
          <w:color w:val="auto"/>
          <w:kern w:val="1"/>
          <w:szCs w:val="21"/>
        </w:rPr>
      </w:pPr>
      <w:r>
        <w:rPr>
          <w:rFonts w:hint="eastAsia" w:ascii="宋体" w:hAnsi="宋体" w:cs="宋体"/>
          <w:color w:val="auto"/>
          <w:kern w:val="1"/>
          <w:szCs w:val="21"/>
        </w:rPr>
        <w:t>本项目采用总价合同</w:t>
      </w:r>
      <w:r>
        <w:rPr>
          <w:rFonts w:ascii="宋体" w:hAnsi="宋体" w:cs="宋体"/>
          <w:color w:val="auto"/>
          <w:kern w:val="1"/>
          <w:szCs w:val="21"/>
        </w:rPr>
        <w:t>。</w:t>
      </w:r>
    </w:p>
    <w:p w14:paraId="053B29C6">
      <w:pPr>
        <w:spacing w:line="360" w:lineRule="exact"/>
        <w:ind w:firstLine="420"/>
        <w:jc w:val="left"/>
        <w:rPr>
          <w:rFonts w:ascii="宋体" w:hAnsi="宋体" w:cs="宋体"/>
          <w:color w:val="auto"/>
          <w:kern w:val="1"/>
          <w:szCs w:val="21"/>
        </w:rPr>
      </w:pPr>
      <w:r>
        <w:rPr>
          <w:rFonts w:ascii="宋体" w:hAnsi="宋体" w:cs="宋体"/>
          <w:color w:val="auto"/>
          <w:kern w:val="1"/>
          <w:szCs w:val="21"/>
        </w:rPr>
        <w:t>总价包含的风险范围：</w:t>
      </w:r>
      <w:bookmarkStart w:id="985" w:name="_Hlk145338478"/>
      <w:r>
        <w:rPr>
          <w:rFonts w:hint="eastAsia" w:ascii="宋体" w:hAnsi="宋体" w:cs="宋体"/>
          <w:color w:val="auto"/>
          <w:kern w:val="1"/>
          <w:szCs w:val="21"/>
          <w:u w:val="single"/>
        </w:rPr>
        <w:t>除涉及变更以外（含发包人要求增加的工作内容的）的风险 。由承包人提出的变更施工方法导致的施工费用增加，由承包人自行承担</w:t>
      </w:r>
      <w:r>
        <w:rPr>
          <w:rFonts w:ascii="宋体" w:hAnsi="宋体" w:cs="宋体"/>
          <w:color w:val="auto"/>
          <w:kern w:val="1"/>
          <w:szCs w:val="21"/>
        </w:rPr>
        <w:t>。</w:t>
      </w:r>
      <w:bookmarkEnd w:id="985"/>
    </w:p>
    <w:p w14:paraId="16096C11">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风险费用的计算方法：</w:t>
      </w:r>
      <w:r>
        <w:rPr>
          <w:rFonts w:hint="eastAsia" w:ascii="宋体" w:hAnsi="宋体" w:cs="宋体"/>
          <w:color w:val="auto"/>
          <w:kern w:val="1"/>
          <w:szCs w:val="21"/>
          <w:u w:val="single"/>
        </w:rPr>
        <w:t>由承包人自行考虑计算。</w:t>
      </w:r>
    </w:p>
    <w:p w14:paraId="555CD73F">
      <w:pPr>
        <w:spacing w:line="360" w:lineRule="exact"/>
        <w:ind w:firstLine="420"/>
        <w:jc w:val="left"/>
        <w:rPr>
          <w:rFonts w:ascii="宋体" w:hAnsi="宋体" w:cs="宋体"/>
          <w:color w:val="auto"/>
          <w:kern w:val="1"/>
          <w:szCs w:val="21"/>
        </w:rPr>
      </w:pPr>
      <w:r>
        <w:rPr>
          <w:rFonts w:ascii="宋体" w:hAnsi="宋体" w:cs="宋体"/>
          <w:color w:val="auto"/>
          <w:kern w:val="1"/>
          <w:szCs w:val="21"/>
        </w:rPr>
        <w:t>风险范围以外合同价格的调整方法：</w:t>
      </w:r>
      <w:r>
        <w:rPr>
          <w:rFonts w:hint="eastAsia" w:ascii="宋体" w:hAnsi="宋体" w:cs="宋体"/>
          <w:b/>
          <w:color w:val="auto"/>
          <w:kern w:val="1"/>
          <w:szCs w:val="21"/>
          <w:u w:val="single"/>
        </w:rPr>
        <w:t xml:space="preserve">按 </w:t>
      </w:r>
      <w:r>
        <w:rPr>
          <w:rFonts w:ascii="宋体" w:hAnsi="宋体" w:cs="宋体"/>
          <w:b/>
          <w:color w:val="auto"/>
          <w:kern w:val="1"/>
          <w:szCs w:val="21"/>
          <w:u w:val="single"/>
        </w:rPr>
        <w:t>10.4.1 变更估价原则</w:t>
      </w:r>
      <w:r>
        <w:rPr>
          <w:rFonts w:ascii="宋体" w:hAnsi="宋体" w:cs="宋体"/>
          <w:color w:val="auto"/>
          <w:kern w:val="1"/>
          <w:szCs w:val="21"/>
        </w:rPr>
        <w:t xml:space="preserve">。 </w:t>
      </w:r>
    </w:p>
    <w:p w14:paraId="7AECCC70">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3、其他价格方式：</w:t>
      </w:r>
      <w:r>
        <w:rPr>
          <w:rFonts w:hint="eastAsia" w:ascii="宋体" w:hAnsi="宋体" w:cs="宋体"/>
          <w:color w:val="auto"/>
          <w:kern w:val="1"/>
          <w:szCs w:val="21"/>
          <w:u w:val="single"/>
        </w:rPr>
        <w:t>无</w:t>
      </w:r>
      <w:r>
        <w:rPr>
          <w:rFonts w:ascii="宋体" w:hAnsi="宋体" w:cs="宋体"/>
          <w:color w:val="auto"/>
          <w:kern w:val="1"/>
          <w:szCs w:val="21"/>
        </w:rPr>
        <w:t>。</w:t>
      </w:r>
    </w:p>
    <w:p w14:paraId="523AF7A5">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986" w:name="_Toc373227750"/>
      <w:bookmarkEnd w:id="986"/>
      <w:bookmarkStart w:id="987" w:name="_Toc373478397"/>
      <w:bookmarkEnd w:id="987"/>
      <w:bookmarkStart w:id="988" w:name="_Toc406054791"/>
      <w:bookmarkEnd w:id="988"/>
      <w:bookmarkStart w:id="989" w:name="_Toc15370"/>
      <w:bookmarkStart w:id="990" w:name="_Toc10504"/>
      <w:bookmarkStart w:id="991" w:name="_Toc2565"/>
      <w:bookmarkStart w:id="992" w:name="_Toc920"/>
      <w:bookmarkStart w:id="993" w:name="_Toc13283"/>
      <w:r>
        <w:rPr>
          <w:rFonts w:ascii="宋体" w:hAnsi="宋体" w:cs="宋体"/>
          <w:color w:val="auto"/>
          <w:sz w:val="21"/>
          <w:szCs w:val="21"/>
          <w:lang w:val="zh-CN"/>
        </w:rPr>
        <w:t>12.2 预付款</w:t>
      </w:r>
      <w:bookmarkEnd w:id="989"/>
      <w:bookmarkEnd w:id="990"/>
      <w:bookmarkEnd w:id="991"/>
      <w:bookmarkEnd w:id="992"/>
      <w:bookmarkEnd w:id="993"/>
    </w:p>
    <w:p w14:paraId="2CC36C50">
      <w:pPr>
        <w:spacing w:line="360" w:lineRule="exact"/>
        <w:ind w:firstLine="420"/>
        <w:jc w:val="left"/>
        <w:rPr>
          <w:rFonts w:ascii="宋体" w:hAnsi="宋体" w:cs="宋体"/>
          <w:color w:val="auto"/>
          <w:kern w:val="1"/>
          <w:szCs w:val="21"/>
        </w:rPr>
      </w:pPr>
      <w:r>
        <w:rPr>
          <w:rFonts w:hint="eastAsia" w:ascii="宋体" w:hAnsi="宋体" w:cs="宋体"/>
          <w:color w:val="auto"/>
          <w:kern w:val="1"/>
          <w:szCs w:val="21"/>
        </w:rPr>
        <w:t>12.2.1 预付款的支付</w:t>
      </w:r>
    </w:p>
    <w:p w14:paraId="7BAAA9C6">
      <w:pPr>
        <w:spacing w:line="360" w:lineRule="exact"/>
        <w:ind w:firstLine="420"/>
        <w:jc w:val="left"/>
        <w:rPr>
          <w:color w:val="auto"/>
        </w:rPr>
      </w:pPr>
      <w:r>
        <w:rPr>
          <w:rFonts w:hint="eastAsia" w:ascii="宋体" w:hAnsi="宋体" w:cs="宋体"/>
          <w:color w:val="auto"/>
          <w:kern w:val="1"/>
          <w:szCs w:val="21"/>
        </w:rPr>
        <w:t>预付款支付比例或金额：</w:t>
      </w:r>
      <w:r>
        <w:rPr>
          <w:rFonts w:hint="eastAsia"/>
          <w:color w:val="auto"/>
          <w:u w:val="single"/>
        </w:rPr>
        <w:t xml:space="preserve">0元 </w:t>
      </w:r>
      <w:r>
        <w:rPr>
          <w:rFonts w:hint="eastAsia"/>
          <w:color w:val="auto"/>
        </w:rPr>
        <w:t>。</w:t>
      </w:r>
    </w:p>
    <w:p w14:paraId="3224EE64">
      <w:pPr>
        <w:spacing w:line="360" w:lineRule="exact"/>
        <w:ind w:firstLine="420"/>
        <w:jc w:val="left"/>
        <w:rPr>
          <w:rFonts w:ascii="宋体" w:hAnsi="宋体" w:cs="宋体"/>
          <w:color w:val="auto"/>
          <w:kern w:val="1"/>
          <w:szCs w:val="21"/>
        </w:rPr>
      </w:pPr>
      <w:r>
        <w:rPr>
          <w:rFonts w:hint="eastAsia" w:ascii="宋体" w:hAnsi="宋体" w:cs="宋体"/>
          <w:color w:val="auto"/>
          <w:kern w:val="1"/>
          <w:szCs w:val="21"/>
        </w:rPr>
        <w:t>预付款支付期限：</w:t>
      </w:r>
      <w:r>
        <w:rPr>
          <w:rFonts w:hint="eastAsia"/>
          <w:color w:val="auto"/>
        </w:rPr>
        <w:t>/。</w:t>
      </w:r>
    </w:p>
    <w:p w14:paraId="3A8B46CF">
      <w:pPr>
        <w:spacing w:line="360" w:lineRule="exact"/>
        <w:ind w:firstLine="420"/>
        <w:jc w:val="left"/>
        <w:rPr>
          <w:rFonts w:ascii="宋体" w:hAnsi="宋体" w:cs="宋体"/>
          <w:color w:val="auto"/>
          <w:kern w:val="1"/>
          <w:szCs w:val="21"/>
        </w:rPr>
      </w:pPr>
      <w:r>
        <w:rPr>
          <w:rFonts w:hint="eastAsia" w:ascii="宋体" w:hAnsi="宋体" w:cs="宋体"/>
          <w:color w:val="auto"/>
          <w:kern w:val="1"/>
          <w:szCs w:val="21"/>
        </w:rPr>
        <w:t>预付款扣回的方式/。</w:t>
      </w:r>
    </w:p>
    <w:p w14:paraId="1DDFE34A">
      <w:pPr>
        <w:spacing w:line="360" w:lineRule="exact"/>
        <w:ind w:firstLine="420"/>
        <w:jc w:val="left"/>
        <w:rPr>
          <w:rFonts w:ascii="宋体" w:hAnsi="宋体" w:cs="宋体"/>
          <w:color w:val="auto"/>
          <w:kern w:val="1"/>
          <w:szCs w:val="21"/>
        </w:rPr>
      </w:pPr>
      <w:r>
        <w:rPr>
          <w:rFonts w:ascii="宋体" w:hAnsi="宋体" w:cs="宋体"/>
          <w:color w:val="auto"/>
          <w:kern w:val="1"/>
          <w:szCs w:val="21"/>
        </w:rPr>
        <w:t>12.2.2 预付款担保</w:t>
      </w:r>
    </w:p>
    <w:p w14:paraId="4D8760CD">
      <w:pPr>
        <w:spacing w:line="360" w:lineRule="exact"/>
        <w:ind w:firstLine="420"/>
        <w:jc w:val="left"/>
        <w:rPr>
          <w:rFonts w:ascii="宋体" w:hAnsi="宋体" w:cs="宋体"/>
          <w:color w:val="auto"/>
          <w:kern w:val="1"/>
          <w:szCs w:val="21"/>
        </w:rPr>
      </w:pPr>
      <w:r>
        <w:rPr>
          <w:rFonts w:ascii="宋体" w:hAnsi="宋体" w:cs="宋体"/>
          <w:color w:val="auto"/>
          <w:kern w:val="1"/>
          <w:szCs w:val="21"/>
        </w:rPr>
        <w:t>承包人提交预付款担保的期限：</w:t>
      </w:r>
      <w:r>
        <w:rPr>
          <w:rFonts w:hint="eastAsia"/>
          <w:color w:val="auto"/>
        </w:rPr>
        <w:t>/。</w:t>
      </w:r>
    </w:p>
    <w:p w14:paraId="5D4E5410">
      <w:pPr>
        <w:spacing w:line="360" w:lineRule="exact"/>
        <w:ind w:firstLine="420"/>
        <w:jc w:val="left"/>
        <w:rPr>
          <w:rFonts w:ascii="宋体" w:hAnsi="宋体" w:cs="宋体"/>
          <w:color w:val="auto"/>
          <w:kern w:val="1"/>
          <w:szCs w:val="21"/>
        </w:rPr>
      </w:pPr>
      <w:r>
        <w:rPr>
          <w:rFonts w:ascii="宋体" w:hAnsi="宋体" w:cs="宋体"/>
          <w:color w:val="auto"/>
          <w:kern w:val="1"/>
          <w:szCs w:val="21"/>
        </w:rPr>
        <w:t>预付款担保的形式为：</w:t>
      </w:r>
      <w:r>
        <w:rPr>
          <w:rFonts w:hint="eastAsia"/>
          <w:color w:val="auto"/>
        </w:rPr>
        <w:t>/</w:t>
      </w:r>
      <w:r>
        <w:rPr>
          <w:rFonts w:ascii="宋体" w:hAnsi="宋体" w:cs="宋体"/>
          <w:color w:val="auto"/>
          <w:kern w:val="1"/>
          <w:szCs w:val="21"/>
        </w:rPr>
        <w:t>。</w:t>
      </w:r>
    </w:p>
    <w:p w14:paraId="2443BA13">
      <w:pPr>
        <w:pStyle w:val="2"/>
        <w:keepNext w:val="0"/>
        <w:spacing w:line="360" w:lineRule="exact"/>
        <w:rPr>
          <w:rFonts w:ascii="宋体" w:hAnsi="宋体" w:cs="宋体"/>
          <w:color w:val="auto"/>
          <w:sz w:val="21"/>
          <w:szCs w:val="21"/>
          <w:lang w:val="zh-CN"/>
        </w:rPr>
      </w:pPr>
      <w:bookmarkStart w:id="994" w:name="_Toc406054792"/>
      <w:bookmarkEnd w:id="994"/>
      <w:bookmarkStart w:id="995" w:name="_Toc373478398"/>
      <w:bookmarkEnd w:id="995"/>
      <w:bookmarkStart w:id="996" w:name="_Toc373227751"/>
      <w:bookmarkEnd w:id="996"/>
      <w:bookmarkStart w:id="997" w:name="_Toc23525"/>
      <w:bookmarkStart w:id="998" w:name="_Toc5567"/>
      <w:bookmarkStart w:id="999" w:name="_Toc8755"/>
      <w:bookmarkStart w:id="1000" w:name="_Toc27246"/>
      <w:bookmarkStart w:id="1001" w:name="_Toc14946"/>
      <w:r>
        <w:rPr>
          <w:rFonts w:ascii="宋体" w:hAnsi="宋体" w:cs="宋体"/>
          <w:color w:val="auto"/>
          <w:sz w:val="21"/>
          <w:szCs w:val="21"/>
          <w:lang w:val="zh-CN"/>
        </w:rPr>
        <w:t>12.3 计量</w:t>
      </w:r>
      <w:bookmarkEnd w:id="997"/>
      <w:bookmarkEnd w:id="998"/>
      <w:bookmarkEnd w:id="999"/>
      <w:bookmarkEnd w:id="1000"/>
      <w:bookmarkEnd w:id="1001"/>
    </w:p>
    <w:p w14:paraId="2512B43A">
      <w:pPr>
        <w:spacing w:line="360" w:lineRule="exact"/>
        <w:ind w:firstLine="420"/>
        <w:jc w:val="left"/>
        <w:rPr>
          <w:rFonts w:ascii="宋体" w:hAnsi="宋体" w:cs="宋体"/>
          <w:color w:val="auto"/>
          <w:kern w:val="1"/>
          <w:szCs w:val="21"/>
        </w:rPr>
      </w:pPr>
      <w:r>
        <w:rPr>
          <w:rFonts w:ascii="宋体" w:hAnsi="宋体" w:cs="宋体"/>
          <w:color w:val="auto"/>
          <w:kern w:val="1"/>
          <w:szCs w:val="21"/>
        </w:rPr>
        <w:t>12.3.1 计量原则</w:t>
      </w:r>
    </w:p>
    <w:p w14:paraId="5A0DEBB6">
      <w:pPr>
        <w:spacing w:line="360" w:lineRule="exact"/>
        <w:ind w:firstLine="420"/>
        <w:jc w:val="left"/>
        <w:rPr>
          <w:rFonts w:ascii="宋体" w:hAnsi="宋体" w:cs="宋体"/>
          <w:color w:val="auto"/>
          <w:kern w:val="1"/>
          <w:szCs w:val="21"/>
        </w:rPr>
      </w:pPr>
      <w:r>
        <w:rPr>
          <w:rFonts w:ascii="宋体" w:hAnsi="宋体" w:cs="宋体"/>
          <w:color w:val="auto"/>
          <w:kern w:val="1"/>
          <w:szCs w:val="21"/>
        </w:rPr>
        <w:t>工程量计算规则：</w:t>
      </w:r>
      <w:r>
        <w:rPr>
          <w:rFonts w:ascii="宋体" w:hAnsi="宋体" w:cs="宋体"/>
          <w:color w:val="auto"/>
          <w:kern w:val="1"/>
          <w:szCs w:val="21"/>
          <w:u w:val="single"/>
        </w:rPr>
        <w:t>工程的计量均以《建设工程工程量清单计价规范》（GB50500－2013）和及其广西壮族自治区实施细则、《建设工程工程量清单计算规范》（GB50854</w:t>
      </w:r>
      <w:r>
        <w:rPr>
          <w:rFonts w:hint="eastAsia" w:ascii="宋体" w:hAnsi="宋体" w:cs="宋体"/>
          <w:color w:val="auto"/>
          <w:kern w:val="1"/>
          <w:szCs w:val="21"/>
          <w:u w:val="single"/>
        </w:rPr>
        <w:t>～</w:t>
      </w:r>
      <w:r>
        <w:rPr>
          <w:rFonts w:ascii="宋体" w:hAnsi="宋体" w:cs="宋体"/>
          <w:color w:val="auto"/>
          <w:kern w:val="1"/>
          <w:szCs w:val="21"/>
          <w:u w:val="single"/>
        </w:rPr>
        <w:t>50862－2013）及其广西实施细则、本工程补充项目清单为准。</w:t>
      </w:r>
    </w:p>
    <w:p w14:paraId="1370A9A8">
      <w:pPr>
        <w:spacing w:line="360" w:lineRule="exact"/>
        <w:ind w:firstLine="420"/>
        <w:jc w:val="left"/>
        <w:rPr>
          <w:rFonts w:ascii="宋体" w:hAnsi="宋体" w:cs="宋体"/>
          <w:color w:val="auto"/>
          <w:kern w:val="1"/>
          <w:szCs w:val="21"/>
        </w:rPr>
      </w:pPr>
      <w:r>
        <w:rPr>
          <w:rFonts w:ascii="宋体" w:hAnsi="宋体" w:cs="宋体"/>
          <w:color w:val="auto"/>
          <w:kern w:val="1"/>
          <w:szCs w:val="21"/>
        </w:rPr>
        <w:t>12.3.2 计量周期</w:t>
      </w:r>
    </w:p>
    <w:p w14:paraId="30CFF049">
      <w:pPr>
        <w:spacing w:line="360" w:lineRule="exact"/>
        <w:ind w:firstLine="420"/>
        <w:jc w:val="left"/>
        <w:rPr>
          <w:rFonts w:ascii="宋体" w:hAnsi="宋体" w:cs="宋体"/>
          <w:color w:val="auto"/>
          <w:kern w:val="1"/>
          <w:szCs w:val="21"/>
        </w:rPr>
      </w:pPr>
      <w:r>
        <w:rPr>
          <w:rFonts w:ascii="宋体" w:hAnsi="宋体" w:cs="宋体"/>
          <w:color w:val="auto"/>
          <w:kern w:val="1"/>
          <w:szCs w:val="21"/>
        </w:rPr>
        <w:t>关于计量周期的约定：</w:t>
      </w:r>
      <w:r>
        <w:rPr>
          <w:rFonts w:ascii="宋体" w:hAnsi="宋体" w:cs="宋体"/>
          <w:color w:val="auto"/>
          <w:kern w:val="1"/>
          <w:szCs w:val="21"/>
          <w:u w:val="single"/>
        </w:rPr>
        <w:t>每月25日前</w:t>
      </w:r>
      <w:r>
        <w:rPr>
          <w:rFonts w:ascii="宋体" w:hAnsi="宋体" w:cs="宋体"/>
          <w:color w:val="auto"/>
          <w:kern w:val="1"/>
          <w:szCs w:val="21"/>
        </w:rPr>
        <w:t>。</w:t>
      </w:r>
    </w:p>
    <w:p w14:paraId="495271FE">
      <w:pPr>
        <w:spacing w:line="360" w:lineRule="exact"/>
        <w:ind w:firstLine="420"/>
        <w:jc w:val="left"/>
        <w:rPr>
          <w:rFonts w:ascii="宋体" w:hAnsi="宋体" w:cs="宋体"/>
          <w:color w:val="auto"/>
          <w:kern w:val="1"/>
          <w:szCs w:val="21"/>
        </w:rPr>
      </w:pPr>
      <w:r>
        <w:rPr>
          <w:rFonts w:ascii="宋体" w:hAnsi="宋体" w:cs="宋体"/>
          <w:color w:val="auto"/>
          <w:kern w:val="1"/>
          <w:szCs w:val="21"/>
        </w:rPr>
        <w:t>12.3.4 总价合同的计量</w:t>
      </w:r>
    </w:p>
    <w:p w14:paraId="144E32B7">
      <w:pPr>
        <w:spacing w:line="360" w:lineRule="exact"/>
        <w:ind w:firstLine="420"/>
        <w:jc w:val="left"/>
        <w:rPr>
          <w:rFonts w:ascii="宋体" w:hAnsi="宋体" w:cs="宋体"/>
          <w:color w:val="auto"/>
          <w:kern w:val="1"/>
          <w:szCs w:val="21"/>
        </w:rPr>
      </w:pPr>
      <w:r>
        <w:rPr>
          <w:rFonts w:ascii="宋体" w:hAnsi="宋体" w:cs="宋体"/>
          <w:color w:val="auto"/>
          <w:kern w:val="1"/>
          <w:szCs w:val="21"/>
        </w:rPr>
        <w:t>关于总价合同计量的约定：</w:t>
      </w:r>
      <w:r>
        <w:rPr>
          <w:rFonts w:hint="eastAsia" w:ascii="宋体" w:hAnsi="宋体" w:cs="宋体"/>
          <w:color w:val="auto"/>
          <w:kern w:val="1"/>
          <w:szCs w:val="21"/>
          <w:u w:val="single"/>
        </w:rPr>
        <w:t>按完成分部分项和图纸内容计量</w:t>
      </w:r>
      <w:r>
        <w:rPr>
          <w:rFonts w:ascii="宋体" w:hAnsi="宋体" w:cs="宋体"/>
          <w:color w:val="auto"/>
          <w:kern w:val="1"/>
          <w:szCs w:val="21"/>
        </w:rPr>
        <w:t>。</w:t>
      </w:r>
    </w:p>
    <w:p w14:paraId="11757118">
      <w:pPr>
        <w:spacing w:line="360" w:lineRule="exact"/>
        <w:ind w:firstLine="420"/>
        <w:jc w:val="left"/>
        <w:rPr>
          <w:rFonts w:ascii="宋体" w:hAnsi="宋体" w:cs="宋体"/>
          <w:color w:val="auto"/>
          <w:kern w:val="1"/>
          <w:szCs w:val="21"/>
        </w:rPr>
      </w:pPr>
      <w:r>
        <w:rPr>
          <w:rFonts w:ascii="宋体" w:hAnsi="宋体" w:cs="宋体"/>
          <w:color w:val="auto"/>
          <w:kern w:val="1"/>
          <w:szCs w:val="21"/>
        </w:rPr>
        <w:t>12.3.5总价合同采用支付分解表计量支付的，是否适用第12.3.4 项〔总价合同的计量〕约定进行计量：</w:t>
      </w:r>
      <w:r>
        <w:rPr>
          <w:rFonts w:hint="eastAsia" w:ascii="宋体" w:hAnsi="宋体" w:cs="宋体"/>
          <w:color w:val="auto"/>
          <w:kern w:val="1"/>
          <w:szCs w:val="21"/>
          <w:u w:val="single"/>
        </w:rPr>
        <w:t>适用</w:t>
      </w:r>
      <w:r>
        <w:rPr>
          <w:rFonts w:ascii="宋体" w:hAnsi="宋体" w:cs="宋体"/>
          <w:color w:val="auto"/>
          <w:kern w:val="1"/>
          <w:szCs w:val="21"/>
        </w:rPr>
        <w:t>。</w:t>
      </w:r>
    </w:p>
    <w:p w14:paraId="2773C113">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002" w:name="_Toc373227752"/>
      <w:bookmarkEnd w:id="1002"/>
      <w:bookmarkStart w:id="1003" w:name="_Toc373478399"/>
      <w:bookmarkEnd w:id="1003"/>
      <w:bookmarkStart w:id="1004" w:name="_Toc406054793"/>
      <w:bookmarkEnd w:id="1004"/>
      <w:bookmarkStart w:id="1005" w:name="_Toc3113"/>
      <w:bookmarkStart w:id="1006" w:name="_Toc19964"/>
      <w:bookmarkStart w:id="1007" w:name="_Toc15782"/>
      <w:bookmarkStart w:id="1008" w:name="_Toc28291"/>
      <w:bookmarkStart w:id="1009" w:name="_Toc2039"/>
      <w:r>
        <w:rPr>
          <w:rFonts w:ascii="宋体" w:hAnsi="宋体" w:cs="宋体"/>
          <w:color w:val="auto"/>
          <w:sz w:val="21"/>
          <w:szCs w:val="21"/>
          <w:lang w:val="zh-CN"/>
        </w:rPr>
        <w:t>12.4 工程进度款支付</w:t>
      </w:r>
      <w:bookmarkEnd w:id="1005"/>
      <w:bookmarkEnd w:id="1006"/>
      <w:bookmarkEnd w:id="1007"/>
      <w:bookmarkEnd w:id="1008"/>
      <w:bookmarkEnd w:id="1009"/>
    </w:p>
    <w:p w14:paraId="23D6931C">
      <w:pPr>
        <w:spacing w:line="360" w:lineRule="exact"/>
        <w:ind w:firstLine="420"/>
        <w:jc w:val="left"/>
        <w:rPr>
          <w:rFonts w:ascii="宋体" w:hAnsi="宋体" w:cs="宋体"/>
          <w:color w:val="auto"/>
          <w:kern w:val="1"/>
          <w:szCs w:val="21"/>
        </w:rPr>
      </w:pPr>
      <w:bookmarkStart w:id="1010" w:name="_Toc297120511"/>
      <w:bookmarkEnd w:id="1010"/>
      <w:bookmarkStart w:id="1011" w:name="_Toc296347210"/>
      <w:bookmarkEnd w:id="1011"/>
      <w:bookmarkStart w:id="1012" w:name="_Toc292559416"/>
      <w:bookmarkEnd w:id="1012"/>
      <w:bookmarkStart w:id="1013" w:name="_Toc296346712"/>
      <w:bookmarkEnd w:id="1013"/>
      <w:bookmarkStart w:id="1014" w:name="_Toc296944550"/>
      <w:bookmarkEnd w:id="1014"/>
      <w:bookmarkStart w:id="1015" w:name="_Toc296891039"/>
      <w:bookmarkEnd w:id="1015"/>
      <w:bookmarkStart w:id="1016" w:name="_Toc300935006"/>
      <w:bookmarkEnd w:id="1016"/>
      <w:bookmarkStart w:id="1017" w:name="_Toc292559921"/>
      <w:bookmarkEnd w:id="1017"/>
      <w:bookmarkStart w:id="1018" w:name="_Toc297123556"/>
      <w:bookmarkEnd w:id="1018"/>
      <w:bookmarkStart w:id="1019" w:name="_Toc297216215"/>
      <w:bookmarkEnd w:id="1019"/>
      <w:bookmarkStart w:id="1020" w:name="_Toc296891251"/>
      <w:bookmarkEnd w:id="1020"/>
      <w:bookmarkStart w:id="1021" w:name="_Toc297048397"/>
      <w:bookmarkEnd w:id="1021"/>
      <w:bookmarkStart w:id="1022" w:name="_Toc296503211"/>
      <w:bookmarkEnd w:id="1022"/>
      <w:bookmarkStart w:id="1023" w:name="_Toc303539163"/>
      <w:bookmarkEnd w:id="1023"/>
      <w:r>
        <w:rPr>
          <w:rFonts w:ascii="宋体" w:hAnsi="宋体" w:cs="宋体"/>
          <w:color w:val="auto"/>
          <w:kern w:val="1"/>
          <w:szCs w:val="21"/>
        </w:rPr>
        <w:t>12.4.1 付款周期</w:t>
      </w:r>
    </w:p>
    <w:p w14:paraId="6322F37F">
      <w:pPr>
        <w:spacing w:line="360" w:lineRule="exact"/>
        <w:ind w:firstLine="420"/>
        <w:jc w:val="left"/>
        <w:rPr>
          <w:rFonts w:ascii="宋体" w:hAnsi="宋体" w:cs="宋体"/>
          <w:color w:val="auto"/>
          <w:kern w:val="1"/>
          <w:szCs w:val="21"/>
        </w:rPr>
      </w:pPr>
      <w:r>
        <w:rPr>
          <w:rFonts w:ascii="宋体" w:hAnsi="宋体" w:cs="宋体"/>
          <w:color w:val="auto"/>
          <w:kern w:val="1"/>
          <w:szCs w:val="21"/>
        </w:rPr>
        <w:t>关于付款周期的约定：</w:t>
      </w:r>
      <w:r>
        <w:rPr>
          <w:rFonts w:hint="eastAsia" w:ascii="宋体" w:hAnsi="宋体" w:cs="宋体"/>
          <w:color w:val="auto"/>
          <w:kern w:val="1"/>
          <w:szCs w:val="21"/>
        </w:rPr>
        <w:t>经验收合格后，三十个工作日付合同款的97%，其余3%在壹年内无质量问题后付清。如验收不合格，甲方将视情形采取退货、拒付款、终止合同、索赔等措施，直至通过有关部门，依法维权。</w:t>
      </w:r>
    </w:p>
    <w:p w14:paraId="489E3DB4">
      <w:pPr>
        <w:spacing w:line="360" w:lineRule="exact"/>
        <w:ind w:firstLine="420"/>
        <w:jc w:val="left"/>
        <w:rPr>
          <w:rFonts w:ascii="宋体" w:hAnsi="宋体" w:cs="宋体"/>
          <w:color w:val="auto"/>
          <w:kern w:val="1"/>
          <w:szCs w:val="21"/>
        </w:rPr>
      </w:pPr>
      <w:r>
        <w:rPr>
          <w:rFonts w:ascii="宋体" w:hAnsi="宋体" w:cs="宋体"/>
          <w:color w:val="auto"/>
          <w:kern w:val="1"/>
          <w:szCs w:val="21"/>
        </w:rPr>
        <w:t>12.4.2 进度付款申请单的编制</w:t>
      </w:r>
    </w:p>
    <w:p w14:paraId="633408AA">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关于进度付款申请单编制的约定：</w:t>
      </w:r>
      <w:r>
        <w:rPr>
          <w:rFonts w:hint="eastAsia" w:ascii="宋体" w:hAnsi="宋体" w:cs="宋体"/>
          <w:color w:val="auto"/>
          <w:kern w:val="1"/>
          <w:szCs w:val="21"/>
          <w:u w:val="single"/>
        </w:rPr>
        <w:t>符合相关部门的规定，一式肆份</w:t>
      </w:r>
      <w:r>
        <w:rPr>
          <w:rFonts w:ascii="宋体" w:hAnsi="宋体" w:cs="宋体"/>
          <w:color w:val="auto"/>
          <w:kern w:val="1"/>
          <w:szCs w:val="21"/>
        </w:rPr>
        <w:t>。</w:t>
      </w:r>
    </w:p>
    <w:p w14:paraId="59473C8F">
      <w:pPr>
        <w:spacing w:line="360" w:lineRule="exact"/>
        <w:ind w:firstLine="420"/>
        <w:jc w:val="left"/>
        <w:rPr>
          <w:rFonts w:ascii="宋体" w:hAnsi="宋体" w:cs="宋体"/>
          <w:color w:val="auto"/>
          <w:kern w:val="1"/>
          <w:szCs w:val="21"/>
        </w:rPr>
      </w:pPr>
      <w:r>
        <w:rPr>
          <w:rFonts w:ascii="宋体" w:hAnsi="宋体" w:cs="宋体"/>
          <w:color w:val="auto"/>
          <w:kern w:val="1"/>
          <w:szCs w:val="21"/>
        </w:rPr>
        <w:t>12.4.3 进度付款申请单的提交</w:t>
      </w:r>
    </w:p>
    <w:p w14:paraId="494EEA6D">
      <w:pPr>
        <w:spacing w:line="360" w:lineRule="exact"/>
        <w:ind w:firstLine="420"/>
        <w:jc w:val="left"/>
        <w:rPr>
          <w:rFonts w:ascii="宋体" w:hAnsi="宋体" w:cs="宋体"/>
          <w:b/>
          <w:color w:val="auto"/>
          <w:kern w:val="1"/>
          <w:szCs w:val="21"/>
          <w:u w:val="single"/>
        </w:rPr>
      </w:pPr>
      <w:r>
        <w:rPr>
          <w:rFonts w:ascii="宋体" w:hAnsi="宋体" w:cs="宋体"/>
          <w:color w:val="auto"/>
          <w:kern w:val="1"/>
          <w:szCs w:val="21"/>
        </w:rPr>
        <w:t>（1）单价合同进度付款申请单提交的约定：</w:t>
      </w:r>
      <w:r>
        <w:rPr>
          <w:rFonts w:hint="eastAsia" w:ascii="宋体" w:hAnsi="宋体" w:cs="宋体"/>
          <w:color w:val="auto"/>
          <w:kern w:val="1"/>
          <w:szCs w:val="21"/>
          <w:u w:val="single"/>
        </w:rPr>
        <w:t>当月10日提交上个月的</w:t>
      </w:r>
      <w:r>
        <w:rPr>
          <w:rFonts w:ascii="宋体" w:hAnsi="宋体" w:cs="宋体"/>
          <w:color w:val="auto"/>
          <w:kern w:val="1"/>
          <w:szCs w:val="21"/>
        </w:rPr>
        <w:t>。</w:t>
      </w:r>
    </w:p>
    <w:p w14:paraId="43952B2E">
      <w:pPr>
        <w:spacing w:line="360" w:lineRule="exact"/>
        <w:ind w:firstLine="420"/>
        <w:jc w:val="left"/>
        <w:rPr>
          <w:rFonts w:ascii="宋体" w:hAnsi="宋体" w:cs="宋体"/>
          <w:color w:val="auto"/>
          <w:kern w:val="1"/>
          <w:szCs w:val="21"/>
        </w:rPr>
      </w:pPr>
      <w:r>
        <w:rPr>
          <w:rFonts w:ascii="宋体" w:hAnsi="宋体" w:cs="宋体"/>
          <w:color w:val="auto"/>
          <w:kern w:val="1"/>
          <w:szCs w:val="21"/>
        </w:rPr>
        <w:t>（2）总价合同进度付款申请单提交的约定：</w:t>
      </w:r>
      <w:r>
        <w:rPr>
          <w:rFonts w:hint="eastAsia" w:ascii="宋体" w:hAnsi="宋体" w:cs="宋体"/>
          <w:color w:val="auto"/>
          <w:kern w:val="1"/>
          <w:szCs w:val="21"/>
          <w:u w:val="single"/>
        </w:rPr>
        <w:t>本部位（段）在下部位（段）施工时提交</w:t>
      </w:r>
      <w:r>
        <w:rPr>
          <w:rFonts w:ascii="宋体" w:hAnsi="宋体" w:cs="宋体"/>
          <w:color w:val="auto"/>
          <w:kern w:val="1"/>
          <w:szCs w:val="21"/>
        </w:rPr>
        <w:t>。</w:t>
      </w:r>
    </w:p>
    <w:p w14:paraId="3D628F89">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（3）其他价格形式合同进度付款申请单提交的约定：</w:t>
      </w:r>
      <w:r>
        <w:rPr>
          <w:rFonts w:hint="eastAsia" w:ascii="宋体" w:hAnsi="宋体" w:cs="宋体"/>
          <w:color w:val="auto"/>
          <w:kern w:val="1"/>
          <w:szCs w:val="21"/>
          <w:u w:val="single"/>
        </w:rPr>
        <w:t>待定</w:t>
      </w:r>
      <w:r>
        <w:rPr>
          <w:rFonts w:ascii="宋体" w:hAnsi="宋体" w:cs="宋体"/>
          <w:color w:val="auto"/>
          <w:kern w:val="1"/>
          <w:szCs w:val="21"/>
        </w:rPr>
        <w:t>。</w:t>
      </w:r>
    </w:p>
    <w:p w14:paraId="4549ED30">
      <w:pPr>
        <w:spacing w:line="360" w:lineRule="exact"/>
        <w:ind w:firstLine="420"/>
        <w:jc w:val="left"/>
        <w:rPr>
          <w:rFonts w:ascii="宋体" w:hAnsi="宋体" w:cs="宋体"/>
          <w:color w:val="auto"/>
          <w:kern w:val="1"/>
          <w:szCs w:val="21"/>
        </w:rPr>
      </w:pPr>
      <w:r>
        <w:rPr>
          <w:rFonts w:ascii="宋体" w:hAnsi="宋体" w:cs="宋体"/>
          <w:color w:val="auto"/>
          <w:kern w:val="1"/>
          <w:szCs w:val="21"/>
        </w:rPr>
        <w:t>12.4.4 进度款审核和支付</w:t>
      </w:r>
    </w:p>
    <w:p w14:paraId="51BBDC0B">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（1）监理人审查并报送发包人的期限：</w:t>
      </w:r>
      <w:r>
        <w:rPr>
          <w:rFonts w:hint="eastAsia" w:ascii="宋体" w:hAnsi="宋体" w:cs="宋体"/>
          <w:color w:val="auto"/>
          <w:kern w:val="1"/>
          <w:szCs w:val="21"/>
          <w:u w:val="single"/>
        </w:rPr>
        <w:t>收到申请单后7天内</w:t>
      </w:r>
      <w:r>
        <w:rPr>
          <w:rFonts w:ascii="宋体" w:hAnsi="宋体" w:cs="宋体"/>
          <w:color w:val="auto"/>
          <w:kern w:val="1"/>
          <w:szCs w:val="21"/>
        </w:rPr>
        <w:t>。</w:t>
      </w:r>
    </w:p>
    <w:p w14:paraId="47B5C997">
      <w:pPr>
        <w:spacing w:line="360" w:lineRule="exact"/>
        <w:ind w:firstLine="420"/>
        <w:jc w:val="left"/>
        <w:rPr>
          <w:rFonts w:ascii="宋体" w:hAnsi="宋体" w:cs="宋体"/>
          <w:color w:val="auto"/>
          <w:kern w:val="1"/>
          <w:szCs w:val="21"/>
        </w:rPr>
      </w:pPr>
      <w:r>
        <w:rPr>
          <w:rFonts w:ascii="宋体" w:hAnsi="宋体" w:cs="宋体"/>
          <w:color w:val="auto"/>
          <w:kern w:val="1"/>
          <w:szCs w:val="21"/>
        </w:rPr>
        <w:t>（2）发包人支付进度款的期限：</w:t>
      </w:r>
      <w:r>
        <w:rPr>
          <w:rFonts w:hint="eastAsia" w:ascii="宋体" w:hAnsi="宋体" w:cs="宋体"/>
          <w:color w:val="auto"/>
          <w:kern w:val="1"/>
          <w:szCs w:val="21"/>
          <w:u w:val="single"/>
        </w:rPr>
        <w:t>收到监理人</w:t>
      </w:r>
      <w:r>
        <w:rPr>
          <w:rFonts w:hint="eastAsia" w:ascii="宋体" w:hAnsi="宋体" w:cs="宋体"/>
          <w:color w:val="auto"/>
          <w:kern w:val="1"/>
          <w:szCs w:val="21"/>
          <w:u w:val="single"/>
          <w:lang w:eastAsia="zh-CN"/>
        </w:rPr>
        <w:t>（</w:t>
      </w:r>
      <w:r>
        <w:rPr>
          <w:rFonts w:hint="eastAsia" w:ascii="宋体" w:hAnsi="宋体" w:cs="宋体"/>
          <w:color w:val="auto"/>
          <w:kern w:val="1"/>
          <w:szCs w:val="21"/>
          <w:u w:val="single"/>
          <w:lang w:val="en-US" w:eastAsia="zh-CN"/>
        </w:rPr>
        <w:t>如有时</w:t>
      </w:r>
      <w:r>
        <w:rPr>
          <w:rFonts w:hint="eastAsia" w:ascii="宋体" w:hAnsi="宋体" w:cs="宋体"/>
          <w:color w:val="auto"/>
          <w:kern w:val="1"/>
          <w:szCs w:val="21"/>
          <w:u w:val="single"/>
          <w:lang w:eastAsia="zh-CN"/>
        </w:rPr>
        <w:t>）</w:t>
      </w:r>
      <w:r>
        <w:rPr>
          <w:rFonts w:hint="eastAsia" w:ascii="宋体" w:hAnsi="宋体" w:cs="宋体"/>
          <w:color w:val="auto"/>
          <w:kern w:val="1"/>
          <w:szCs w:val="21"/>
          <w:u w:val="single"/>
        </w:rPr>
        <w:t>的审核单后3天内审批完毕。</w:t>
      </w:r>
      <w:r>
        <w:rPr>
          <w:rFonts w:hint="eastAsia" w:ascii="宋体" w:hAnsi="宋体" w:cs="宋体"/>
          <w:color w:val="auto"/>
          <w:kern w:val="1"/>
          <w:szCs w:val="21"/>
          <w:u w:val="single"/>
          <w:lang w:val="en-US" w:eastAsia="zh-CN"/>
        </w:rPr>
        <w:t>审批完毕</w:t>
      </w:r>
      <w:r>
        <w:rPr>
          <w:rFonts w:hint="eastAsia" w:ascii="宋体" w:hAnsi="宋体" w:cs="宋体"/>
          <w:color w:val="auto"/>
          <w:kern w:val="1"/>
          <w:szCs w:val="21"/>
          <w:u w:val="single"/>
        </w:rPr>
        <w:t>后5天内支付</w:t>
      </w:r>
      <w:r>
        <w:rPr>
          <w:rFonts w:ascii="宋体" w:hAnsi="宋体" w:cs="宋体"/>
          <w:color w:val="auto"/>
          <w:kern w:val="1"/>
          <w:szCs w:val="21"/>
        </w:rPr>
        <w:t>。</w:t>
      </w:r>
    </w:p>
    <w:p w14:paraId="6D736902">
      <w:pPr>
        <w:spacing w:line="360" w:lineRule="exact"/>
        <w:ind w:firstLine="525"/>
        <w:jc w:val="left"/>
        <w:rPr>
          <w:rFonts w:ascii="宋体" w:hAnsi="宋体" w:cs="宋体"/>
          <w:color w:val="auto"/>
          <w:kern w:val="1"/>
          <w:szCs w:val="21"/>
        </w:rPr>
      </w:pPr>
      <w:r>
        <w:rPr>
          <w:rFonts w:ascii="宋体" w:hAnsi="宋体" w:cs="宋体"/>
          <w:color w:val="auto"/>
          <w:kern w:val="1"/>
          <w:szCs w:val="21"/>
        </w:rPr>
        <w:t>发包人逾期支付进度款的违约金的计算方式：</w:t>
      </w:r>
      <w:r>
        <w:rPr>
          <w:rFonts w:hint="eastAsia" w:ascii="宋体" w:hAnsi="宋体" w:cs="宋体"/>
          <w:color w:val="auto"/>
          <w:kern w:val="1"/>
          <w:szCs w:val="21"/>
          <w:u w:val="single"/>
        </w:rPr>
        <w:t>每逾期1天支付万分之一的违约金（应得工程款×1‱），上限不超过所欠应得工程款的5%</w:t>
      </w:r>
      <w:r>
        <w:rPr>
          <w:rFonts w:ascii="宋体" w:hAnsi="宋体" w:cs="宋体"/>
          <w:color w:val="auto"/>
          <w:kern w:val="1"/>
          <w:szCs w:val="21"/>
        </w:rPr>
        <w:t>。</w:t>
      </w:r>
    </w:p>
    <w:p w14:paraId="0F20E7C9">
      <w:pPr>
        <w:spacing w:line="360" w:lineRule="exact"/>
        <w:ind w:firstLine="525"/>
        <w:jc w:val="left"/>
        <w:rPr>
          <w:rFonts w:ascii="宋体" w:hAnsi="宋体" w:cs="宋体"/>
          <w:color w:val="auto"/>
          <w:kern w:val="1"/>
          <w:szCs w:val="21"/>
        </w:rPr>
      </w:pPr>
      <w:r>
        <w:rPr>
          <w:rFonts w:ascii="宋体" w:hAnsi="宋体" w:cs="宋体"/>
          <w:color w:val="auto"/>
          <w:kern w:val="1"/>
          <w:szCs w:val="21"/>
        </w:rPr>
        <w:t>进度款支付方式：</w:t>
      </w:r>
      <w:r>
        <w:rPr>
          <w:rFonts w:ascii="宋体" w:hAnsi="宋体" w:cs="宋体"/>
          <w:color w:val="auto"/>
          <w:kern w:val="1"/>
          <w:szCs w:val="21"/>
          <w:u w:val="single"/>
        </w:rPr>
        <w:t>银行转账</w:t>
      </w:r>
      <w:r>
        <w:rPr>
          <w:rFonts w:ascii="宋体" w:hAnsi="宋体" w:cs="宋体"/>
          <w:color w:val="auto"/>
          <w:kern w:val="1"/>
          <w:szCs w:val="21"/>
        </w:rPr>
        <w:t>。</w:t>
      </w:r>
    </w:p>
    <w:p w14:paraId="3A5DBE3F">
      <w:pPr>
        <w:spacing w:line="360" w:lineRule="exact"/>
        <w:ind w:firstLine="525" w:firstLineChars="250"/>
        <w:jc w:val="left"/>
        <w:rPr>
          <w:rFonts w:hAnsi="宋体"/>
          <w:color w:val="auto"/>
          <w:szCs w:val="21"/>
        </w:rPr>
      </w:pPr>
      <w:r>
        <w:rPr>
          <w:rFonts w:hint="eastAsia" w:hAnsi="宋体"/>
          <w:color w:val="auto"/>
          <w:szCs w:val="21"/>
        </w:rPr>
        <w:t>（3） 农民工工资支付</w:t>
      </w:r>
    </w:p>
    <w:p w14:paraId="6B7C2451">
      <w:pPr>
        <w:autoSpaceDE w:val="0"/>
        <w:autoSpaceDN w:val="0"/>
        <w:adjustRightInd w:val="0"/>
        <w:spacing w:line="360" w:lineRule="exact"/>
        <w:ind w:firstLine="420" w:firstLineChars="200"/>
        <w:jc w:val="left"/>
        <w:rPr>
          <w:rFonts w:hAnsi="宋体"/>
          <w:color w:val="auto"/>
          <w:szCs w:val="21"/>
        </w:rPr>
      </w:pPr>
      <w:r>
        <w:rPr>
          <w:rFonts w:hint="eastAsia" w:hAnsi="宋体" w:cs="宋体"/>
          <w:color w:val="auto"/>
          <w:kern w:val="0"/>
          <w:szCs w:val="21"/>
        </w:rPr>
        <w:t>1）农民工工资应与其它工程进度款分账管理。承包人向发包人申请工程进度款时必须把工人工资部分单独列明，如果未单独列明，监理单位不得签支付证书等支付工程款的手续，发包人单位有权拒绝审批和支付工程款。发包人必须把工程款分账出来的农民工工资转入承包人工人工资支付专用账户专户，转入专户环节必须有银行流水凭证。</w:t>
      </w:r>
    </w:p>
    <w:p w14:paraId="07C6DE60">
      <w:pPr>
        <w:spacing w:line="360" w:lineRule="exact"/>
        <w:ind w:firstLine="525" w:firstLineChars="250"/>
        <w:jc w:val="left"/>
        <w:rPr>
          <w:rFonts w:hAnsi="宋体"/>
          <w:color w:val="auto"/>
          <w:szCs w:val="21"/>
        </w:rPr>
      </w:pPr>
      <w:r>
        <w:rPr>
          <w:rFonts w:hint="eastAsia" w:hAnsi="宋体"/>
          <w:color w:val="auto"/>
          <w:szCs w:val="21"/>
        </w:rPr>
        <w:t>2）发包人依据工程进度，按与承包人约定的农民工支付比例，将工程人工费分账支付到承包人的农民工工资专户，工程完工时发包人向承包人农民工工资专户支付的完工工程量的人工费支付比例不低于20%，其余工程进度款项由发包人支付到承包人的单位基本户。</w:t>
      </w:r>
    </w:p>
    <w:p w14:paraId="4D23C0ED">
      <w:pPr>
        <w:spacing w:line="360" w:lineRule="exact"/>
        <w:ind w:firstLine="525" w:firstLineChars="250"/>
        <w:jc w:val="left"/>
        <w:rPr>
          <w:rFonts w:hAnsi="宋体"/>
          <w:color w:val="auto"/>
          <w:szCs w:val="21"/>
        </w:rPr>
      </w:pPr>
      <w:r>
        <w:rPr>
          <w:rFonts w:hint="eastAsia" w:hAnsi="宋体"/>
          <w:color w:val="auto"/>
          <w:szCs w:val="21"/>
        </w:rPr>
        <w:t>3）凡未向付款单位提供农民工工资专户的，或者请款单位在申请工程进度款时未将人工费单列的，付款单位有权拒绝支付工程进度款。</w:t>
      </w:r>
    </w:p>
    <w:p w14:paraId="44A40FBF">
      <w:pPr>
        <w:autoSpaceDE w:val="0"/>
        <w:autoSpaceDN w:val="0"/>
        <w:adjustRightInd w:val="0"/>
        <w:spacing w:line="360" w:lineRule="exact"/>
        <w:ind w:firstLine="420" w:firstLineChars="200"/>
        <w:jc w:val="left"/>
        <w:rPr>
          <w:rFonts w:hAnsi="宋体" w:cs="宋体"/>
          <w:color w:val="auto"/>
          <w:kern w:val="0"/>
          <w:szCs w:val="21"/>
        </w:rPr>
      </w:pPr>
      <w:r>
        <w:rPr>
          <w:rFonts w:hint="eastAsia" w:hAnsi="宋体" w:cs="宋体"/>
          <w:color w:val="auto"/>
          <w:kern w:val="0"/>
          <w:szCs w:val="21"/>
        </w:rPr>
        <w:t>4）农民工工资使用要求：专款专用，除发放工人工资外，不得用于其他用途。</w:t>
      </w:r>
    </w:p>
    <w:p w14:paraId="771A6942">
      <w:pPr>
        <w:autoSpaceDE w:val="0"/>
        <w:autoSpaceDN w:val="0"/>
        <w:adjustRightInd w:val="0"/>
        <w:spacing w:line="360" w:lineRule="exact"/>
        <w:ind w:firstLine="420" w:firstLineChars="200"/>
        <w:jc w:val="left"/>
        <w:rPr>
          <w:color w:val="auto"/>
        </w:rPr>
      </w:pPr>
      <w:r>
        <w:rPr>
          <w:rFonts w:hint="eastAsia" w:hAnsi="宋体" w:cs="宋体"/>
          <w:color w:val="auto"/>
          <w:kern w:val="0"/>
          <w:szCs w:val="21"/>
        </w:rPr>
        <w:t>5）承包人将农民工工资</w:t>
      </w:r>
      <w:r>
        <w:rPr>
          <w:rFonts w:hAnsi="宋体" w:cs="宋体"/>
          <w:color w:val="auto"/>
          <w:kern w:val="0"/>
          <w:szCs w:val="21"/>
        </w:rPr>
        <w:t>支付</w:t>
      </w:r>
      <w:r>
        <w:rPr>
          <w:rFonts w:hint="eastAsia" w:hAnsi="宋体" w:cs="宋体"/>
          <w:color w:val="auto"/>
          <w:kern w:val="0"/>
          <w:szCs w:val="21"/>
        </w:rPr>
        <w:t>情况定期报告发包人和监理单位，并提供相应的材料接受建设行政主管部门和劳动保障行政主管部门对此事项监管。</w:t>
      </w:r>
    </w:p>
    <w:p w14:paraId="4E74652B">
      <w:pPr>
        <w:spacing w:line="360" w:lineRule="exact"/>
        <w:ind w:firstLine="525"/>
        <w:jc w:val="left"/>
        <w:rPr>
          <w:rFonts w:ascii="宋体" w:hAnsi="宋体" w:cs="宋体"/>
          <w:color w:val="auto"/>
          <w:kern w:val="1"/>
          <w:szCs w:val="21"/>
        </w:rPr>
      </w:pPr>
      <w:r>
        <w:rPr>
          <w:rFonts w:ascii="宋体" w:hAnsi="宋体" w:cs="宋体"/>
          <w:color w:val="auto"/>
          <w:kern w:val="1"/>
          <w:szCs w:val="21"/>
        </w:rPr>
        <w:t>12.4.6 支付分解表的编制</w:t>
      </w:r>
    </w:p>
    <w:p w14:paraId="1B995569">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2、总价合同支付分解表的编制与审批：</w:t>
      </w:r>
      <w:r>
        <w:rPr>
          <w:rFonts w:hint="eastAsia" w:ascii="宋体" w:hAnsi="宋体" w:cs="宋体"/>
          <w:color w:val="auto"/>
          <w:kern w:val="1"/>
          <w:szCs w:val="21"/>
          <w:u w:val="single"/>
        </w:rPr>
        <w:t>待定</w:t>
      </w:r>
      <w:r>
        <w:rPr>
          <w:rFonts w:ascii="宋体" w:hAnsi="宋体" w:cs="宋体"/>
          <w:color w:val="auto"/>
          <w:kern w:val="1"/>
          <w:szCs w:val="21"/>
        </w:rPr>
        <w:t>。</w:t>
      </w:r>
    </w:p>
    <w:p w14:paraId="792832C8">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024" w:name="_Toc373227753"/>
      <w:bookmarkEnd w:id="1024"/>
      <w:bookmarkStart w:id="1025" w:name="_Toc406054794"/>
      <w:bookmarkEnd w:id="1025"/>
      <w:bookmarkStart w:id="1026" w:name="_Toc373478400"/>
      <w:bookmarkEnd w:id="1026"/>
      <w:bookmarkStart w:id="1027" w:name="_Toc6573"/>
      <w:bookmarkStart w:id="1028" w:name="_Toc12488"/>
      <w:bookmarkStart w:id="1029" w:name="_Toc20295"/>
      <w:bookmarkStart w:id="1030" w:name="_Toc14341"/>
      <w:bookmarkStart w:id="1031" w:name="_Toc8829"/>
      <w:r>
        <w:rPr>
          <w:rFonts w:ascii="宋体" w:hAnsi="宋体" w:cs="宋体"/>
          <w:color w:val="auto"/>
          <w:sz w:val="21"/>
          <w:szCs w:val="21"/>
          <w:lang w:val="zh-CN"/>
        </w:rPr>
        <w:t>13. 验收和工程试车</w:t>
      </w:r>
      <w:bookmarkEnd w:id="1027"/>
      <w:bookmarkEnd w:id="1028"/>
      <w:bookmarkEnd w:id="1029"/>
      <w:bookmarkEnd w:id="1030"/>
      <w:bookmarkEnd w:id="1031"/>
    </w:p>
    <w:p w14:paraId="1AB3EABF">
      <w:pPr>
        <w:pStyle w:val="2"/>
        <w:keepNext w:val="0"/>
        <w:spacing w:line="360" w:lineRule="exact"/>
        <w:rPr>
          <w:rFonts w:ascii="宋体" w:hAnsi="宋体" w:cs="宋体"/>
          <w:color w:val="auto"/>
          <w:sz w:val="21"/>
          <w:szCs w:val="21"/>
          <w:lang w:val="zh-CN"/>
        </w:rPr>
      </w:pPr>
      <w:bookmarkStart w:id="1032" w:name="_Toc406054795"/>
      <w:bookmarkEnd w:id="1032"/>
      <w:bookmarkStart w:id="1033" w:name="_Toc373227754"/>
      <w:bookmarkEnd w:id="1033"/>
      <w:bookmarkStart w:id="1034" w:name="_Toc373478401"/>
      <w:bookmarkEnd w:id="1034"/>
      <w:bookmarkStart w:id="1035" w:name="_Toc9810"/>
      <w:bookmarkStart w:id="1036" w:name="_Toc28817"/>
      <w:bookmarkStart w:id="1037" w:name="_Toc28007"/>
      <w:bookmarkStart w:id="1038" w:name="_Toc22830"/>
      <w:bookmarkStart w:id="1039" w:name="_Toc20757"/>
      <w:r>
        <w:rPr>
          <w:rFonts w:ascii="宋体" w:hAnsi="宋体" w:cs="宋体"/>
          <w:color w:val="auto"/>
          <w:sz w:val="21"/>
          <w:szCs w:val="21"/>
          <w:lang w:val="zh-CN"/>
        </w:rPr>
        <w:t>13.1 分部分项工程验收</w:t>
      </w:r>
      <w:bookmarkEnd w:id="1035"/>
      <w:bookmarkEnd w:id="1036"/>
      <w:bookmarkEnd w:id="1037"/>
      <w:bookmarkEnd w:id="1038"/>
      <w:bookmarkEnd w:id="1039"/>
    </w:p>
    <w:p w14:paraId="48E7A71B">
      <w:pPr>
        <w:spacing w:line="360" w:lineRule="exact"/>
        <w:ind w:firstLine="420"/>
        <w:jc w:val="left"/>
        <w:rPr>
          <w:rFonts w:ascii="宋体" w:hAnsi="宋体" w:cs="宋体"/>
          <w:color w:val="auto"/>
          <w:kern w:val="1"/>
          <w:szCs w:val="21"/>
        </w:rPr>
      </w:pPr>
      <w:r>
        <w:rPr>
          <w:rFonts w:ascii="宋体" w:hAnsi="宋体" w:cs="宋体"/>
          <w:color w:val="auto"/>
          <w:kern w:val="1"/>
          <w:szCs w:val="21"/>
        </w:rPr>
        <w:t>13.1.2监理人不能按时进行验收时，应提前</w:t>
      </w:r>
      <w:r>
        <w:rPr>
          <w:rFonts w:hint="eastAsia" w:ascii="宋体" w:hAnsi="宋体" w:cs="宋体"/>
          <w:color w:val="auto"/>
          <w:kern w:val="1"/>
          <w:szCs w:val="21"/>
          <w:u w:val="single"/>
        </w:rPr>
        <w:t>48</w:t>
      </w:r>
      <w:r>
        <w:rPr>
          <w:rFonts w:ascii="宋体" w:hAnsi="宋体" w:cs="宋体"/>
          <w:color w:val="auto"/>
          <w:kern w:val="1"/>
          <w:szCs w:val="21"/>
        </w:rPr>
        <w:t>小时提交书面延期要求。</w:t>
      </w:r>
    </w:p>
    <w:p w14:paraId="668CDFD1">
      <w:pPr>
        <w:spacing w:line="360" w:lineRule="exact"/>
        <w:ind w:firstLine="420"/>
        <w:jc w:val="left"/>
        <w:rPr>
          <w:rFonts w:ascii="宋体" w:hAnsi="宋体" w:cs="宋体"/>
          <w:b/>
          <w:color w:val="auto"/>
          <w:kern w:val="1"/>
          <w:szCs w:val="21"/>
        </w:rPr>
      </w:pPr>
      <w:r>
        <w:rPr>
          <w:rFonts w:ascii="宋体" w:hAnsi="宋体" w:cs="宋体"/>
          <w:color w:val="auto"/>
          <w:kern w:val="1"/>
          <w:szCs w:val="21"/>
        </w:rPr>
        <w:t>关于延期最长不得超过：</w:t>
      </w:r>
      <w:r>
        <w:rPr>
          <w:rFonts w:hint="eastAsia" w:ascii="宋体" w:hAnsi="宋体" w:cs="宋体"/>
          <w:color w:val="auto"/>
          <w:kern w:val="1"/>
          <w:szCs w:val="21"/>
          <w:u w:val="single"/>
        </w:rPr>
        <w:t>48</w:t>
      </w:r>
      <w:r>
        <w:rPr>
          <w:rFonts w:ascii="宋体" w:hAnsi="宋体" w:cs="宋体"/>
          <w:color w:val="auto"/>
          <w:kern w:val="1"/>
          <w:szCs w:val="21"/>
        </w:rPr>
        <w:t>小时。</w:t>
      </w:r>
    </w:p>
    <w:p w14:paraId="6C4630D9">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040" w:name="_Toc267251475"/>
      <w:bookmarkEnd w:id="1040"/>
      <w:bookmarkStart w:id="1041" w:name="_Toc267251470"/>
      <w:bookmarkEnd w:id="1041"/>
      <w:bookmarkStart w:id="1042" w:name="_Toc267251471"/>
      <w:bookmarkEnd w:id="1042"/>
      <w:bookmarkStart w:id="1043" w:name="_Toc406054796"/>
      <w:bookmarkEnd w:id="1043"/>
      <w:bookmarkStart w:id="1044" w:name="_Toc373478402"/>
      <w:bookmarkEnd w:id="1044"/>
      <w:bookmarkStart w:id="1045" w:name="_Toc267251474"/>
      <w:bookmarkEnd w:id="1045"/>
      <w:bookmarkStart w:id="1046" w:name="_Toc267251472"/>
      <w:bookmarkEnd w:id="1046"/>
      <w:bookmarkStart w:id="1047" w:name="_Toc373227755"/>
      <w:bookmarkEnd w:id="1047"/>
      <w:bookmarkStart w:id="1048" w:name="_Toc267251476"/>
      <w:bookmarkEnd w:id="1048"/>
      <w:bookmarkStart w:id="1049" w:name="_Toc267251473"/>
      <w:bookmarkEnd w:id="1049"/>
      <w:bookmarkStart w:id="1050" w:name="_Toc30479"/>
      <w:bookmarkStart w:id="1051" w:name="_Toc8260"/>
      <w:bookmarkStart w:id="1052" w:name="_Toc28774"/>
      <w:bookmarkStart w:id="1053" w:name="_Toc28552"/>
      <w:bookmarkStart w:id="1054" w:name="_Toc10184"/>
      <w:r>
        <w:rPr>
          <w:rFonts w:ascii="宋体" w:hAnsi="宋体" w:cs="宋体"/>
          <w:color w:val="auto"/>
          <w:sz w:val="21"/>
          <w:szCs w:val="21"/>
          <w:lang w:val="zh-CN"/>
        </w:rPr>
        <w:t>13.2 竣工验收</w:t>
      </w:r>
      <w:bookmarkEnd w:id="1050"/>
      <w:bookmarkEnd w:id="1051"/>
      <w:bookmarkEnd w:id="1052"/>
      <w:bookmarkEnd w:id="1053"/>
      <w:bookmarkEnd w:id="1054"/>
    </w:p>
    <w:p w14:paraId="621A85D0">
      <w:pPr>
        <w:spacing w:line="360" w:lineRule="exact"/>
        <w:ind w:firstLine="420"/>
        <w:jc w:val="left"/>
        <w:rPr>
          <w:rFonts w:ascii="宋体" w:hAnsi="宋体" w:cs="宋体"/>
          <w:color w:val="auto"/>
          <w:kern w:val="1"/>
          <w:szCs w:val="21"/>
        </w:rPr>
      </w:pPr>
      <w:bookmarkStart w:id="1055" w:name="_Toc280868708"/>
      <w:bookmarkEnd w:id="1055"/>
      <w:bookmarkStart w:id="1056" w:name="_Toc280868706"/>
      <w:bookmarkEnd w:id="1056"/>
      <w:bookmarkStart w:id="1057" w:name="_Toc280868705"/>
      <w:bookmarkEnd w:id="1057"/>
      <w:bookmarkStart w:id="1058" w:name="_Toc280868709"/>
      <w:bookmarkEnd w:id="1058"/>
      <w:bookmarkStart w:id="1059" w:name="_Toc280868707"/>
      <w:bookmarkEnd w:id="1059"/>
      <w:r>
        <w:rPr>
          <w:rFonts w:ascii="宋体" w:hAnsi="宋体" w:cs="宋体"/>
          <w:color w:val="auto"/>
          <w:kern w:val="1"/>
          <w:szCs w:val="21"/>
        </w:rPr>
        <w:t>13.2.1竣工验收条件</w:t>
      </w:r>
    </w:p>
    <w:p w14:paraId="10AC3B2D">
      <w:pPr>
        <w:spacing w:line="360" w:lineRule="exact"/>
        <w:ind w:firstLine="420"/>
        <w:rPr>
          <w:rFonts w:ascii="宋体" w:hAnsi="宋体" w:cs="宋体"/>
          <w:color w:val="auto"/>
          <w:kern w:val="1"/>
          <w:szCs w:val="21"/>
        </w:rPr>
      </w:pPr>
      <w:r>
        <w:rPr>
          <w:rFonts w:ascii="宋体" w:hAnsi="宋体" w:cs="宋体"/>
          <w:color w:val="auto"/>
          <w:kern w:val="1"/>
          <w:szCs w:val="21"/>
        </w:rPr>
        <w:t>(3) 承包人负责整理和提交的竣工验收资料应当符合工程所在地建设行政主管部门和(或)城市建设档案管理机构有关施工资料的要求，具体内容包括：</w:t>
      </w:r>
      <w:r>
        <w:rPr>
          <w:rFonts w:hint="eastAsia" w:ascii="宋体" w:hAnsi="宋体" w:cs="宋体"/>
          <w:color w:val="auto"/>
          <w:kern w:val="1"/>
          <w:szCs w:val="21"/>
          <w:u w:val="single"/>
        </w:rPr>
        <w:t xml:space="preserve">   按规定要求执行  </w:t>
      </w:r>
      <w:r>
        <w:rPr>
          <w:rFonts w:ascii="宋体" w:hAnsi="宋体" w:cs="宋体"/>
          <w:color w:val="auto"/>
          <w:kern w:val="1"/>
          <w:szCs w:val="21"/>
        </w:rPr>
        <w:t>。</w:t>
      </w:r>
    </w:p>
    <w:p w14:paraId="308F28EF">
      <w:pPr>
        <w:spacing w:line="360" w:lineRule="exact"/>
        <w:ind w:firstLine="420"/>
        <w:rPr>
          <w:rFonts w:ascii="宋体" w:hAnsi="宋体" w:cs="宋体"/>
          <w:color w:val="auto"/>
          <w:kern w:val="1"/>
          <w:szCs w:val="21"/>
        </w:rPr>
      </w:pPr>
      <w:r>
        <w:rPr>
          <w:rFonts w:ascii="宋体" w:hAnsi="宋体" w:cs="宋体"/>
          <w:color w:val="auto"/>
          <w:kern w:val="1"/>
          <w:szCs w:val="21"/>
        </w:rPr>
        <w:t>竣工验收资料的份数：</w:t>
      </w:r>
      <w:r>
        <w:rPr>
          <w:rFonts w:hint="eastAsia" w:ascii="宋体" w:hAnsi="宋体" w:cs="宋体"/>
          <w:color w:val="auto"/>
          <w:kern w:val="1"/>
          <w:szCs w:val="21"/>
          <w:u w:val="single"/>
        </w:rPr>
        <w:t>肆份</w:t>
      </w:r>
      <w:r>
        <w:rPr>
          <w:rFonts w:ascii="宋体" w:hAnsi="宋体" w:cs="宋体"/>
          <w:color w:val="auto"/>
          <w:kern w:val="1"/>
          <w:szCs w:val="21"/>
        </w:rPr>
        <w:t>。</w:t>
      </w:r>
    </w:p>
    <w:p w14:paraId="138158CE">
      <w:pPr>
        <w:spacing w:line="360" w:lineRule="exact"/>
        <w:ind w:firstLine="420"/>
        <w:jc w:val="left"/>
        <w:rPr>
          <w:rFonts w:ascii="宋体" w:hAnsi="宋体" w:cs="宋体"/>
          <w:color w:val="auto"/>
          <w:kern w:val="1"/>
          <w:szCs w:val="21"/>
        </w:rPr>
      </w:pPr>
      <w:r>
        <w:rPr>
          <w:rFonts w:ascii="宋体" w:hAnsi="宋体" w:cs="宋体"/>
          <w:bCs/>
          <w:color w:val="auto"/>
          <w:kern w:val="1"/>
          <w:szCs w:val="21"/>
        </w:rPr>
        <w:t>承包人提供竣工图的约定：</w:t>
      </w:r>
      <w:r>
        <w:rPr>
          <w:rFonts w:ascii="宋体" w:hAnsi="宋体" w:cs="宋体"/>
          <w:bCs/>
          <w:color w:val="auto"/>
          <w:kern w:val="1"/>
          <w:szCs w:val="21"/>
          <w:u w:val="single"/>
        </w:rPr>
        <w:t>竣工验收正式通过后10天提供竣工图4套。</w:t>
      </w:r>
    </w:p>
    <w:p w14:paraId="6377A1FF">
      <w:pPr>
        <w:spacing w:line="360" w:lineRule="exact"/>
        <w:ind w:firstLine="420"/>
        <w:jc w:val="left"/>
        <w:rPr>
          <w:rFonts w:ascii="宋体" w:hAnsi="宋体" w:cs="宋体"/>
          <w:color w:val="auto"/>
          <w:kern w:val="1"/>
          <w:szCs w:val="21"/>
        </w:rPr>
      </w:pPr>
      <w:r>
        <w:rPr>
          <w:rFonts w:ascii="宋体" w:hAnsi="宋体" w:cs="宋体"/>
          <w:color w:val="auto"/>
          <w:kern w:val="1"/>
          <w:szCs w:val="21"/>
        </w:rPr>
        <w:t>13.2.2竣工验收程序</w:t>
      </w:r>
    </w:p>
    <w:p w14:paraId="26B1366D">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关于竣工验收程序的约定：</w:t>
      </w:r>
      <w:r>
        <w:rPr>
          <w:rFonts w:hint="eastAsia" w:ascii="宋体" w:hAnsi="宋体" w:cs="宋体"/>
          <w:color w:val="auto"/>
          <w:kern w:val="1"/>
          <w:szCs w:val="21"/>
          <w:u w:val="single"/>
        </w:rPr>
        <w:t>承包人准备的竣工验收资料齐全，并编制了竣工图（附电子文档）后向监理人提出预验收申请，预验收合格监理人签署同意验收后发包人在30天内组织有关部门竣工验收</w:t>
      </w:r>
      <w:r>
        <w:rPr>
          <w:rFonts w:ascii="宋体" w:hAnsi="宋体" w:cs="宋体"/>
          <w:color w:val="auto"/>
          <w:kern w:val="1"/>
          <w:szCs w:val="21"/>
        </w:rPr>
        <w:t>。</w:t>
      </w:r>
    </w:p>
    <w:p w14:paraId="6CA57777">
      <w:pPr>
        <w:spacing w:line="360" w:lineRule="exact"/>
        <w:ind w:firstLine="420"/>
        <w:jc w:val="left"/>
        <w:rPr>
          <w:rFonts w:ascii="宋体" w:hAnsi="宋体" w:cs="宋体"/>
          <w:color w:val="auto"/>
          <w:kern w:val="1"/>
          <w:szCs w:val="21"/>
        </w:rPr>
      </w:pPr>
      <w:r>
        <w:rPr>
          <w:rFonts w:ascii="宋体" w:hAnsi="宋体" w:cs="宋体"/>
          <w:color w:val="auto"/>
          <w:kern w:val="1"/>
          <w:szCs w:val="21"/>
        </w:rPr>
        <w:t>发包人不按照本项约定组织竣工验收、颁发工程接收证书的违约金的计算方法：</w:t>
      </w:r>
      <w:r>
        <w:rPr>
          <w:rFonts w:hint="eastAsia" w:ascii="宋体" w:hAnsi="宋体" w:cs="宋体"/>
          <w:color w:val="auto"/>
          <w:kern w:val="1"/>
          <w:szCs w:val="21"/>
          <w:u w:val="single"/>
        </w:rPr>
        <w:t>每天按剩余合同工程价款的万分之一支付违约金（剩余工程款×1</w:t>
      </w:r>
      <w:r>
        <w:rPr>
          <w:rFonts w:hint="eastAsia" w:ascii="宋体" w:hAnsi="宋体" w:eastAsia="MS Mincho" w:cs="MS Mincho"/>
          <w:color w:val="auto"/>
          <w:kern w:val="1"/>
          <w:szCs w:val="21"/>
          <w:u w:val="single"/>
        </w:rPr>
        <w:t>‱</w:t>
      </w:r>
      <w:r>
        <w:rPr>
          <w:rFonts w:hint="eastAsia" w:ascii="宋体" w:hAnsi="宋体" w:cs="宋体"/>
          <w:color w:val="auto"/>
          <w:kern w:val="1"/>
          <w:szCs w:val="21"/>
          <w:u w:val="single"/>
        </w:rPr>
        <w:t>），上限不超过所欠工程款的5%</w:t>
      </w:r>
      <w:r>
        <w:rPr>
          <w:rFonts w:ascii="宋体" w:hAnsi="宋体" w:cs="宋体"/>
          <w:color w:val="auto"/>
          <w:kern w:val="1"/>
          <w:szCs w:val="21"/>
        </w:rPr>
        <w:t>。</w:t>
      </w:r>
    </w:p>
    <w:p w14:paraId="04BC7D6F">
      <w:pPr>
        <w:pStyle w:val="2"/>
        <w:spacing w:line="360" w:lineRule="exact"/>
        <w:ind w:firstLine="481"/>
        <w:jc w:val="left"/>
        <w:rPr>
          <w:color w:val="auto"/>
          <w:sz w:val="21"/>
          <w:szCs w:val="21"/>
        </w:rPr>
      </w:pPr>
      <w:bookmarkStart w:id="1060" w:name="_Toc13005"/>
      <w:bookmarkStart w:id="1061" w:name="_Toc3642"/>
      <w:bookmarkStart w:id="1062" w:name="_Toc21740"/>
      <w:bookmarkStart w:id="1063" w:name="_Toc29777"/>
      <w:r>
        <w:rPr>
          <w:rFonts w:hint="eastAsia" w:ascii="宋体" w:hAnsi="宋体" w:cs="宋体"/>
          <w:b w:val="0"/>
          <w:color w:val="auto"/>
          <w:kern w:val="1"/>
          <w:sz w:val="21"/>
          <w:szCs w:val="21"/>
        </w:rPr>
        <w:t>发包人在组织竣工验收过程中发现工程不符合验收合格条件，应在</w:t>
      </w:r>
      <w:r>
        <w:rPr>
          <w:rFonts w:ascii="宋体" w:hAnsi="宋体" w:cs="宋体"/>
          <w:b w:val="0"/>
          <w:color w:val="auto"/>
          <w:kern w:val="1"/>
          <w:sz w:val="21"/>
          <w:szCs w:val="21"/>
        </w:rPr>
        <w:t>7</w:t>
      </w:r>
      <w:r>
        <w:rPr>
          <w:rFonts w:hint="eastAsia" w:ascii="宋体" w:hAnsi="宋体" w:cs="宋体"/>
          <w:b w:val="0"/>
          <w:color w:val="auto"/>
          <w:kern w:val="1"/>
          <w:sz w:val="21"/>
          <w:szCs w:val="21"/>
        </w:rPr>
        <w:t>日内向承包人提出修改意见，承包人在收到修改意见后应当在15日内复工，以达到验收合格条件。</w:t>
      </w:r>
      <w:r>
        <w:rPr>
          <w:rFonts w:hint="eastAsia" w:ascii="宋体" w:hAnsi="宋体" w:cs="宋体"/>
          <w:b w:val="0"/>
          <w:color w:val="auto"/>
          <w:sz w:val="21"/>
          <w:szCs w:val="21"/>
        </w:rPr>
        <w:t>如进行更正后仍存在不符合验收合格的问题，发包人有权解除合同，承包人应当按本合同总价的30%向甲方支付违约金，给发包人造成损失的应予以赔偿；由发包人原因造成上述错误的除外。</w:t>
      </w:r>
      <w:bookmarkEnd w:id="1060"/>
      <w:bookmarkEnd w:id="1061"/>
      <w:bookmarkEnd w:id="1062"/>
      <w:bookmarkEnd w:id="1063"/>
    </w:p>
    <w:p w14:paraId="1CD64076">
      <w:pPr>
        <w:spacing w:line="360" w:lineRule="exact"/>
        <w:ind w:firstLine="420"/>
        <w:jc w:val="left"/>
        <w:rPr>
          <w:rFonts w:ascii="宋体" w:hAnsi="宋体" w:cs="宋体"/>
          <w:color w:val="auto"/>
          <w:kern w:val="1"/>
          <w:szCs w:val="21"/>
        </w:rPr>
      </w:pPr>
      <w:r>
        <w:rPr>
          <w:rFonts w:ascii="宋体" w:hAnsi="宋体" w:cs="宋体"/>
          <w:color w:val="auto"/>
          <w:kern w:val="1"/>
          <w:szCs w:val="21"/>
        </w:rPr>
        <w:t>13.2.5移交、接收全部与部分工程</w:t>
      </w:r>
    </w:p>
    <w:p w14:paraId="7B55CFBA">
      <w:pPr>
        <w:spacing w:line="360" w:lineRule="exact"/>
        <w:ind w:firstLine="420"/>
        <w:jc w:val="left"/>
        <w:rPr>
          <w:rFonts w:ascii="宋体" w:hAnsi="宋体" w:cs="宋体"/>
          <w:color w:val="auto"/>
          <w:kern w:val="1"/>
          <w:szCs w:val="21"/>
        </w:rPr>
      </w:pPr>
      <w:r>
        <w:rPr>
          <w:rFonts w:ascii="宋体" w:hAnsi="宋体" w:cs="宋体"/>
          <w:color w:val="auto"/>
          <w:kern w:val="1"/>
          <w:szCs w:val="21"/>
        </w:rPr>
        <w:t>承包人向发包人移交工程的期限：</w:t>
      </w:r>
      <w:r>
        <w:rPr>
          <w:rFonts w:hint="eastAsia" w:ascii="宋体" w:hAnsi="宋体" w:cs="宋体"/>
          <w:color w:val="auto"/>
          <w:kern w:val="1"/>
          <w:szCs w:val="21"/>
          <w:u w:val="single"/>
        </w:rPr>
        <w:t>竣工验收合格后10天内</w:t>
      </w:r>
      <w:r>
        <w:rPr>
          <w:rFonts w:ascii="宋体" w:hAnsi="宋体" w:cs="宋体"/>
          <w:color w:val="auto"/>
          <w:kern w:val="1"/>
          <w:szCs w:val="21"/>
        </w:rPr>
        <w:t>。</w:t>
      </w:r>
    </w:p>
    <w:p w14:paraId="2DA75E90">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发包人未按本合同约定接收全部或部分工程的，违约金的计算方法为：</w:t>
      </w:r>
      <w:r>
        <w:rPr>
          <w:rFonts w:hint="eastAsia" w:ascii="宋体" w:hAnsi="宋体" w:cs="宋体"/>
          <w:color w:val="auto"/>
          <w:kern w:val="1"/>
          <w:szCs w:val="21"/>
          <w:u w:val="single"/>
        </w:rPr>
        <w:t>每日按</w:t>
      </w:r>
      <w:r>
        <w:rPr>
          <w:rFonts w:hint="eastAsia" w:ascii="宋体" w:hAnsi="宋体" w:cs="宋体"/>
          <w:color w:val="auto"/>
          <w:kern w:val="1"/>
          <w:szCs w:val="21"/>
          <w:u w:val="single"/>
          <w:lang w:val="en-US" w:eastAsia="zh-CN"/>
        </w:rPr>
        <w:t>2</w:t>
      </w:r>
      <w:r>
        <w:rPr>
          <w:rFonts w:hint="eastAsia" w:ascii="宋体" w:hAnsi="宋体" w:cs="宋体"/>
          <w:color w:val="auto"/>
          <w:kern w:val="1"/>
          <w:szCs w:val="21"/>
          <w:u w:val="single"/>
        </w:rPr>
        <w:t>000元支付违约金，总额不超过合同价的5%</w:t>
      </w:r>
      <w:r>
        <w:rPr>
          <w:rFonts w:ascii="宋体" w:hAnsi="宋体" w:cs="宋体"/>
          <w:color w:val="auto"/>
          <w:kern w:val="1"/>
          <w:szCs w:val="21"/>
        </w:rPr>
        <w:t>。</w:t>
      </w:r>
    </w:p>
    <w:p w14:paraId="63CC4203">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承包人未按时移交工程的，违约金的计算方法为：</w:t>
      </w:r>
      <w:r>
        <w:rPr>
          <w:rFonts w:hint="eastAsia" w:ascii="宋体" w:hAnsi="宋体" w:cs="宋体"/>
          <w:color w:val="auto"/>
          <w:kern w:val="1"/>
          <w:szCs w:val="21"/>
          <w:u w:val="single"/>
        </w:rPr>
        <w:t>每日按</w:t>
      </w:r>
      <w:r>
        <w:rPr>
          <w:rFonts w:hint="eastAsia" w:ascii="宋体" w:hAnsi="宋体" w:cs="宋体"/>
          <w:color w:val="auto"/>
          <w:kern w:val="1"/>
          <w:szCs w:val="21"/>
          <w:u w:val="single"/>
          <w:lang w:val="en-US" w:eastAsia="zh-CN"/>
        </w:rPr>
        <w:t>2</w:t>
      </w:r>
      <w:r>
        <w:rPr>
          <w:rFonts w:hint="eastAsia" w:ascii="宋体" w:hAnsi="宋体" w:cs="宋体"/>
          <w:color w:val="auto"/>
          <w:kern w:val="1"/>
          <w:szCs w:val="21"/>
          <w:u w:val="single"/>
        </w:rPr>
        <w:t>000元支付违约金，总额不超过合同价的5%</w:t>
      </w:r>
      <w:r>
        <w:rPr>
          <w:rFonts w:ascii="宋体" w:hAnsi="宋体" w:cs="宋体"/>
          <w:color w:val="auto"/>
          <w:kern w:val="1"/>
          <w:szCs w:val="21"/>
        </w:rPr>
        <w:t>。</w:t>
      </w:r>
    </w:p>
    <w:p w14:paraId="34ACB075">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064" w:name="_Toc373227756"/>
      <w:bookmarkEnd w:id="1064"/>
      <w:bookmarkStart w:id="1065" w:name="_Toc373478403"/>
      <w:bookmarkEnd w:id="1065"/>
      <w:bookmarkStart w:id="1066" w:name="_Toc406054797"/>
      <w:bookmarkEnd w:id="1066"/>
      <w:bookmarkStart w:id="1067" w:name="_Toc27136"/>
      <w:bookmarkStart w:id="1068" w:name="_Toc24967"/>
      <w:bookmarkStart w:id="1069" w:name="_Toc30953"/>
      <w:bookmarkStart w:id="1070" w:name="_Toc30624"/>
      <w:bookmarkStart w:id="1071" w:name="_Toc4299"/>
      <w:r>
        <w:rPr>
          <w:rFonts w:ascii="宋体" w:hAnsi="宋体" w:cs="宋体"/>
          <w:color w:val="auto"/>
          <w:sz w:val="21"/>
          <w:szCs w:val="21"/>
          <w:lang w:val="zh-CN"/>
        </w:rPr>
        <w:t>13.3 工程试车</w:t>
      </w:r>
      <w:bookmarkEnd w:id="1067"/>
      <w:bookmarkEnd w:id="1068"/>
      <w:bookmarkEnd w:id="1069"/>
      <w:bookmarkEnd w:id="1070"/>
      <w:bookmarkEnd w:id="1071"/>
    </w:p>
    <w:p w14:paraId="2843122A">
      <w:pPr>
        <w:spacing w:line="360" w:lineRule="exact"/>
        <w:ind w:firstLine="420"/>
        <w:jc w:val="left"/>
        <w:rPr>
          <w:rFonts w:ascii="宋体" w:hAnsi="宋体" w:cs="宋体"/>
          <w:color w:val="auto"/>
          <w:kern w:val="1"/>
          <w:szCs w:val="21"/>
          <w:u w:val="single"/>
        </w:rPr>
      </w:pPr>
      <w:r>
        <w:rPr>
          <w:rFonts w:hint="eastAsia" w:ascii="宋体" w:hAnsi="宋体" w:cs="宋体"/>
          <w:color w:val="auto"/>
          <w:kern w:val="1"/>
          <w:szCs w:val="21"/>
          <w:u w:val="single"/>
        </w:rPr>
        <w:t>无</w:t>
      </w:r>
      <w:r>
        <w:rPr>
          <w:rFonts w:ascii="宋体" w:hAnsi="宋体" w:cs="宋体"/>
          <w:color w:val="auto"/>
          <w:kern w:val="1"/>
          <w:szCs w:val="21"/>
        </w:rPr>
        <w:t>。</w:t>
      </w:r>
    </w:p>
    <w:p w14:paraId="4FA06D6B">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072" w:name="_Toc373227757"/>
      <w:bookmarkEnd w:id="1072"/>
      <w:bookmarkStart w:id="1073" w:name="_Toc373478404"/>
      <w:bookmarkEnd w:id="1073"/>
      <w:bookmarkStart w:id="1074" w:name="_Toc406054798"/>
      <w:bookmarkEnd w:id="1074"/>
      <w:bookmarkStart w:id="1075" w:name="_Toc22180"/>
      <w:bookmarkStart w:id="1076" w:name="_Toc31552"/>
      <w:bookmarkStart w:id="1077" w:name="_Toc25954"/>
      <w:bookmarkStart w:id="1078" w:name="_Toc16033"/>
      <w:bookmarkStart w:id="1079" w:name="_Toc31243"/>
      <w:r>
        <w:rPr>
          <w:rFonts w:ascii="宋体" w:hAnsi="宋体" w:cs="宋体"/>
          <w:color w:val="auto"/>
          <w:sz w:val="21"/>
          <w:szCs w:val="21"/>
          <w:lang w:val="zh-CN"/>
        </w:rPr>
        <w:t>13.6 竣工退场</w:t>
      </w:r>
      <w:bookmarkEnd w:id="1075"/>
      <w:bookmarkEnd w:id="1076"/>
      <w:bookmarkEnd w:id="1077"/>
      <w:bookmarkEnd w:id="1078"/>
      <w:bookmarkEnd w:id="1079"/>
    </w:p>
    <w:p w14:paraId="105B9DFD">
      <w:pPr>
        <w:spacing w:line="360" w:lineRule="exact"/>
        <w:ind w:firstLine="420"/>
        <w:jc w:val="left"/>
        <w:rPr>
          <w:rFonts w:ascii="宋体" w:hAnsi="宋体" w:cs="宋体"/>
          <w:color w:val="auto"/>
          <w:kern w:val="1"/>
          <w:szCs w:val="21"/>
        </w:rPr>
      </w:pPr>
      <w:r>
        <w:rPr>
          <w:rFonts w:ascii="宋体" w:hAnsi="宋体" w:cs="宋体"/>
          <w:color w:val="auto"/>
          <w:kern w:val="1"/>
          <w:szCs w:val="21"/>
        </w:rPr>
        <w:t>13.6.1 竣工退场</w:t>
      </w:r>
    </w:p>
    <w:p w14:paraId="4586AE28">
      <w:pPr>
        <w:spacing w:line="360" w:lineRule="exact"/>
        <w:ind w:firstLine="420"/>
        <w:jc w:val="left"/>
        <w:rPr>
          <w:rFonts w:ascii="宋体" w:hAnsi="宋体" w:cs="宋体"/>
          <w:color w:val="auto"/>
          <w:kern w:val="1"/>
          <w:szCs w:val="21"/>
        </w:rPr>
      </w:pPr>
      <w:r>
        <w:rPr>
          <w:rFonts w:ascii="宋体" w:hAnsi="宋体" w:cs="宋体"/>
          <w:color w:val="auto"/>
          <w:kern w:val="1"/>
          <w:szCs w:val="21"/>
        </w:rPr>
        <w:t>承包人完成竣工退场的期限：</w:t>
      </w:r>
      <w:r>
        <w:rPr>
          <w:rFonts w:hint="eastAsia" w:ascii="宋体" w:hAnsi="宋体" w:cs="宋体"/>
          <w:color w:val="auto"/>
          <w:kern w:val="1"/>
          <w:szCs w:val="21"/>
          <w:u w:val="single"/>
        </w:rPr>
        <w:t>竣工验收合格30天内</w:t>
      </w:r>
      <w:r>
        <w:rPr>
          <w:rFonts w:ascii="宋体" w:hAnsi="宋体" w:cs="宋体"/>
          <w:color w:val="auto"/>
          <w:kern w:val="1"/>
          <w:szCs w:val="21"/>
        </w:rPr>
        <w:t>。</w:t>
      </w:r>
    </w:p>
    <w:p w14:paraId="2A72089F">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080" w:name="_Toc373227758"/>
      <w:bookmarkEnd w:id="1080"/>
      <w:bookmarkStart w:id="1081" w:name="_Toc373478405"/>
      <w:bookmarkEnd w:id="1081"/>
      <w:bookmarkStart w:id="1082" w:name="_Toc406054799"/>
      <w:bookmarkEnd w:id="1082"/>
      <w:bookmarkStart w:id="1083" w:name="_Toc11722"/>
      <w:bookmarkStart w:id="1084" w:name="_Toc22408"/>
      <w:bookmarkStart w:id="1085" w:name="_Toc10737"/>
      <w:bookmarkStart w:id="1086" w:name="_Toc19292"/>
      <w:bookmarkStart w:id="1087" w:name="_Toc18445"/>
      <w:r>
        <w:rPr>
          <w:rFonts w:ascii="宋体" w:hAnsi="宋体" w:cs="宋体"/>
          <w:color w:val="auto"/>
          <w:sz w:val="21"/>
          <w:szCs w:val="21"/>
          <w:lang w:val="zh-CN"/>
        </w:rPr>
        <w:t>14. 竣工结算</w:t>
      </w:r>
      <w:bookmarkEnd w:id="1083"/>
      <w:bookmarkEnd w:id="1084"/>
      <w:bookmarkEnd w:id="1085"/>
      <w:bookmarkEnd w:id="1086"/>
      <w:bookmarkEnd w:id="1087"/>
    </w:p>
    <w:p w14:paraId="5A3D39A8">
      <w:pPr>
        <w:pStyle w:val="2"/>
        <w:keepNext w:val="0"/>
        <w:spacing w:line="360" w:lineRule="exact"/>
        <w:rPr>
          <w:rFonts w:ascii="宋体" w:hAnsi="宋体" w:cs="宋体"/>
          <w:color w:val="auto"/>
          <w:sz w:val="21"/>
          <w:szCs w:val="21"/>
          <w:lang w:val="zh-CN"/>
        </w:rPr>
      </w:pPr>
      <w:bookmarkStart w:id="1088" w:name="_Toc406054800"/>
      <w:bookmarkEnd w:id="1088"/>
      <w:bookmarkStart w:id="1089" w:name="_Toc373227759"/>
      <w:bookmarkEnd w:id="1089"/>
      <w:bookmarkStart w:id="1090" w:name="_Toc373478406"/>
      <w:bookmarkEnd w:id="1090"/>
      <w:bookmarkStart w:id="1091" w:name="_Toc19574"/>
      <w:bookmarkStart w:id="1092" w:name="_Toc15646"/>
      <w:bookmarkStart w:id="1093" w:name="_Toc13549"/>
      <w:bookmarkStart w:id="1094" w:name="_Toc9035"/>
      <w:bookmarkStart w:id="1095" w:name="_Toc3624"/>
      <w:r>
        <w:rPr>
          <w:rFonts w:ascii="宋体" w:hAnsi="宋体" w:cs="宋体"/>
          <w:color w:val="auto"/>
          <w:sz w:val="21"/>
          <w:szCs w:val="21"/>
          <w:lang w:val="zh-CN"/>
        </w:rPr>
        <w:t>14.1 竣工付款申请</w:t>
      </w:r>
      <w:bookmarkEnd w:id="1091"/>
      <w:bookmarkEnd w:id="1092"/>
      <w:bookmarkEnd w:id="1093"/>
      <w:bookmarkEnd w:id="1094"/>
      <w:bookmarkEnd w:id="1095"/>
    </w:p>
    <w:p w14:paraId="2669FA5B">
      <w:pPr>
        <w:spacing w:line="360" w:lineRule="exact"/>
        <w:ind w:firstLine="420"/>
        <w:jc w:val="left"/>
        <w:rPr>
          <w:rFonts w:ascii="宋体" w:hAnsi="宋体" w:cs="宋体"/>
          <w:color w:val="auto"/>
          <w:kern w:val="1"/>
          <w:szCs w:val="21"/>
        </w:rPr>
      </w:pPr>
      <w:r>
        <w:rPr>
          <w:rFonts w:ascii="宋体" w:hAnsi="宋体" w:cs="宋体"/>
          <w:color w:val="auto"/>
          <w:kern w:val="1"/>
          <w:szCs w:val="21"/>
        </w:rPr>
        <w:t>承包人提交竣工付款申请单的期限：</w:t>
      </w:r>
      <w:r>
        <w:rPr>
          <w:rFonts w:hint="eastAsia" w:ascii="宋体" w:hAnsi="宋体" w:cs="宋体"/>
          <w:color w:val="auto"/>
          <w:kern w:val="1"/>
          <w:szCs w:val="21"/>
          <w:u w:val="single"/>
        </w:rPr>
        <w:t>竣工验收合格后60天内</w:t>
      </w:r>
      <w:r>
        <w:rPr>
          <w:rFonts w:ascii="宋体" w:hAnsi="宋体" w:cs="宋体"/>
          <w:color w:val="auto"/>
          <w:kern w:val="1"/>
          <w:szCs w:val="21"/>
        </w:rPr>
        <w:t>。</w:t>
      </w:r>
    </w:p>
    <w:p w14:paraId="47906AC0">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竣工付款申请单应包括的内容：</w:t>
      </w:r>
      <w:r>
        <w:rPr>
          <w:rFonts w:hint="eastAsia" w:ascii="宋体" w:hAnsi="宋体" w:cs="宋体"/>
          <w:color w:val="auto"/>
          <w:kern w:val="1"/>
          <w:szCs w:val="21"/>
          <w:u w:val="single"/>
        </w:rPr>
        <w:t>结算书、签证资料、竣工图、会议纪要、施工组织设计、多项施工方案、采购文件、响应文件、施工合同、施工日记等，并应符合审计部门的要求</w:t>
      </w:r>
      <w:r>
        <w:rPr>
          <w:rFonts w:ascii="宋体" w:hAnsi="宋体" w:cs="宋体"/>
          <w:color w:val="auto"/>
          <w:kern w:val="1"/>
          <w:szCs w:val="21"/>
        </w:rPr>
        <w:t>。</w:t>
      </w:r>
    </w:p>
    <w:p w14:paraId="5E3C68D2">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096" w:name="_Toc406054801"/>
      <w:bookmarkEnd w:id="1096"/>
      <w:bookmarkStart w:id="1097" w:name="_Toc373227760"/>
      <w:bookmarkEnd w:id="1097"/>
      <w:bookmarkStart w:id="1098" w:name="_Toc373478407"/>
      <w:bookmarkEnd w:id="1098"/>
      <w:bookmarkStart w:id="1099" w:name="_Toc3829"/>
      <w:bookmarkStart w:id="1100" w:name="_Toc4317"/>
      <w:bookmarkStart w:id="1101" w:name="_Toc11962"/>
      <w:bookmarkStart w:id="1102" w:name="_Toc24066"/>
      <w:bookmarkStart w:id="1103" w:name="_Toc19679"/>
      <w:r>
        <w:rPr>
          <w:rFonts w:ascii="宋体" w:hAnsi="宋体" w:cs="宋体"/>
          <w:color w:val="auto"/>
          <w:sz w:val="21"/>
          <w:szCs w:val="21"/>
          <w:lang w:val="zh-CN"/>
        </w:rPr>
        <w:t>14.2 竣工结算审核</w:t>
      </w:r>
      <w:bookmarkEnd w:id="1099"/>
      <w:bookmarkEnd w:id="1100"/>
      <w:bookmarkEnd w:id="1101"/>
      <w:bookmarkEnd w:id="1102"/>
      <w:bookmarkEnd w:id="1103"/>
    </w:p>
    <w:p w14:paraId="777A3F8C">
      <w:pPr>
        <w:spacing w:line="360" w:lineRule="exact"/>
        <w:ind w:firstLine="420"/>
        <w:jc w:val="left"/>
        <w:rPr>
          <w:rFonts w:ascii="宋体" w:hAnsi="宋体" w:cs="宋体"/>
          <w:color w:val="auto"/>
          <w:kern w:val="1"/>
          <w:szCs w:val="21"/>
        </w:rPr>
      </w:pPr>
      <w:r>
        <w:rPr>
          <w:rFonts w:ascii="宋体" w:hAnsi="宋体" w:cs="宋体"/>
          <w:color w:val="auto"/>
          <w:kern w:val="1"/>
          <w:szCs w:val="21"/>
        </w:rPr>
        <w:t>发包人审批竣工付款申请单的期限：</w:t>
      </w:r>
    </w:p>
    <w:tbl>
      <w:tblPr>
        <w:tblStyle w:val="44"/>
        <w:tblW w:w="0" w:type="auto"/>
        <w:tblInd w:w="196" w:type="dxa"/>
        <w:tblLayout w:type="fixed"/>
        <w:tblCellMar>
          <w:top w:w="0" w:type="dxa"/>
          <w:left w:w="108" w:type="dxa"/>
          <w:bottom w:w="0" w:type="dxa"/>
          <w:right w:w="108" w:type="dxa"/>
        </w:tblCellMar>
      </w:tblPr>
      <w:tblGrid>
        <w:gridCol w:w="765"/>
        <w:gridCol w:w="2408"/>
        <w:gridCol w:w="5328"/>
      </w:tblGrid>
      <w:tr w14:paraId="220150DA">
        <w:tc>
          <w:tcPr>
            <w:tcW w:w="765" w:type="dxa"/>
            <w:tcBorders>
              <w:top w:val="single" w:color="000000" w:sz="4" w:space="0"/>
              <w:left w:val="single" w:color="000000" w:sz="4" w:space="0"/>
              <w:bottom w:val="single" w:color="000000" w:sz="4" w:space="0"/>
              <w:right w:val="single" w:color="000000" w:sz="4" w:space="0"/>
            </w:tcBorders>
            <w:vAlign w:val="center"/>
          </w:tcPr>
          <w:p w14:paraId="1E63A3CF">
            <w:pPr>
              <w:spacing w:line="360" w:lineRule="exact"/>
              <w:rPr>
                <w:rFonts w:ascii="宋体" w:hAnsi="宋体" w:cs="宋体"/>
                <w:color w:val="auto"/>
                <w:kern w:val="1"/>
                <w:szCs w:val="21"/>
              </w:rPr>
            </w:pPr>
          </w:p>
        </w:tc>
        <w:tc>
          <w:tcPr>
            <w:tcW w:w="2408" w:type="dxa"/>
            <w:tcBorders>
              <w:top w:val="single" w:color="000000" w:sz="4" w:space="0"/>
              <w:left w:val="single" w:color="000000" w:sz="4" w:space="0"/>
              <w:bottom w:val="single" w:color="000000" w:sz="4" w:space="0"/>
              <w:right w:val="single" w:color="000000" w:sz="4" w:space="0"/>
            </w:tcBorders>
            <w:vAlign w:val="center"/>
          </w:tcPr>
          <w:p w14:paraId="5A7CD3C1">
            <w:pPr>
              <w:spacing w:line="360" w:lineRule="exact"/>
              <w:ind w:firstLine="27"/>
              <w:jc w:val="center"/>
              <w:rPr>
                <w:rFonts w:ascii="宋体" w:hAnsi="宋体" w:cs="宋体"/>
                <w:color w:val="auto"/>
                <w:kern w:val="1"/>
                <w:szCs w:val="21"/>
              </w:rPr>
            </w:pPr>
            <w:r>
              <w:rPr>
                <w:rFonts w:ascii="宋体" w:hAnsi="宋体" w:cs="宋体"/>
                <w:color w:val="auto"/>
                <w:kern w:val="1"/>
                <w:szCs w:val="21"/>
              </w:rPr>
              <w:t>工程竣工结算报告金额</w:t>
            </w:r>
          </w:p>
        </w:tc>
        <w:tc>
          <w:tcPr>
            <w:tcW w:w="5328" w:type="dxa"/>
            <w:tcBorders>
              <w:top w:val="single" w:color="000000" w:sz="4" w:space="0"/>
              <w:left w:val="single" w:color="000000" w:sz="4" w:space="0"/>
              <w:bottom w:val="single" w:color="000000" w:sz="4" w:space="0"/>
              <w:right w:val="single" w:color="000000" w:sz="4" w:space="0"/>
            </w:tcBorders>
            <w:vAlign w:val="center"/>
          </w:tcPr>
          <w:p w14:paraId="788C2D61">
            <w:pPr>
              <w:spacing w:line="360" w:lineRule="exact"/>
              <w:ind w:firstLine="441"/>
              <w:jc w:val="center"/>
              <w:rPr>
                <w:rFonts w:ascii="宋体" w:hAnsi="宋体" w:cs="宋体"/>
                <w:color w:val="auto"/>
                <w:kern w:val="1"/>
                <w:szCs w:val="21"/>
              </w:rPr>
            </w:pPr>
            <w:r>
              <w:rPr>
                <w:rFonts w:ascii="宋体" w:hAnsi="宋体" w:cs="宋体"/>
                <w:color w:val="auto"/>
                <w:kern w:val="1"/>
                <w:szCs w:val="21"/>
              </w:rPr>
              <w:t>发包人审查时间</w:t>
            </w:r>
          </w:p>
        </w:tc>
      </w:tr>
      <w:tr w14:paraId="739A5BFC">
        <w:tblPrEx>
          <w:tblCellMar>
            <w:top w:w="0" w:type="dxa"/>
            <w:left w:w="108" w:type="dxa"/>
            <w:bottom w:w="0" w:type="dxa"/>
            <w:right w:w="108" w:type="dxa"/>
          </w:tblCellMar>
        </w:tblPrEx>
        <w:tc>
          <w:tcPr>
            <w:tcW w:w="765" w:type="dxa"/>
            <w:tcBorders>
              <w:top w:val="single" w:color="000000" w:sz="4" w:space="0"/>
              <w:left w:val="single" w:color="000000" w:sz="4" w:space="0"/>
              <w:bottom w:val="single" w:color="000000" w:sz="4" w:space="0"/>
              <w:right w:val="single" w:color="000000" w:sz="4" w:space="0"/>
            </w:tcBorders>
            <w:vAlign w:val="center"/>
          </w:tcPr>
          <w:p w14:paraId="5EDC7864">
            <w:pPr>
              <w:spacing w:line="360" w:lineRule="exact"/>
              <w:jc w:val="center"/>
              <w:rPr>
                <w:rFonts w:ascii="宋体" w:hAnsi="宋体" w:cs="宋体"/>
                <w:color w:val="auto"/>
                <w:kern w:val="1"/>
                <w:szCs w:val="21"/>
              </w:rPr>
            </w:pPr>
            <w:r>
              <w:rPr>
                <w:rFonts w:ascii="宋体" w:hAnsi="宋体" w:cs="宋体"/>
                <w:color w:val="auto"/>
                <w:kern w:val="1"/>
                <w:szCs w:val="21"/>
              </w:rPr>
              <w:t>1</w:t>
            </w:r>
          </w:p>
        </w:tc>
        <w:tc>
          <w:tcPr>
            <w:tcW w:w="2408" w:type="dxa"/>
            <w:tcBorders>
              <w:top w:val="single" w:color="000000" w:sz="4" w:space="0"/>
              <w:left w:val="single" w:color="000000" w:sz="4" w:space="0"/>
              <w:bottom w:val="single" w:color="000000" w:sz="4" w:space="0"/>
              <w:right w:val="single" w:color="000000" w:sz="4" w:space="0"/>
            </w:tcBorders>
            <w:vAlign w:val="center"/>
          </w:tcPr>
          <w:p w14:paraId="44F73AB4">
            <w:pPr>
              <w:spacing w:line="360" w:lineRule="exact"/>
              <w:ind w:firstLine="27"/>
              <w:jc w:val="center"/>
              <w:rPr>
                <w:rFonts w:ascii="宋体" w:hAnsi="宋体" w:cs="宋体"/>
                <w:color w:val="auto"/>
                <w:kern w:val="1"/>
                <w:szCs w:val="21"/>
              </w:rPr>
            </w:pPr>
            <w:r>
              <w:rPr>
                <w:rFonts w:ascii="宋体" w:hAnsi="宋体" w:cs="宋体"/>
                <w:color w:val="auto"/>
                <w:kern w:val="1"/>
                <w:szCs w:val="21"/>
              </w:rPr>
              <w:t>500万元以下</w:t>
            </w:r>
          </w:p>
        </w:tc>
        <w:tc>
          <w:tcPr>
            <w:tcW w:w="5328" w:type="dxa"/>
            <w:tcBorders>
              <w:top w:val="single" w:color="000000" w:sz="4" w:space="0"/>
              <w:left w:val="single" w:color="000000" w:sz="4" w:space="0"/>
              <w:bottom w:val="single" w:color="000000" w:sz="4" w:space="0"/>
              <w:right w:val="single" w:color="000000" w:sz="4" w:space="0"/>
            </w:tcBorders>
            <w:vAlign w:val="center"/>
          </w:tcPr>
          <w:p w14:paraId="51F701F5">
            <w:pPr>
              <w:spacing w:line="360" w:lineRule="exact"/>
              <w:rPr>
                <w:rFonts w:ascii="宋体" w:hAnsi="宋体" w:cs="宋体"/>
                <w:color w:val="auto"/>
                <w:kern w:val="1"/>
                <w:szCs w:val="21"/>
              </w:rPr>
            </w:pPr>
            <w:r>
              <w:rPr>
                <w:rFonts w:ascii="宋体" w:hAnsi="宋体" w:cs="宋体"/>
                <w:color w:val="auto"/>
                <w:kern w:val="1"/>
                <w:szCs w:val="21"/>
              </w:rPr>
              <w:t>从接到竣工结算报告和完整的竣工结算资料之日起20天</w:t>
            </w:r>
          </w:p>
        </w:tc>
      </w:tr>
      <w:tr w14:paraId="58CE31A0">
        <w:tblPrEx>
          <w:tblCellMar>
            <w:top w:w="0" w:type="dxa"/>
            <w:left w:w="108" w:type="dxa"/>
            <w:bottom w:w="0" w:type="dxa"/>
            <w:right w:w="108" w:type="dxa"/>
          </w:tblCellMar>
        </w:tblPrEx>
        <w:tc>
          <w:tcPr>
            <w:tcW w:w="765" w:type="dxa"/>
            <w:tcBorders>
              <w:top w:val="single" w:color="000000" w:sz="4" w:space="0"/>
              <w:left w:val="single" w:color="000000" w:sz="4" w:space="0"/>
              <w:bottom w:val="single" w:color="000000" w:sz="4" w:space="0"/>
              <w:right w:val="single" w:color="000000" w:sz="4" w:space="0"/>
            </w:tcBorders>
            <w:vAlign w:val="center"/>
          </w:tcPr>
          <w:p w14:paraId="01D9AD0D">
            <w:pPr>
              <w:spacing w:line="360" w:lineRule="exact"/>
              <w:jc w:val="center"/>
              <w:rPr>
                <w:rFonts w:ascii="宋体" w:hAnsi="宋体" w:cs="宋体"/>
                <w:color w:val="auto"/>
                <w:kern w:val="1"/>
                <w:szCs w:val="21"/>
              </w:rPr>
            </w:pPr>
            <w:r>
              <w:rPr>
                <w:rFonts w:ascii="宋体" w:hAnsi="宋体" w:cs="宋体"/>
                <w:color w:val="auto"/>
                <w:kern w:val="1"/>
                <w:szCs w:val="21"/>
              </w:rPr>
              <w:t>2</w:t>
            </w:r>
          </w:p>
        </w:tc>
        <w:tc>
          <w:tcPr>
            <w:tcW w:w="2408" w:type="dxa"/>
            <w:tcBorders>
              <w:top w:val="single" w:color="000000" w:sz="4" w:space="0"/>
              <w:left w:val="single" w:color="000000" w:sz="4" w:space="0"/>
              <w:bottom w:val="single" w:color="000000" w:sz="4" w:space="0"/>
              <w:right w:val="single" w:color="000000" w:sz="4" w:space="0"/>
            </w:tcBorders>
            <w:vAlign w:val="center"/>
          </w:tcPr>
          <w:p w14:paraId="0181AF4C">
            <w:pPr>
              <w:spacing w:line="360" w:lineRule="exact"/>
              <w:ind w:firstLine="27"/>
              <w:jc w:val="center"/>
              <w:rPr>
                <w:rFonts w:ascii="宋体" w:hAnsi="宋体" w:cs="宋体"/>
                <w:color w:val="auto"/>
                <w:kern w:val="1"/>
                <w:szCs w:val="21"/>
              </w:rPr>
            </w:pPr>
            <w:r>
              <w:rPr>
                <w:rFonts w:ascii="宋体" w:hAnsi="宋体" w:cs="宋体"/>
                <w:color w:val="auto"/>
                <w:kern w:val="1"/>
                <w:szCs w:val="21"/>
              </w:rPr>
              <w:t>500万元-2000万元</w:t>
            </w:r>
          </w:p>
        </w:tc>
        <w:tc>
          <w:tcPr>
            <w:tcW w:w="5328" w:type="dxa"/>
            <w:tcBorders>
              <w:top w:val="single" w:color="000000" w:sz="4" w:space="0"/>
              <w:left w:val="single" w:color="000000" w:sz="4" w:space="0"/>
              <w:bottom w:val="single" w:color="000000" w:sz="4" w:space="0"/>
              <w:right w:val="single" w:color="000000" w:sz="4" w:space="0"/>
            </w:tcBorders>
            <w:vAlign w:val="center"/>
          </w:tcPr>
          <w:p w14:paraId="47A1859D">
            <w:pPr>
              <w:spacing w:line="360" w:lineRule="exact"/>
              <w:rPr>
                <w:rFonts w:ascii="宋体" w:hAnsi="宋体" w:cs="宋体"/>
                <w:color w:val="auto"/>
                <w:kern w:val="1"/>
                <w:szCs w:val="21"/>
              </w:rPr>
            </w:pPr>
            <w:r>
              <w:rPr>
                <w:rFonts w:ascii="宋体" w:hAnsi="宋体" w:cs="宋体"/>
                <w:color w:val="auto"/>
                <w:kern w:val="1"/>
                <w:szCs w:val="21"/>
              </w:rPr>
              <w:t>从接到竣工结算报告和完整的竣工结算资料之日起30天</w:t>
            </w:r>
          </w:p>
        </w:tc>
      </w:tr>
      <w:tr w14:paraId="559D0268">
        <w:tblPrEx>
          <w:tblCellMar>
            <w:top w:w="0" w:type="dxa"/>
            <w:left w:w="108" w:type="dxa"/>
            <w:bottom w:w="0" w:type="dxa"/>
            <w:right w:w="108" w:type="dxa"/>
          </w:tblCellMar>
        </w:tblPrEx>
        <w:tc>
          <w:tcPr>
            <w:tcW w:w="765" w:type="dxa"/>
            <w:tcBorders>
              <w:top w:val="single" w:color="000000" w:sz="4" w:space="0"/>
              <w:left w:val="single" w:color="000000" w:sz="4" w:space="0"/>
              <w:bottom w:val="single" w:color="000000" w:sz="4" w:space="0"/>
              <w:right w:val="single" w:color="000000" w:sz="4" w:space="0"/>
            </w:tcBorders>
            <w:vAlign w:val="center"/>
          </w:tcPr>
          <w:p w14:paraId="325225E2">
            <w:pPr>
              <w:spacing w:line="360" w:lineRule="exact"/>
              <w:jc w:val="center"/>
              <w:rPr>
                <w:rFonts w:ascii="宋体" w:hAnsi="宋体" w:cs="宋体"/>
                <w:color w:val="auto"/>
                <w:kern w:val="1"/>
                <w:szCs w:val="21"/>
              </w:rPr>
            </w:pPr>
            <w:r>
              <w:rPr>
                <w:rFonts w:ascii="宋体" w:hAnsi="宋体" w:cs="宋体"/>
                <w:color w:val="auto"/>
                <w:kern w:val="1"/>
                <w:szCs w:val="21"/>
              </w:rPr>
              <w:t>3</w:t>
            </w:r>
          </w:p>
        </w:tc>
        <w:tc>
          <w:tcPr>
            <w:tcW w:w="2408" w:type="dxa"/>
            <w:tcBorders>
              <w:top w:val="single" w:color="000000" w:sz="4" w:space="0"/>
              <w:left w:val="single" w:color="000000" w:sz="4" w:space="0"/>
              <w:bottom w:val="single" w:color="000000" w:sz="4" w:space="0"/>
              <w:right w:val="single" w:color="000000" w:sz="4" w:space="0"/>
            </w:tcBorders>
            <w:vAlign w:val="center"/>
          </w:tcPr>
          <w:p w14:paraId="30EA4F2D">
            <w:pPr>
              <w:spacing w:line="360" w:lineRule="exact"/>
              <w:ind w:firstLine="27"/>
              <w:jc w:val="center"/>
              <w:rPr>
                <w:rFonts w:ascii="宋体" w:hAnsi="宋体" w:cs="宋体"/>
                <w:color w:val="auto"/>
                <w:kern w:val="1"/>
                <w:szCs w:val="21"/>
              </w:rPr>
            </w:pPr>
            <w:r>
              <w:rPr>
                <w:rFonts w:ascii="宋体" w:hAnsi="宋体" w:cs="宋体"/>
                <w:color w:val="auto"/>
                <w:kern w:val="1"/>
                <w:szCs w:val="21"/>
              </w:rPr>
              <w:t>2000万元-5000万元</w:t>
            </w:r>
          </w:p>
        </w:tc>
        <w:tc>
          <w:tcPr>
            <w:tcW w:w="5328" w:type="dxa"/>
            <w:tcBorders>
              <w:top w:val="single" w:color="000000" w:sz="4" w:space="0"/>
              <w:left w:val="single" w:color="000000" w:sz="4" w:space="0"/>
              <w:bottom w:val="single" w:color="000000" w:sz="4" w:space="0"/>
              <w:right w:val="single" w:color="000000" w:sz="4" w:space="0"/>
            </w:tcBorders>
            <w:vAlign w:val="center"/>
          </w:tcPr>
          <w:p w14:paraId="4C7C1AC6">
            <w:pPr>
              <w:spacing w:line="360" w:lineRule="exact"/>
              <w:rPr>
                <w:rFonts w:ascii="宋体" w:hAnsi="宋体" w:cs="宋体"/>
                <w:color w:val="auto"/>
                <w:kern w:val="1"/>
                <w:szCs w:val="21"/>
              </w:rPr>
            </w:pPr>
            <w:r>
              <w:rPr>
                <w:rFonts w:ascii="宋体" w:hAnsi="宋体" w:cs="宋体"/>
                <w:color w:val="auto"/>
                <w:kern w:val="1"/>
                <w:szCs w:val="21"/>
              </w:rPr>
              <w:t>从接到竣工结算报告和完整的竣工结算资料之日起45天</w:t>
            </w:r>
          </w:p>
        </w:tc>
      </w:tr>
      <w:tr w14:paraId="1F551709">
        <w:tblPrEx>
          <w:tblCellMar>
            <w:top w:w="0" w:type="dxa"/>
            <w:left w:w="108" w:type="dxa"/>
            <w:bottom w:w="0" w:type="dxa"/>
            <w:right w:w="108" w:type="dxa"/>
          </w:tblCellMar>
        </w:tblPrEx>
        <w:tc>
          <w:tcPr>
            <w:tcW w:w="765" w:type="dxa"/>
            <w:tcBorders>
              <w:top w:val="single" w:color="000000" w:sz="4" w:space="0"/>
              <w:left w:val="single" w:color="000000" w:sz="4" w:space="0"/>
              <w:bottom w:val="single" w:color="000000" w:sz="4" w:space="0"/>
              <w:right w:val="single" w:color="000000" w:sz="4" w:space="0"/>
            </w:tcBorders>
            <w:vAlign w:val="center"/>
          </w:tcPr>
          <w:p w14:paraId="5F6794F4">
            <w:pPr>
              <w:spacing w:line="360" w:lineRule="exact"/>
              <w:jc w:val="center"/>
              <w:rPr>
                <w:rFonts w:ascii="宋体" w:hAnsi="宋体" w:cs="宋体"/>
                <w:color w:val="auto"/>
                <w:kern w:val="1"/>
                <w:szCs w:val="21"/>
              </w:rPr>
            </w:pPr>
            <w:r>
              <w:rPr>
                <w:rFonts w:ascii="宋体" w:hAnsi="宋体" w:cs="宋体"/>
                <w:color w:val="auto"/>
                <w:kern w:val="1"/>
                <w:szCs w:val="21"/>
              </w:rPr>
              <w:t>4</w:t>
            </w:r>
          </w:p>
        </w:tc>
        <w:tc>
          <w:tcPr>
            <w:tcW w:w="2408" w:type="dxa"/>
            <w:tcBorders>
              <w:top w:val="single" w:color="000000" w:sz="4" w:space="0"/>
              <w:left w:val="single" w:color="000000" w:sz="4" w:space="0"/>
              <w:bottom w:val="single" w:color="000000" w:sz="4" w:space="0"/>
              <w:right w:val="single" w:color="000000" w:sz="4" w:space="0"/>
            </w:tcBorders>
            <w:vAlign w:val="center"/>
          </w:tcPr>
          <w:p w14:paraId="0593964A">
            <w:pPr>
              <w:spacing w:line="360" w:lineRule="exact"/>
              <w:ind w:firstLine="27"/>
              <w:jc w:val="center"/>
              <w:rPr>
                <w:rFonts w:ascii="宋体" w:hAnsi="宋体" w:cs="宋体"/>
                <w:color w:val="auto"/>
                <w:kern w:val="1"/>
                <w:szCs w:val="21"/>
              </w:rPr>
            </w:pPr>
            <w:r>
              <w:rPr>
                <w:rFonts w:ascii="宋体" w:hAnsi="宋体" w:cs="宋体"/>
                <w:color w:val="auto"/>
                <w:kern w:val="1"/>
                <w:szCs w:val="21"/>
              </w:rPr>
              <w:t>5000万元以上</w:t>
            </w:r>
          </w:p>
        </w:tc>
        <w:tc>
          <w:tcPr>
            <w:tcW w:w="5328" w:type="dxa"/>
            <w:tcBorders>
              <w:top w:val="single" w:color="000000" w:sz="4" w:space="0"/>
              <w:left w:val="single" w:color="000000" w:sz="4" w:space="0"/>
              <w:bottom w:val="single" w:color="000000" w:sz="4" w:space="0"/>
              <w:right w:val="single" w:color="000000" w:sz="4" w:space="0"/>
            </w:tcBorders>
            <w:vAlign w:val="center"/>
          </w:tcPr>
          <w:p w14:paraId="4C24E070">
            <w:pPr>
              <w:spacing w:line="360" w:lineRule="exact"/>
              <w:rPr>
                <w:rFonts w:ascii="宋体" w:hAnsi="宋体" w:cs="宋体"/>
                <w:color w:val="auto"/>
                <w:kern w:val="1"/>
                <w:szCs w:val="21"/>
              </w:rPr>
            </w:pPr>
            <w:r>
              <w:rPr>
                <w:rFonts w:ascii="宋体" w:hAnsi="宋体" w:cs="宋体"/>
                <w:color w:val="auto"/>
                <w:kern w:val="1"/>
                <w:szCs w:val="21"/>
              </w:rPr>
              <w:t>从接到竣工结算报告和完整的竣工结算资料之日起60天</w:t>
            </w:r>
          </w:p>
        </w:tc>
      </w:tr>
    </w:tbl>
    <w:p w14:paraId="64057EB5">
      <w:pPr>
        <w:spacing w:line="360" w:lineRule="exact"/>
        <w:ind w:firstLine="420"/>
        <w:jc w:val="left"/>
        <w:rPr>
          <w:rFonts w:ascii="宋体" w:hAnsi="宋体" w:cs="宋体"/>
          <w:color w:val="auto"/>
          <w:kern w:val="1"/>
          <w:szCs w:val="21"/>
        </w:rPr>
      </w:pPr>
      <w:r>
        <w:rPr>
          <w:rFonts w:ascii="宋体" w:hAnsi="宋体" w:cs="宋体"/>
          <w:bCs/>
          <w:color w:val="auto"/>
          <w:kern w:val="1"/>
          <w:szCs w:val="21"/>
        </w:rPr>
        <w:t>因承包人提供的结算资料不完整而需要补充或承包人不按时对账耽误时间时，审查时间应相应顺延</w:t>
      </w:r>
      <w:r>
        <w:rPr>
          <w:rFonts w:ascii="宋体" w:hAnsi="宋体" w:cs="宋体"/>
          <w:color w:val="auto"/>
          <w:kern w:val="1"/>
          <w:szCs w:val="21"/>
        </w:rPr>
        <w:t>。</w:t>
      </w:r>
    </w:p>
    <w:p w14:paraId="2DB2A00B">
      <w:pPr>
        <w:spacing w:line="360" w:lineRule="exact"/>
        <w:ind w:firstLine="420"/>
        <w:jc w:val="left"/>
        <w:rPr>
          <w:rFonts w:ascii="宋体" w:hAnsi="宋体" w:cs="宋体"/>
          <w:color w:val="auto"/>
          <w:kern w:val="1"/>
          <w:szCs w:val="21"/>
        </w:rPr>
      </w:pPr>
      <w:r>
        <w:rPr>
          <w:rFonts w:ascii="宋体" w:hAnsi="宋体" w:cs="宋体"/>
          <w:color w:val="auto"/>
          <w:kern w:val="1"/>
          <w:szCs w:val="21"/>
        </w:rPr>
        <w:t>发包人完成竣工付款的期限：</w:t>
      </w:r>
      <w:r>
        <w:rPr>
          <w:rFonts w:hint="eastAsia" w:ascii="宋体" w:hAnsi="宋体" w:cs="宋体"/>
          <w:color w:val="auto"/>
          <w:kern w:val="1"/>
          <w:szCs w:val="21"/>
          <w:u w:val="single"/>
        </w:rPr>
        <w:t>审计部门审定出具审计结论承包人提交发票后30天内</w:t>
      </w:r>
      <w:r>
        <w:rPr>
          <w:rFonts w:ascii="宋体" w:hAnsi="宋体" w:cs="宋体"/>
          <w:color w:val="auto"/>
          <w:kern w:val="1"/>
          <w:szCs w:val="21"/>
        </w:rPr>
        <w:t>。</w:t>
      </w:r>
    </w:p>
    <w:p w14:paraId="68786980">
      <w:pPr>
        <w:spacing w:line="360" w:lineRule="exact"/>
        <w:ind w:firstLine="420"/>
        <w:jc w:val="left"/>
        <w:rPr>
          <w:rFonts w:ascii="宋体" w:hAnsi="宋体" w:cs="宋体"/>
          <w:color w:val="auto"/>
          <w:kern w:val="1"/>
          <w:szCs w:val="21"/>
        </w:rPr>
      </w:pPr>
      <w:r>
        <w:rPr>
          <w:rFonts w:ascii="宋体" w:hAnsi="宋体" w:cs="宋体"/>
          <w:color w:val="auto"/>
          <w:kern w:val="1"/>
          <w:szCs w:val="21"/>
        </w:rPr>
        <w:t>关于竣工付款证书异议部分复核的方式和程序：</w:t>
      </w:r>
      <w:r>
        <w:rPr>
          <w:rFonts w:hint="eastAsia" w:ascii="宋体" w:hAnsi="宋体" w:cs="宋体"/>
          <w:color w:val="auto"/>
          <w:kern w:val="1"/>
          <w:szCs w:val="21"/>
          <w:u w:val="single"/>
        </w:rPr>
        <w:t>向监理人提出申请复议，监理人签署意见后30天内答复</w:t>
      </w:r>
      <w:r>
        <w:rPr>
          <w:rFonts w:ascii="宋体" w:hAnsi="宋体" w:cs="宋体"/>
          <w:color w:val="auto"/>
          <w:kern w:val="1"/>
          <w:szCs w:val="21"/>
        </w:rPr>
        <w:t>。</w:t>
      </w:r>
    </w:p>
    <w:p w14:paraId="0DBE9C3C">
      <w:pPr>
        <w:spacing w:line="360" w:lineRule="exact"/>
        <w:ind w:firstLine="420"/>
        <w:jc w:val="left"/>
        <w:rPr>
          <w:rFonts w:ascii="宋体" w:hAnsi="宋体" w:cs="宋体"/>
          <w:color w:val="auto"/>
          <w:kern w:val="1"/>
          <w:szCs w:val="21"/>
          <w:u w:val="single"/>
        </w:rPr>
      </w:pPr>
      <w:r>
        <w:rPr>
          <w:rFonts w:hint="eastAsia" w:ascii="宋体" w:hAnsi="宋体" w:cs="宋体"/>
          <w:color w:val="auto"/>
          <w:kern w:val="1"/>
          <w:szCs w:val="21"/>
          <w:u w:val="single"/>
        </w:rPr>
        <w:t>双方按照《审计法》的规定，审计机关对政府投资和以政府投资为主的建设项目的预算执行情况和决算进行审计监督。各方结算（决算）工程价款必须以审计机关作出的审计结论为结算（决算）依据。</w:t>
      </w:r>
    </w:p>
    <w:p w14:paraId="66D44C78">
      <w:pPr>
        <w:spacing w:line="360" w:lineRule="exact"/>
        <w:ind w:firstLine="420"/>
        <w:jc w:val="left"/>
        <w:rPr>
          <w:rFonts w:ascii="宋体" w:hAnsi="宋体" w:cs="宋体"/>
          <w:color w:val="auto"/>
          <w:kern w:val="1"/>
          <w:szCs w:val="21"/>
          <w:u w:val="single"/>
        </w:rPr>
      </w:pPr>
    </w:p>
    <w:p w14:paraId="51085D0F">
      <w:pPr>
        <w:pStyle w:val="2"/>
        <w:keepNext w:val="0"/>
        <w:spacing w:line="360" w:lineRule="exact"/>
        <w:rPr>
          <w:rFonts w:ascii="宋体" w:hAnsi="宋体" w:cs="宋体"/>
          <w:color w:val="auto"/>
          <w:sz w:val="21"/>
          <w:szCs w:val="21"/>
          <w:lang w:val="zh-CN"/>
        </w:rPr>
      </w:pPr>
      <w:bookmarkStart w:id="1104" w:name="_Toc373478408"/>
      <w:bookmarkEnd w:id="1104"/>
      <w:bookmarkStart w:id="1105" w:name="_Toc373227761"/>
      <w:bookmarkEnd w:id="1105"/>
      <w:bookmarkStart w:id="1106" w:name="_Toc406054802"/>
      <w:bookmarkEnd w:id="1106"/>
      <w:bookmarkStart w:id="1107" w:name="_Toc1530"/>
      <w:bookmarkStart w:id="1108" w:name="_Toc1251"/>
      <w:bookmarkStart w:id="1109" w:name="_Toc23973"/>
      <w:bookmarkStart w:id="1110" w:name="_Toc3942"/>
      <w:bookmarkStart w:id="1111" w:name="_Toc27664"/>
      <w:r>
        <w:rPr>
          <w:rFonts w:ascii="宋体" w:hAnsi="宋体" w:cs="宋体"/>
          <w:color w:val="auto"/>
          <w:sz w:val="21"/>
          <w:szCs w:val="21"/>
          <w:lang w:val="zh-CN"/>
        </w:rPr>
        <w:t>14.4 最终结清</w:t>
      </w:r>
      <w:bookmarkEnd w:id="1107"/>
      <w:bookmarkEnd w:id="1108"/>
      <w:bookmarkEnd w:id="1109"/>
      <w:bookmarkEnd w:id="1110"/>
      <w:bookmarkEnd w:id="1111"/>
    </w:p>
    <w:p w14:paraId="5CD318C5">
      <w:pPr>
        <w:spacing w:line="360" w:lineRule="exact"/>
        <w:ind w:firstLine="420"/>
        <w:jc w:val="left"/>
        <w:rPr>
          <w:rFonts w:ascii="宋体" w:hAnsi="宋体" w:cs="宋体"/>
          <w:color w:val="auto"/>
          <w:kern w:val="1"/>
          <w:szCs w:val="21"/>
        </w:rPr>
      </w:pPr>
      <w:r>
        <w:rPr>
          <w:rFonts w:ascii="宋体" w:hAnsi="宋体" w:cs="宋体"/>
          <w:color w:val="auto"/>
          <w:kern w:val="1"/>
          <w:szCs w:val="21"/>
        </w:rPr>
        <w:t>14.4.1 最终结清申请单</w:t>
      </w:r>
    </w:p>
    <w:p w14:paraId="50984D65">
      <w:pPr>
        <w:spacing w:line="360" w:lineRule="exact"/>
        <w:ind w:firstLine="420"/>
        <w:jc w:val="left"/>
        <w:rPr>
          <w:rFonts w:ascii="宋体" w:hAnsi="宋体" w:cs="宋体"/>
          <w:color w:val="auto"/>
          <w:kern w:val="1"/>
          <w:szCs w:val="21"/>
        </w:rPr>
      </w:pPr>
      <w:r>
        <w:rPr>
          <w:rFonts w:ascii="宋体" w:hAnsi="宋体" w:cs="宋体"/>
          <w:color w:val="auto"/>
          <w:kern w:val="1"/>
          <w:szCs w:val="21"/>
        </w:rPr>
        <w:t>承包人提交最终结清申请单的份数：</w:t>
      </w:r>
      <w:r>
        <w:rPr>
          <w:rFonts w:hint="eastAsia" w:ascii="宋体" w:hAnsi="宋体" w:cs="宋体"/>
          <w:color w:val="auto"/>
          <w:kern w:val="1"/>
          <w:szCs w:val="21"/>
          <w:u w:val="single"/>
        </w:rPr>
        <w:t>一式肆份</w:t>
      </w:r>
      <w:r>
        <w:rPr>
          <w:rFonts w:ascii="宋体" w:hAnsi="宋体" w:cs="宋体"/>
          <w:color w:val="auto"/>
          <w:kern w:val="1"/>
          <w:szCs w:val="21"/>
        </w:rPr>
        <w:t>。</w:t>
      </w:r>
    </w:p>
    <w:p w14:paraId="095495D8">
      <w:pPr>
        <w:spacing w:line="360" w:lineRule="exact"/>
        <w:ind w:firstLine="420"/>
        <w:jc w:val="left"/>
        <w:rPr>
          <w:rFonts w:ascii="宋体" w:hAnsi="宋体" w:cs="宋体"/>
          <w:color w:val="auto"/>
          <w:kern w:val="1"/>
          <w:szCs w:val="21"/>
        </w:rPr>
      </w:pPr>
      <w:r>
        <w:rPr>
          <w:rFonts w:ascii="宋体" w:hAnsi="宋体" w:cs="宋体"/>
          <w:color w:val="auto"/>
          <w:kern w:val="1"/>
          <w:szCs w:val="21"/>
        </w:rPr>
        <w:t>承包人提交最终结算申请单的期限：</w:t>
      </w:r>
      <w:r>
        <w:rPr>
          <w:rFonts w:hint="eastAsia" w:ascii="宋体" w:hAnsi="宋体" w:cs="宋体"/>
          <w:color w:val="auto"/>
          <w:kern w:val="1"/>
          <w:szCs w:val="21"/>
          <w:u w:val="single"/>
        </w:rPr>
        <w:t>审计结论出后30天内</w:t>
      </w:r>
      <w:r>
        <w:rPr>
          <w:rFonts w:ascii="宋体" w:hAnsi="宋体" w:cs="宋体"/>
          <w:color w:val="auto"/>
          <w:kern w:val="1"/>
          <w:szCs w:val="21"/>
        </w:rPr>
        <w:t xml:space="preserve">。 </w:t>
      </w:r>
    </w:p>
    <w:p w14:paraId="6616F410">
      <w:pPr>
        <w:spacing w:line="360" w:lineRule="exact"/>
        <w:ind w:firstLine="420"/>
        <w:jc w:val="left"/>
        <w:rPr>
          <w:rFonts w:ascii="宋体" w:hAnsi="宋体" w:cs="宋体"/>
          <w:color w:val="auto"/>
          <w:kern w:val="1"/>
          <w:szCs w:val="21"/>
        </w:rPr>
      </w:pPr>
      <w:r>
        <w:rPr>
          <w:rFonts w:ascii="宋体" w:hAnsi="宋体" w:cs="宋体"/>
          <w:color w:val="auto"/>
          <w:kern w:val="1"/>
          <w:szCs w:val="21"/>
        </w:rPr>
        <w:t>14.4.2 最终结清证书和支付</w:t>
      </w:r>
    </w:p>
    <w:p w14:paraId="3F39C0BD">
      <w:pPr>
        <w:spacing w:line="360" w:lineRule="exact"/>
        <w:ind w:firstLine="420"/>
        <w:jc w:val="left"/>
        <w:rPr>
          <w:rFonts w:ascii="宋体" w:hAnsi="宋体" w:cs="宋体"/>
          <w:color w:val="auto"/>
          <w:kern w:val="1"/>
          <w:szCs w:val="21"/>
        </w:rPr>
      </w:pPr>
      <w:r>
        <w:rPr>
          <w:rFonts w:ascii="宋体" w:hAnsi="宋体" w:cs="宋体"/>
          <w:color w:val="auto"/>
          <w:kern w:val="1"/>
          <w:szCs w:val="21"/>
        </w:rPr>
        <w:t>（1）发包人完成最终结清申请单的审批并颁发最终结清证书的期限：</w:t>
      </w:r>
      <w:r>
        <w:rPr>
          <w:rFonts w:hint="eastAsia" w:ascii="宋体" w:hAnsi="宋体" w:cs="宋体"/>
          <w:color w:val="auto"/>
          <w:kern w:val="1"/>
          <w:szCs w:val="21"/>
          <w:u w:val="single"/>
        </w:rPr>
        <w:t>经政府职能部门审定后30天内</w:t>
      </w:r>
      <w:r>
        <w:rPr>
          <w:rFonts w:ascii="宋体" w:hAnsi="宋体" w:cs="宋体"/>
          <w:color w:val="auto"/>
          <w:kern w:val="1"/>
          <w:szCs w:val="21"/>
        </w:rPr>
        <w:t>。</w:t>
      </w:r>
    </w:p>
    <w:p w14:paraId="5A0AC452">
      <w:pPr>
        <w:spacing w:line="360" w:lineRule="exact"/>
        <w:ind w:firstLine="420"/>
        <w:jc w:val="left"/>
        <w:rPr>
          <w:rFonts w:ascii="宋体" w:hAnsi="宋体" w:cs="宋体"/>
          <w:color w:val="auto"/>
          <w:kern w:val="1"/>
          <w:szCs w:val="21"/>
        </w:rPr>
      </w:pPr>
      <w:r>
        <w:rPr>
          <w:rFonts w:ascii="宋体" w:hAnsi="宋体" w:cs="宋体"/>
          <w:color w:val="auto"/>
          <w:kern w:val="1"/>
          <w:szCs w:val="21"/>
        </w:rPr>
        <w:t>（2）发包人完成支付的期限：</w:t>
      </w:r>
      <w:r>
        <w:rPr>
          <w:rFonts w:hint="eastAsia" w:ascii="宋体" w:hAnsi="宋体" w:cs="宋体"/>
          <w:color w:val="auto"/>
          <w:kern w:val="1"/>
          <w:szCs w:val="21"/>
          <w:u w:val="single"/>
        </w:rPr>
        <w:t>政府职能部门审定后45天内</w:t>
      </w:r>
      <w:r>
        <w:rPr>
          <w:rFonts w:ascii="宋体" w:hAnsi="宋体" w:cs="宋体"/>
          <w:color w:val="auto"/>
          <w:kern w:val="1"/>
          <w:szCs w:val="21"/>
        </w:rPr>
        <w:t>。</w:t>
      </w:r>
    </w:p>
    <w:p w14:paraId="607E30E9">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112" w:name="_Toc267251501"/>
      <w:bookmarkEnd w:id="1112"/>
      <w:bookmarkStart w:id="1113" w:name="_Toc267251485"/>
      <w:bookmarkEnd w:id="1113"/>
      <w:bookmarkStart w:id="1114" w:name="_Toc267251498"/>
      <w:bookmarkEnd w:id="1114"/>
      <w:bookmarkStart w:id="1115" w:name="_Toc267251488"/>
      <w:bookmarkEnd w:id="1115"/>
      <w:bookmarkStart w:id="1116" w:name="_Toc267251511"/>
      <w:bookmarkEnd w:id="1116"/>
      <w:bookmarkStart w:id="1117" w:name="_Toc267251507"/>
      <w:bookmarkEnd w:id="1117"/>
      <w:bookmarkStart w:id="1118" w:name="_Toc267251495"/>
      <w:bookmarkEnd w:id="1118"/>
      <w:bookmarkStart w:id="1119" w:name="_Toc267251492"/>
      <w:bookmarkEnd w:id="1119"/>
      <w:bookmarkStart w:id="1120" w:name="_Toc267251499"/>
      <w:bookmarkEnd w:id="1120"/>
      <w:bookmarkStart w:id="1121" w:name="_Toc406054803"/>
      <w:bookmarkEnd w:id="1121"/>
      <w:bookmarkStart w:id="1122" w:name="_Toc267251509"/>
      <w:bookmarkEnd w:id="1122"/>
      <w:bookmarkStart w:id="1123" w:name="_Toc267251514"/>
      <w:bookmarkEnd w:id="1123"/>
      <w:bookmarkStart w:id="1124" w:name="_Toc267251484"/>
      <w:bookmarkEnd w:id="1124"/>
      <w:bookmarkStart w:id="1125" w:name="_Toc267251496"/>
      <w:bookmarkEnd w:id="1125"/>
      <w:bookmarkStart w:id="1126" w:name="_Toc267251503"/>
      <w:bookmarkEnd w:id="1126"/>
      <w:bookmarkStart w:id="1127" w:name="_Toc267251513"/>
      <w:bookmarkEnd w:id="1127"/>
      <w:bookmarkStart w:id="1128" w:name="_Toc373227762"/>
      <w:bookmarkEnd w:id="1128"/>
      <w:bookmarkStart w:id="1129" w:name="_Toc267251491"/>
      <w:bookmarkEnd w:id="1129"/>
      <w:bookmarkStart w:id="1130" w:name="_Toc267251493"/>
      <w:bookmarkEnd w:id="1130"/>
      <w:bookmarkStart w:id="1131" w:name="_Toc267251510"/>
      <w:bookmarkEnd w:id="1131"/>
      <w:bookmarkStart w:id="1132" w:name="_Toc267251502"/>
      <w:bookmarkEnd w:id="1132"/>
      <w:bookmarkStart w:id="1133" w:name="_Toc267251515"/>
      <w:bookmarkEnd w:id="1133"/>
      <w:bookmarkStart w:id="1134" w:name="_Toc267251490"/>
      <w:bookmarkEnd w:id="1134"/>
      <w:bookmarkStart w:id="1135" w:name="_Toc267251486"/>
      <w:bookmarkEnd w:id="1135"/>
      <w:bookmarkStart w:id="1136" w:name="_Toc267251483"/>
      <w:bookmarkEnd w:id="1136"/>
      <w:bookmarkStart w:id="1137" w:name="_Toc373478409"/>
      <w:bookmarkEnd w:id="1137"/>
      <w:bookmarkStart w:id="1138" w:name="_Toc267251506"/>
      <w:bookmarkEnd w:id="1138"/>
      <w:bookmarkStart w:id="1139" w:name="_Toc267251497"/>
      <w:bookmarkEnd w:id="1139"/>
      <w:bookmarkStart w:id="1140" w:name="_Toc267251494"/>
      <w:bookmarkEnd w:id="1140"/>
      <w:bookmarkStart w:id="1141" w:name="_Toc267251508"/>
      <w:bookmarkEnd w:id="1141"/>
      <w:bookmarkStart w:id="1142" w:name="_Toc351203647"/>
      <w:bookmarkEnd w:id="1142"/>
      <w:bookmarkStart w:id="1143" w:name="_Toc267251482"/>
      <w:bookmarkEnd w:id="1143"/>
      <w:bookmarkStart w:id="1144" w:name="_Toc267251504"/>
      <w:bookmarkEnd w:id="1144"/>
      <w:bookmarkStart w:id="1145" w:name="_Toc267251489"/>
      <w:bookmarkEnd w:id="1145"/>
      <w:bookmarkStart w:id="1146" w:name="_Toc5635"/>
      <w:bookmarkStart w:id="1147" w:name="_Toc3430"/>
      <w:bookmarkStart w:id="1148" w:name="_Toc15420"/>
      <w:bookmarkStart w:id="1149" w:name="_Toc19471"/>
      <w:bookmarkStart w:id="1150" w:name="_Toc29414"/>
      <w:r>
        <w:rPr>
          <w:rFonts w:ascii="宋体" w:hAnsi="宋体" w:cs="宋体"/>
          <w:color w:val="auto"/>
          <w:sz w:val="21"/>
          <w:szCs w:val="21"/>
          <w:lang w:val="zh-CN"/>
        </w:rPr>
        <w:t>15. 缺陷责任期与保修</w:t>
      </w:r>
      <w:bookmarkEnd w:id="1146"/>
      <w:bookmarkEnd w:id="1147"/>
      <w:bookmarkEnd w:id="1148"/>
      <w:bookmarkEnd w:id="1149"/>
      <w:bookmarkEnd w:id="1150"/>
    </w:p>
    <w:p w14:paraId="25266B52">
      <w:pPr>
        <w:pStyle w:val="2"/>
        <w:keepNext w:val="0"/>
        <w:spacing w:line="360" w:lineRule="exact"/>
        <w:rPr>
          <w:rFonts w:ascii="宋体" w:hAnsi="宋体" w:cs="宋体"/>
          <w:color w:val="auto"/>
          <w:sz w:val="21"/>
          <w:szCs w:val="21"/>
          <w:lang w:val="zh-CN"/>
        </w:rPr>
      </w:pPr>
      <w:bookmarkStart w:id="1151" w:name="_Toc373478410"/>
      <w:bookmarkEnd w:id="1151"/>
      <w:bookmarkStart w:id="1152" w:name="_Toc373227763"/>
      <w:bookmarkEnd w:id="1152"/>
      <w:bookmarkStart w:id="1153" w:name="_Toc406054804"/>
      <w:bookmarkEnd w:id="1153"/>
      <w:bookmarkStart w:id="1154" w:name="_Toc14483"/>
      <w:bookmarkStart w:id="1155" w:name="_Toc8722"/>
      <w:bookmarkStart w:id="1156" w:name="_Toc10395"/>
      <w:bookmarkStart w:id="1157" w:name="_Toc30838"/>
      <w:bookmarkStart w:id="1158" w:name="_Toc5800"/>
      <w:r>
        <w:rPr>
          <w:rFonts w:ascii="宋体" w:hAnsi="宋体" w:cs="宋体"/>
          <w:color w:val="auto"/>
          <w:sz w:val="21"/>
          <w:szCs w:val="21"/>
          <w:lang w:val="zh-CN"/>
        </w:rPr>
        <w:t>15.2缺陷责任期</w:t>
      </w:r>
      <w:bookmarkEnd w:id="1154"/>
      <w:bookmarkEnd w:id="1155"/>
      <w:bookmarkEnd w:id="1156"/>
      <w:bookmarkEnd w:id="1157"/>
      <w:bookmarkEnd w:id="1158"/>
    </w:p>
    <w:p w14:paraId="5831AC1A">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缺陷责任期的具体期限：</w:t>
      </w:r>
      <w:r>
        <w:rPr>
          <w:rFonts w:hint="eastAsia" w:ascii="宋体" w:hAnsi="宋体" w:cs="宋体"/>
          <w:color w:val="auto"/>
          <w:kern w:val="1"/>
          <w:szCs w:val="21"/>
          <w:u w:val="single"/>
        </w:rPr>
        <w:t>1年</w:t>
      </w:r>
      <w:r>
        <w:rPr>
          <w:rFonts w:ascii="宋体" w:hAnsi="宋体" w:cs="宋体"/>
          <w:color w:val="auto"/>
          <w:kern w:val="1"/>
          <w:szCs w:val="21"/>
        </w:rPr>
        <w:t>。</w:t>
      </w:r>
    </w:p>
    <w:p w14:paraId="1CB85738">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159" w:name="_Toc406054805"/>
      <w:bookmarkEnd w:id="1159"/>
      <w:bookmarkStart w:id="1160" w:name="_Toc373478411"/>
      <w:bookmarkEnd w:id="1160"/>
      <w:bookmarkStart w:id="1161" w:name="_Toc373227764"/>
      <w:bookmarkEnd w:id="1161"/>
      <w:bookmarkStart w:id="1162" w:name="_Toc31439"/>
      <w:bookmarkStart w:id="1163" w:name="_Toc14181"/>
      <w:bookmarkStart w:id="1164" w:name="_Toc15858"/>
      <w:bookmarkStart w:id="1165" w:name="_Toc10353"/>
      <w:bookmarkStart w:id="1166" w:name="_Toc15405"/>
      <w:r>
        <w:rPr>
          <w:rFonts w:ascii="宋体" w:hAnsi="宋体" w:cs="宋体"/>
          <w:color w:val="auto"/>
          <w:sz w:val="21"/>
          <w:szCs w:val="21"/>
          <w:lang w:val="zh-CN"/>
        </w:rPr>
        <w:t>15.3 质量保证金</w:t>
      </w:r>
      <w:bookmarkEnd w:id="1162"/>
      <w:bookmarkEnd w:id="1163"/>
      <w:bookmarkEnd w:id="1164"/>
      <w:bookmarkEnd w:id="1165"/>
      <w:bookmarkEnd w:id="1166"/>
    </w:p>
    <w:p w14:paraId="05AC8FD1">
      <w:pPr>
        <w:spacing w:line="360" w:lineRule="exact"/>
        <w:ind w:firstLine="420"/>
        <w:jc w:val="left"/>
        <w:rPr>
          <w:rFonts w:ascii="宋体" w:hAnsi="宋体" w:cs="宋体"/>
          <w:color w:val="auto"/>
          <w:kern w:val="1"/>
          <w:szCs w:val="21"/>
        </w:rPr>
      </w:pPr>
      <w:r>
        <w:rPr>
          <w:rFonts w:ascii="宋体" w:hAnsi="宋体" w:cs="宋体"/>
          <w:color w:val="auto"/>
          <w:kern w:val="1"/>
          <w:szCs w:val="21"/>
        </w:rPr>
        <w:t>关于是否扣留质量保证金的约定：</w:t>
      </w:r>
      <w:r>
        <w:rPr>
          <w:rFonts w:hint="eastAsia" w:ascii="宋体" w:hAnsi="宋体" w:cs="宋体"/>
          <w:color w:val="auto"/>
          <w:kern w:val="1"/>
          <w:szCs w:val="21"/>
          <w:u w:val="single"/>
        </w:rPr>
        <w:t>否</w:t>
      </w:r>
      <w:r>
        <w:rPr>
          <w:rFonts w:ascii="宋体" w:hAnsi="宋体" w:cs="宋体"/>
          <w:color w:val="auto"/>
          <w:kern w:val="1"/>
          <w:szCs w:val="21"/>
        </w:rPr>
        <w:t>。</w:t>
      </w:r>
    </w:p>
    <w:p w14:paraId="604F779E">
      <w:pPr>
        <w:spacing w:line="360" w:lineRule="exact"/>
        <w:ind w:firstLine="420"/>
        <w:jc w:val="left"/>
        <w:rPr>
          <w:rFonts w:ascii="宋体" w:hAnsi="宋体" w:cs="宋体"/>
          <w:color w:val="auto"/>
          <w:kern w:val="1"/>
          <w:szCs w:val="21"/>
        </w:rPr>
      </w:pPr>
      <w:r>
        <w:rPr>
          <w:rFonts w:ascii="宋体" w:hAnsi="宋体" w:cs="宋体"/>
          <w:color w:val="auto"/>
          <w:kern w:val="1"/>
          <w:szCs w:val="21"/>
        </w:rPr>
        <w:t>15.3.1 承包人提供质量保证金的方式</w:t>
      </w:r>
    </w:p>
    <w:p w14:paraId="361A4479">
      <w:pPr>
        <w:spacing w:line="360" w:lineRule="exact"/>
        <w:ind w:firstLine="420"/>
        <w:jc w:val="left"/>
        <w:rPr>
          <w:rFonts w:ascii="宋体" w:hAnsi="宋体" w:cs="宋体"/>
          <w:color w:val="auto"/>
          <w:kern w:val="1"/>
          <w:szCs w:val="21"/>
        </w:rPr>
      </w:pPr>
      <w:r>
        <w:rPr>
          <w:rFonts w:ascii="宋体" w:hAnsi="宋体" w:cs="宋体"/>
          <w:color w:val="auto"/>
          <w:kern w:val="1"/>
          <w:szCs w:val="21"/>
        </w:rPr>
        <w:t>质量保证金采用以下第</w:t>
      </w:r>
      <w:r>
        <w:rPr>
          <w:rFonts w:hint="eastAsia" w:ascii="宋体" w:hAnsi="宋体" w:cs="宋体"/>
          <w:color w:val="auto"/>
          <w:kern w:val="1"/>
          <w:szCs w:val="21"/>
          <w:u w:val="single"/>
        </w:rPr>
        <w:t>2</w:t>
      </w:r>
      <w:r>
        <w:rPr>
          <w:rFonts w:ascii="宋体" w:hAnsi="宋体" w:cs="宋体"/>
          <w:color w:val="auto"/>
          <w:kern w:val="1"/>
          <w:szCs w:val="21"/>
        </w:rPr>
        <w:t>种方式：</w:t>
      </w:r>
    </w:p>
    <w:p w14:paraId="5F8621D4">
      <w:pPr>
        <w:spacing w:line="360" w:lineRule="exact"/>
        <w:ind w:firstLine="420"/>
        <w:jc w:val="left"/>
        <w:rPr>
          <w:rFonts w:ascii="宋体" w:hAnsi="宋体" w:cs="宋体"/>
          <w:color w:val="auto"/>
          <w:kern w:val="1"/>
          <w:szCs w:val="21"/>
        </w:rPr>
      </w:pPr>
      <w:r>
        <w:rPr>
          <w:rFonts w:ascii="宋体" w:hAnsi="宋体" w:cs="宋体"/>
          <w:color w:val="auto"/>
          <w:kern w:val="1"/>
          <w:szCs w:val="21"/>
        </w:rPr>
        <w:t>（1）质量保证金保函，保证金额为：</w:t>
      </w:r>
      <w:r>
        <w:rPr>
          <w:rFonts w:hint="eastAsia" w:ascii="宋体" w:hAnsi="宋体" w:cs="宋体"/>
          <w:color w:val="auto"/>
          <w:kern w:val="1"/>
          <w:szCs w:val="21"/>
          <w:u w:val="single"/>
        </w:rPr>
        <w:t>无</w:t>
      </w:r>
      <w:r>
        <w:rPr>
          <w:rFonts w:ascii="宋体" w:hAnsi="宋体" w:cs="宋体"/>
          <w:color w:val="auto"/>
          <w:kern w:val="1"/>
          <w:szCs w:val="21"/>
        </w:rPr>
        <w:t xml:space="preserve">； </w:t>
      </w:r>
    </w:p>
    <w:p w14:paraId="369E464C">
      <w:pPr>
        <w:spacing w:line="360" w:lineRule="exact"/>
        <w:ind w:firstLine="420"/>
        <w:jc w:val="left"/>
        <w:rPr>
          <w:rFonts w:ascii="宋体" w:hAnsi="宋体" w:cs="宋体"/>
          <w:color w:val="auto"/>
          <w:kern w:val="1"/>
          <w:szCs w:val="21"/>
        </w:rPr>
      </w:pPr>
      <w:r>
        <w:rPr>
          <w:rFonts w:ascii="宋体" w:hAnsi="宋体" w:cs="宋体"/>
          <w:color w:val="auto"/>
          <w:kern w:val="1"/>
          <w:szCs w:val="21"/>
        </w:rPr>
        <w:t>（2）</w:t>
      </w:r>
      <w:r>
        <w:rPr>
          <w:rFonts w:hint="eastAsia" w:ascii="宋体" w:hAnsi="宋体" w:cs="宋体"/>
          <w:color w:val="auto"/>
          <w:kern w:val="1"/>
          <w:szCs w:val="21"/>
          <w:u w:val="single"/>
        </w:rPr>
        <w:t xml:space="preserve"> </w:t>
      </w:r>
      <w:r>
        <w:rPr>
          <w:rFonts w:hint="eastAsia" w:ascii="宋体" w:hAnsi="宋体" w:cs="宋体"/>
          <w:color w:val="auto"/>
          <w:kern w:val="1"/>
          <w:szCs w:val="21"/>
          <w:u w:val="single"/>
          <w:lang w:val="en-US" w:eastAsia="zh-CN"/>
        </w:rPr>
        <w:t>5</w:t>
      </w:r>
      <w:r>
        <w:rPr>
          <w:rFonts w:hint="eastAsia" w:ascii="宋体" w:hAnsi="宋体" w:cs="宋体"/>
          <w:color w:val="auto"/>
          <w:kern w:val="1"/>
          <w:szCs w:val="21"/>
          <w:u w:val="single"/>
        </w:rPr>
        <w:t xml:space="preserve"> </w:t>
      </w:r>
      <w:r>
        <w:rPr>
          <w:rFonts w:ascii="宋体" w:hAnsi="宋体" w:cs="宋体"/>
          <w:color w:val="auto"/>
          <w:kern w:val="1"/>
          <w:szCs w:val="21"/>
        </w:rPr>
        <w:t>%的工程款；</w:t>
      </w:r>
    </w:p>
    <w:p w14:paraId="0B2FA4DE">
      <w:pPr>
        <w:spacing w:line="360" w:lineRule="exact"/>
        <w:ind w:firstLine="420"/>
        <w:jc w:val="left"/>
        <w:rPr>
          <w:rFonts w:ascii="宋体" w:hAnsi="宋体" w:cs="宋体"/>
          <w:color w:val="auto"/>
          <w:kern w:val="1"/>
          <w:szCs w:val="21"/>
        </w:rPr>
      </w:pPr>
      <w:r>
        <w:rPr>
          <w:rFonts w:ascii="宋体" w:hAnsi="宋体" w:cs="宋体"/>
          <w:color w:val="auto"/>
          <w:kern w:val="1"/>
          <w:szCs w:val="21"/>
        </w:rPr>
        <w:t xml:space="preserve">15.3.2 质量保证金的扣留 </w:t>
      </w:r>
    </w:p>
    <w:p w14:paraId="7E8B2B59">
      <w:pPr>
        <w:spacing w:line="360" w:lineRule="exact"/>
        <w:ind w:firstLine="420"/>
        <w:jc w:val="left"/>
        <w:rPr>
          <w:rFonts w:ascii="宋体" w:hAnsi="宋体" w:cs="宋体"/>
          <w:color w:val="auto"/>
          <w:kern w:val="1"/>
          <w:szCs w:val="21"/>
        </w:rPr>
      </w:pPr>
      <w:r>
        <w:rPr>
          <w:rFonts w:ascii="宋体" w:hAnsi="宋体" w:cs="宋体"/>
          <w:color w:val="auto"/>
          <w:kern w:val="1"/>
          <w:szCs w:val="21"/>
        </w:rPr>
        <w:t>质量保证金的扣留采取以下第</w:t>
      </w:r>
      <w:r>
        <w:rPr>
          <w:rFonts w:hint="eastAsia" w:ascii="宋体" w:hAnsi="宋体" w:cs="宋体"/>
          <w:color w:val="auto"/>
          <w:kern w:val="1"/>
          <w:szCs w:val="21"/>
          <w:u w:val="single"/>
        </w:rPr>
        <w:t>2</w:t>
      </w:r>
      <w:r>
        <w:rPr>
          <w:rFonts w:ascii="宋体" w:hAnsi="宋体" w:cs="宋体"/>
          <w:color w:val="auto"/>
          <w:kern w:val="1"/>
          <w:szCs w:val="21"/>
        </w:rPr>
        <w:t>种方式：</w:t>
      </w:r>
    </w:p>
    <w:p w14:paraId="756892A6">
      <w:pPr>
        <w:spacing w:line="360" w:lineRule="exact"/>
        <w:ind w:firstLine="420"/>
        <w:jc w:val="left"/>
        <w:rPr>
          <w:rFonts w:ascii="宋体" w:hAnsi="宋体" w:cs="宋体"/>
          <w:color w:val="auto"/>
          <w:kern w:val="1"/>
          <w:szCs w:val="21"/>
        </w:rPr>
      </w:pPr>
      <w:r>
        <w:rPr>
          <w:rFonts w:ascii="宋体" w:hAnsi="宋体" w:cs="宋体"/>
          <w:color w:val="auto"/>
          <w:kern w:val="1"/>
          <w:szCs w:val="21"/>
        </w:rPr>
        <w:t>（1）在支付工程进度款时逐次扣留，在此情形下，质量保证金的计算基数不包括预付款的支付、扣回以及价格调整的金额；</w:t>
      </w:r>
    </w:p>
    <w:p w14:paraId="39B35028">
      <w:pPr>
        <w:spacing w:line="360" w:lineRule="exact"/>
        <w:ind w:firstLine="420"/>
        <w:jc w:val="left"/>
        <w:rPr>
          <w:rFonts w:ascii="宋体" w:hAnsi="宋体" w:cs="宋体"/>
          <w:color w:val="auto"/>
          <w:kern w:val="1"/>
          <w:szCs w:val="21"/>
        </w:rPr>
      </w:pPr>
      <w:r>
        <w:rPr>
          <w:rFonts w:ascii="宋体" w:hAnsi="宋体" w:cs="宋体"/>
          <w:color w:val="auto"/>
          <w:kern w:val="1"/>
          <w:szCs w:val="21"/>
        </w:rPr>
        <w:t>（2）工程竣工结算时一次性扣留质量保证金；</w:t>
      </w:r>
    </w:p>
    <w:p w14:paraId="40B453E3">
      <w:pPr>
        <w:spacing w:line="360" w:lineRule="exact"/>
        <w:ind w:firstLine="420"/>
        <w:jc w:val="left"/>
        <w:rPr>
          <w:rFonts w:ascii="宋体" w:hAnsi="宋体" w:cs="宋体"/>
          <w:color w:val="auto"/>
          <w:kern w:val="1"/>
          <w:szCs w:val="21"/>
        </w:rPr>
      </w:pPr>
      <w:r>
        <w:rPr>
          <w:rFonts w:ascii="宋体" w:hAnsi="宋体" w:cs="宋体"/>
          <w:color w:val="auto"/>
          <w:kern w:val="1"/>
          <w:szCs w:val="21"/>
        </w:rPr>
        <w:t>（3）其他扣留方式:</w:t>
      </w:r>
      <w:r>
        <w:rPr>
          <w:rFonts w:hint="eastAsia" w:ascii="宋体" w:hAnsi="宋体" w:cs="宋体"/>
          <w:bCs/>
          <w:color w:val="auto"/>
          <w:szCs w:val="21"/>
        </w:rPr>
        <w:t xml:space="preserve"> </w:t>
      </w:r>
      <w:r>
        <w:rPr>
          <w:rFonts w:hint="eastAsia" w:ascii="宋体" w:hAnsi="宋体" w:cs="宋体"/>
          <w:bCs/>
          <w:color w:val="auto"/>
          <w:szCs w:val="21"/>
          <w:u w:val="single"/>
        </w:rPr>
        <w:t>无</w:t>
      </w:r>
      <w:r>
        <w:rPr>
          <w:rFonts w:ascii="宋体" w:hAnsi="宋体" w:cs="宋体"/>
          <w:color w:val="auto"/>
          <w:kern w:val="1"/>
          <w:szCs w:val="21"/>
          <w:u w:val="single"/>
        </w:rPr>
        <w:t>。</w:t>
      </w:r>
    </w:p>
    <w:p w14:paraId="5C50BF89">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关于质量保证金的补充约定：</w:t>
      </w:r>
      <w:r>
        <w:rPr>
          <w:rFonts w:hint="eastAsia" w:ascii="宋体" w:hAnsi="宋体" w:cs="宋体"/>
          <w:color w:val="auto"/>
          <w:kern w:val="1"/>
          <w:szCs w:val="21"/>
          <w:u w:val="single"/>
        </w:rPr>
        <w:t>无</w:t>
      </w:r>
      <w:r>
        <w:rPr>
          <w:rFonts w:ascii="宋体" w:hAnsi="宋体" w:cs="宋体"/>
          <w:color w:val="auto"/>
          <w:kern w:val="1"/>
          <w:szCs w:val="21"/>
        </w:rPr>
        <w:t>。</w:t>
      </w:r>
    </w:p>
    <w:p w14:paraId="00B6E22F">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167" w:name="_Toc373227765"/>
      <w:bookmarkEnd w:id="1167"/>
      <w:bookmarkStart w:id="1168" w:name="_Toc373478412"/>
      <w:bookmarkEnd w:id="1168"/>
      <w:bookmarkStart w:id="1169" w:name="_Toc406054806"/>
      <w:bookmarkEnd w:id="1169"/>
      <w:bookmarkStart w:id="1170" w:name="_Toc27890"/>
      <w:bookmarkStart w:id="1171" w:name="_Toc15296"/>
      <w:bookmarkStart w:id="1172" w:name="_Toc19125"/>
      <w:bookmarkStart w:id="1173" w:name="_Toc14497"/>
      <w:bookmarkStart w:id="1174" w:name="_Toc11882"/>
      <w:r>
        <w:rPr>
          <w:rFonts w:ascii="宋体" w:hAnsi="宋体" w:cs="宋体"/>
          <w:color w:val="auto"/>
          <w:sz w:val="21"/>
          <w:szCs w:val="21"/>
          <w:lang w:val="zh-CN"/>
        </w:rPr>
        <w:t>15.4保修</w:t>
      </w:r>
      <w:bookmarkEnd w:id="1170"/>
      <w:bookmarkEnd w:id="1171"/>
      <w:bookmarkEnd w:id="1172"/>
      <w:bookmarkEnd w:id="1173"/>
      <w:bookmarkEnd w:id="1174"/>
    </w:p>
    <w:p w14:paraId="03CEA539">
      <w:pPr>
        <w:spacing w:line="360" w:lineRule="exact"/>
        <w:ind w:firstLine="409"/>
        <w:jc w:val="left"/>
        <w:rPr>
          <w:rFonts w:ascii="宋体" w:hAnsi="宋体" w:cs="宋体"/>
          <w:color w:val="auto"/>
          <w:kern w:val="1"/>
          <w:szCs w:val="21"/>
        </w:rPr>
      </w:pPr>
      <w:r>
        <w:rPr>
          <w:rFonts w:ascii="宋体" w:hAnsi="宋体" w:cs="宋体"/>
          <w:color w:val="auto"/>
          <w:kern w:val="1"/>
          <w:szCs w:val="21"/>
        </w:rPr>
        <w:t>15.4.1 保修责任</w:t>
      </w:r>
    </w:p>
    <w:p w14:paraId="0772D72C">
      <w:pPr>
        <w:spacing w:line="360" w:lineRule="exact"/>
        <w:ind w:firstLine="409"/>
        <w:jc w:val="left"/>
        <w:rPr>
          <w:rFonts w:ascii="宋体" w:hAnsi="宋体" w:cs="宋体"/>
          <w:color w:val="auto"/>
          <w:kern w:val="1"/>
          <w:szCs w:val="21"/>
          <w:u w:val="single"/>
        </w:rPr>
      </w:pPr>
      <w:r>
        <w:rPr>
          <w:rFonts w:ascii="宋体" w:hAnsi="宋体" w:cs="宋体"/>
          <w:color w:val="auto"/>
          <w:kern w:val="1"/>
          <w:szCs w:val="21"/>
        </w:rPr>
        <w:t>工程保修期为：</w:t>
      </w:r>
      <w:r>
        <w:rPr>
          <w:rFonts w:hint="eastAsia" w:ascii="宋体" w:hAnsi="宋体" w:cs="宋体"/>
          <w:color w:val="auto"/>
          <w:kern w:val="1"/>
          <w:szCs w:val="21"/>
          <w:u w:val="single"/>
        </w:rPr>
        <w:t>（ 详见附件《工程质量保修书》 ）</w:t>
      </w:r>
      <w:r>
        <w:rPr>
          <w:rFonts w:ascii="宋体" w:hAnsi="宋体" w:cs="宋体"/>
          <w:color w:val="auto"/>
          <w:kern w:val="1"/>
          <w:szCs w:val="21"/>
        </w:rPr>
        <w:t>。</w:t>
      </w:r>
    </w:p>
    <w:p w14:paraId="39170E35">
      <w:pPr>
        <w:spacing w:line="360" w:lineRule="exact"/>
        <w:ind w:firstLine="409"/>
        <w:jc w:val="left"/>
        <w:rPr>
          <w:rFonts w:ascii="宋体" w:hAnsi="宋体" w:cs="宋体"/>
          <w:color w:val="auto"/>
          <w:kern w:val="1"/>
          <w:szCs w:val="21"/>
        </w:rPr>
      </w:pPr>
      <w:r>
        <w:rPr>
          <w:rFonts w:ascii="宋体" w:hAnsi="宋体" w:cs="宋体"/>
          <w:color w:val="auto"/>
          <w:kern w:val="1"/>
          <w:szCs w:val="21"/>
        </w:rPr>
        <w:t>15.4.3 修复通知</w:t>
      </w:r>
    </w:p>
    <w:p w14:paraId="16AB7816">
      <w:pPr>
        <w:spacing w:line="360" w:lineRule="exact"/>
        <w:ind w:firstLine="409"/>
        <w:jc w:val="left"/>
        <w:rPr>
          <w:rFonts w:ascii="宋体" w:hAnsi="宋体" w:cs="宋体"/>
          <w:color w:val="auto"/>
          <w:kern w:val="1"/>
          <w:szCs w:val="21"/>
          <w:u w:val="single"/>
        </w:rPr>
      </w:pPr>
      <w:r>
        <w:rPr>
          <w:rFonts w:ascii="宋体" w:hAnsi="宋体" w:cs="宋体"/>
          <w:color w:val="auto"/>
          <w:kern w:val="1"/>
          <w:szCs w:val="21"/>
        </w:rPr>
        <w:t>承包人收到保修通知并到达工程现场的合理时间：</w:t>
      </w:r>
      <w:r>
        <w:rPr>
          <w:rFonts w:hint="eastAsia" w:ascii="宋体" w:hAnsi="宋体" w:cs="宋体"/>
          <w:color w:val="auto"/>
          <w:kern w:val="1"/>
          <w:szCs w:val="21"/>
          <w:u w:val="single"/>
        </w:rPr>
        <w:t>3天内</w:t>
      </w:r>
      <w:r>
        <w:rPr>
          <w:rFonts w:ascii="宋体" w:hAnsi="宋体" w:cs="宋体"/>
          <w:color w:val="auto"/>
          <w:kern w:val="1"/>
          <w:szCs w:val="21"/>
        </w:rPr>
        <w:t>。</w:t>
      </w:r>
    </w:p>
    <w:p w14:paraId="4B7AE406">
      <w:pPr>
        <w:pStyle w:val="2"/>
        <w:keepNext w:val="0"/>
        <w:keepLines/>
        <w:pageBreakBefore w:val="0"/>
        <w:widowControl w:val="0"/>
        <w:kinsoku/>
        <w:wordWrap/>
        <w:overflowPunct/>
        <w:topLinePunct w:val="0"/>
        <w:autoSpaceDE/>
        <w:autoSpaceDN/>
        <w:bidi w:val="0"/>
        <w:adjustRightInd/>
        <w:snapToGrid/>
        <w:spacing w:line="260" w:lineRule="exact"/>
        <w:textAlignment w:val="auto"/>
        <w:rPr>
          <w:rFonts w:ascii="宋体" w:hAnsi="宋体" w:cs="宋体"/>
          <w:color w:val="auto"/>
          <w:sz w:val="21"/>
          <w:szCs w:val="21"/>
          <w:lang w:val="zh-CN"/>
        </w:rPr>
      </w:pPr>
      <w:bookmarkStart w:id="1175" w:name="_Toc373227766"/>
      <w:bookmarkEnd w:id="1175"/>
      <w:bookmarkStart w:id="1176" w:name="_Toc406054807"/>
      <w:bookmarkEnd w:id="1176"/>
      <w:bookmarkStart w:id="1177" w:name="_Toc373478413"/>
      <w:bookmarkEnd w:id="1177"/>
      <w:bookmarkStart w:id="1178" w:name="_Toc18533"/>
      <w:bookmarkStart w:id="1179" w:name="_Toc3293"/>
      <w:bookmarkStart w:id="1180" w:name="_Toc3204"/>
      <w:bookmarkStart w:id="1181" w:name="_Toc17838"/>
      <w:bookmarkStart w:id="1182" w:name="_Toc2441"/>
      <w:r>
        <w:rPr>
          <w:rFonts w:ascii="宋体" w:hAnsi="宋体" w:cs="宋体"/>
          <w:color w:val="auto"/>
          <w:sz w:val="21"/>
          <w:szCs w:val="21"/>
          <w:lang w:val="zh-CN"/>
        </w:rPr>
        <w:t>16. 违约</w:t>
      </w:r>
      <w:bookmarkEnd w:id="1178"/>
      <w:bookmarkEnd w:id="1179"/>
      <w:bookmarkEnd w:id="1180"/>
      <w:bookmarkEnd w:id="1181"/>
      <w:bookmarkEnd w:id="1182"/>
    </w:p>
    <w:p w14:paraId="706A11E8">
      <w:pPr>
        <w:pStyle w:val="2"/>
        <w:keepNext w:val="0"/>
        <w:keepLines/>
        <w:pageBreakBefore w:val="0"/>
        <w:widowControl w:val="0"/>
        <w:kinsoku/>
        <w:wordWrap/>
        <w:overflowPunct/>
        <w:topLinePunct w:val="0"/>
        <w:autoSpaceDE/>
        <w:autoSpaceDN/>
        <w:bidi w:val="0"/>
        <w:adjustRightInd/>
        <w:snapToGrid/>
        <w:spacing w:line="260" w:lineRule="exact"/>
        <w:textAlignment w:val="auto"/>
        <w:rPr>
          <w:rFonts w:ascii="宋体" w:hAnsi="宋体" w:cs="宋体"/>
          <w:color w:val="auto"/>
          <w:sz w:val="21"/>
          <w:szCs w:val="21"/>
          <w:lang w:val="zh-CN"/>
        </w:rPr>
      </w:pPr>
      <w:bookmarkStart w:id="1183" w:name="_Toc373478414"/>
      <w:bookmarkEnd w:id="1183"/>
      <w:bookmarkStart w:id="1184" w:name="_Toc373227767"/>
      <w:bookmarkEnd w:id="1184"/>
      <w:bookmarkStart w:id="1185" w:name="_Toc406054808"/>
      <w:bookmarkEnd w:id="1185"/>
      <w:bookmarkStart w:id="1186" w:name="_Toc7678"/>
      <w:bookmarkStart w:id="1187" w:name="_Toc5812"/>
      <w:bookmarkStart w:id="1188" w:name="_Toc444"/>
      <w:bookmarkStart w:id="1189" w:name="_Toc30131"/>
      <w:bookmarkStart w:id="1190" w:name="_Toc8166"/>
      <w:r>
        <w:rPr>
          <w:rFonts w:ascii="宋体" w:hAnsi="宋体" w:cs="宋体"/>
          <w:color w:val="auto"/>
          <w:sz w:val="21"/>
          <w:szCs w:val="21"/>
          <w:lang w:val="zh-CN"/>
        </w:rPr>
        <w:t>16.1 发包人违约</w:t>
      </w:r>
      <w:bookmarkEnd w:id="1186"/>
      <w:bookmarkEnd w:id="1187"/>
      <w:bookmarkEnd w:id="1188"/>
      <w:bookmarkEnd w:id="1189"/>
      <w:bookmarkEnd w:id="1190"/>
    </w:p>
    <w:p w14:paraId="7E3FA0D4">
      <w:pPr>
        <w:spacing w:line="360" w:lineRule="exact"/>
        <w:ind w:firstLine="420"/>
        <w:jc w:val="left"/>
        <w:rPr>
          <w:rFonts w:ascii="宋体" w:hAnsi="宋体" w:cs="宋体"/>
          <w:color w:val="auto"/>
          <w:kern w:val="1"/>
          <w:szCs w:val="21"/>
        </w:rPr>
      </w:pPr>
      <w:r>
        <w:rPr>
          <w:rFonts w:ascii="宋体" w:hAnsi="宋体" w:cs="宋体"/>
          <w:color w:val="auto"/>
          <w:kern w:val="1"/>
          <w:szCs w:val="21"/>
        </w:rPr>
        <w:t>16.1.1发包人违约的情形</w:t>
      </w:r>
    </w:p>
    <w:p w14:paraId="20664BE6">
      <w:pPr>
        <w:spacing w:line="360" w:lineRule="exact"/>
        <w:ind w:firstLine="420"/>
        <w:jc w:val="left"/>
        <w:rPr>
          <w:rFonts w:ascii="宋体" w:hAnsi="宋体" w:cs="宋体"/>
          <w:color w:val="auto"/>
          <w:kern w:val="1"/>
          <w:szCs w:val="21"/>
        </w:rPr>
      </w:pPr>
      <w:r>
        <w:rPr>
          <w:rFonts w:ascii="宋体" w:hAnsi="宋体" w:cs="宋体"/>
          <w:color w:val="auto"/>
          <w:kern w:val="1"/>
          <w:szCs w:val="21"/>
        </w:rPr>
        <w:t>发包人违约的其他情形：</w:t>
      </w:r>
      <w:r>
        <w:rPr>
          <w:rFonts w:hint="eastAsia" w:ascii="宋体" w:hAnsi="宋体" w:cs="宋体"/>
          <w:color w:val="auto"/>
          <w:kern w:val="1"/>
          <w:szCs w:val="21"/>
          <w:u w:val="single"/>
        </w:rPr>
        <w:t>无</w:t>
      </w:r>
      <w:r>
        <w:rPr>
          <w:rFonts w:ascii="宋体" w:hAnsi="宋体" w:cs="宋体"/>
          <w:color w:val="auto"/>
          <w:kern w:val="1"/>
          <w:szCs w:val="21"/>
        </w:rPr>
        <w:t>。</w:t>
      </w:r>
    </w:p>
    <w:p w14:paraId="70241E4F">
      <w:pPr>
        <w:spacing w:line="360" w:lineRule="exact"/>
        <w:ind w:firstLine="420"/>
        <w:jc w:val="left"/>
        <w:rPr>
          <w:rFonts w:ascii="宋体" w:hAnsi="宋体" w:cs="宋体"/>
          <w:color w:val="auto"/>
          <w:kern w:val="1"/>
          <w:szCs w:val="21"/>
        </w:rPr>
      </w:pPr>
      <w:r>
        <w:rPr>
          <w:rFonts w:ascii="宋体" w:hAnsi="宋体" w:cs="宋体"/>
          <w:color w:val="auto"/>
          <w:kern w:val="1"/>
          <w:szCs w:val="21"/>
        </w:rPr>
        <w:t>16.1.2 发包人违约的责任</w:t>
      </w:r>
    </w:p>
    <w:p w14:paraId="508CB506">
      <w:pPr>
        <w:spacing w:line="360" w:lineRule="exact"/>
        <w:ind w:firstLine="420"/>
        <w:jc w:val="left"/>
        <w:rPr>
          <w:rFonts w:ascii="宋体" w:hAnsi="宋体" w:cs="宋体"/>
          <w:color w:val="auto"/>
          <w:kern w:val="1"/>
          <w:szCs w:val="21"/>
        </w:rPr>
      </w:pPr>
      <w:r>
        <w:rPr>
          <w:rFonts w:ascii="宋体" w:hAnsi="宋体" w:cs="宋体"/>
          <w:color w:val="auto"/>
          <w:kern w:val="1"/>
          <w:szCs w:val="21"/>
        </w:rPr>
        <w:t>发包人违约责任的承担方式和计算方法：</w:t>
      </w:r>
    </w:p>
    <w:p w14:paraId="473C2DA6">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（1）因发包人原因未能在计划开工日期前7天内下达开工通知的违约责任：</w:t>
      </w:r>
      <w:r>
        <w:rPr>
          <w:rFonts w:hint="eastAsia" w:ascii="宋体" w:hAnsi="宋体" w:cs="宋体"/>
          <w:color w:val="auto"/>
          <w:kern w:val="1"/>
          <w:szCs w:val="21"/>
          <w:u w:val="single"/>
          <w:lang w:val="en-US" w:eastAsia="zh-CN"/>
        </w:rPr>
        <w:t>工期顺延</w:t>
      </w:r>
      <w:r>
        <w:rPr>
          <w:rFonts w:ascii="宋体" w:hAnsi="宋体" w:cs="宋体"/>
          <w:color w:val="auto"/>
          <w:kern w:val="1"/>
          <w:szCs w:val="21"/>
        </w:rPr>
        <w:t>。</w:t>
      </w:r>
    </w:p>
    <w:p w14:paraId="3E78A3ED">
      <w:pPr>
        <w:spacing w:line="360" w:lineRule="exact"/>
        <w:ind w:firstLine="420"/>
        <w:jc w:val="left"/>
        <w:rPr>
          <w:rFonts w:ascii="宋体" w:hAnsi="宋体" w:cs="宋体"/>
          <w:color w:val="auto"/>
          <w:kern w:val="1"/>
          <w:szCs w:val="21"/>
        </w:rPr>
      </w:pPr>
      <w:r>
        <w:rPr>
          <w:rFonts w:ascii="宋体" w:hAnsi="宋体" w:cs="宋体"/>
          <w:color w:val="auto"/>
          <w:kern w:val="1"/>
          <w:szCs w:val="21"/>
        </w:rPr>
        <w:t>（2）因发包人原因未能按合同约定支付合同价款的违约责任：</w:t>
      </w:r>
      <w:r>
        <w:rPr>
          <w:rFonts w:hint="eastAsia" w:ascii="宋体" w:hAnsi="宋体" w:cs="宋体"/>
          <w:color w:val="auto"/>
          <w:kern w:val="1"/>
          <w:szCs w:val="21"/>
          <w:u w:val="single"/>
        </w:rPr>
        <w:t>无</w:t>
      </w:r>
      <w:r>
        <w:rPr>
          <w:rFonts w:ascii="宋体" w:hAnsi="宋体" w:cs="宋体"/>
          <w:color w:val="auto"/>
          <w:kern w:val="1"/>
          <w:szCs w:val="21"/>
        </w:rPr>
        <w:t>。</w:t>
      </w:r>
    </w:p>
    <w:p w14:paraId="0F13E2B6">
      <w:pPr>
        <w:spacing w:line="360" w:lineRule="exact"/>
        <w:ind w:firstLine="420"/>
        <w:jc w:val="left"/>
        <w:rPr>
          <w:rFonts w:ascii="宋体" w:hAnsi="宋体" w:cs="宋体"/>
          <w:color w:val="auto"/>
          <w:kern w:val="1"/>
          <w:szCs w:val="21"/>
        </w:rPr>
      </w:pPr>
      <w:r>
        <w:rPr>
          <w:rFonts w:ascii="宋体" w:hAnsi="宋体" w:cs="宋体"/>
          <w:color w:val="auto"/>
          <w:kern w:val="1"/>
          <w:szCs w:val="21"/>
        </w:rPr>
        <w:t>（3）发包人违反第10.1款〔变更的范围〕第（2）项约定，自行实施被取消的工作或转由他人实施的违约责任：</w:t>
      </w:r>
      <w:r>
        <w:rPr>
          <w:rFonts w:hint="eastAsia" w:ascii="宋体" w:hAnsi="宋体" w:cs="宋体"/>
          <w:color w:val="auto"/>
          <w:kern w:val="1"/>
          <w:szCs w:val="21"/>
          <w:u w:val="single"/>
        </w:rPr>
        <w:t>无</w:t>
      </w:r>
      <w:r>
        <w:rPr>
          <w:rFonts w:ascii="宋体" w:hAnsi="宋体" w:cs="宋体"/>
          <w:color w:val="auto"/>
          <w:kern w:val="1"/>
          <w:szCs w:val="21"/>
        </w:rPr>
        <w:t>。</w:t>
      </w:r>
    </w:p>
    <w:p w14:paraId="40F9632C">
      <w:pPr>
        <w:spacing w:line="360" w:lineRule="exact"/>
        <w:ind w:firstLine="420"/>
        <w:jc w:val="left"/>
        <w:rPr>
          <w:rFonts w:ascii="宋体" w:hAnsi="宋体" w:cs="宋体"/>
          <w:color w:val="auto"/>
          <w:kern w:val="1"/>
          <w:szCs w:val="21"/>
        </w:rPr>
      </w:pPr>
      <w:r>
        <w:rPr>
          <w:rFonts w:ascii="宋体" w:hAnsi="宋体" w:cs="宋体"/>
          <w:color w:val="auto"/>
          <w:kern w:val="1"/>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kern w:val="1"/>
          <w:szCs w:val="21"/>
          <w:u w:val="single"/>
        </w:rPr>
        <w:t>发包人负责退货，工期顺延，但不承担工期延误的费用</w:t>
      </w:r>
      <w:r>
        <w:rPr>
          <w:rFonts w:ascii="宋体" w:hAnsi="宋体" w:cs="宋体"/>
          <w:color w:val="auto"/>
          <w:kern w:val="1"/>
          <w:szCs w:val="21"/>
        </w:rPr>
        <w:t>。</w:t>
      </w:r>
    </w:p>
    <w:p w14:paraId="3BE5D706">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（5）因发包人违反合同约定造成暂停施工的违约责任：</w:t>
      </w:r>
      <w:r>
        <w:rPr>
          <w:rFonts w:hint="eastAsia" w:ascii="宋体" w:hAnsi="宋体" w:cs="宋体"/>
          <w:color w:val="auto"/>
          <w:kern w:val="1"/>
          <w:szCs w:val="21"/>
          <w:u w:val="single"/>
        </w:rPr>
        <w:t>工期顺延，不承担费用补偿</w:t>
      </w:r>
      <w:r>
        <w:rPr>
          <w:rFonts w:ascii="宋体" w:hAnsi="宋体" w:cs="宋体"/>
          <w:color w:val="auto"/>
          <w:kern w:val="1"/>
          <w:szCs w:val="21"/>
        </w:rPr>
        <w:t>。</w:t>
      </w:r>
    </w:p>
    <w:p w14:paraId="1D46D6DE">
      <w:pPr>
        <w:spacing w:line="360" w:lineRule="exact"/>
        <w:ind w:firstLine="420"/>
        <w:jc w:val="left"/>
        <w:rPr>
          <w:rFonts w:ascii="宋体" w:hAnsi="宋体" w:cs="宋体"/>
          <w:color w:val="auto"/>
          <w:kern w:val="1"/>
          <w:szCs w:val="21"/>
        </w:rPr>
      </w:pPr>
      <w:r>
        <w:rPr>
          <w:rFonts w:ascii="宋体" w:hAnsi="宋体" w:cs="宋体"/>
          <w:color w:val="auto"/>
          <w:kern w:val="1"/>
          <w:szCs w:val="21"/>
        </w:rPr>
        <w:t>（6）发包人无正当理由没有在约定期限内发出复工指示，导致承包人无法复工的违约责任：</w:t>
      </w:r>
      <w:r>
        <w:rPr>
          <w:rFonts w:hint="eastAsia" w:ascii="宋体" w:hAnsi="宋体" w:cs="宋体"/>
          <w:color w:val="auto"/>
          <w:kern w:val="1"/>
          <w:szCs w:val="21"/>
          <w:u w:val="single"/>
        </w:rPr>
        <w:t>工期顺延，但不承担费用补偿</w:t>
      </w:r>
      <w:r>
        <w:rPr>
          <w:rFonts w:ascii="宋体" w:hAnsi="宋体" w:cs="宋体"/>
          <w:color w:val="auto"/>
          <w:kern w:val="1"/>
          <w:szCs w:val="21"/>
        </w:rPr>
        <w:t>。</w:t>
      </w:r>
    </w:p>
    <w:p w14:paraId="4F86F17A">
      <w:pPr>
        <w:spacing w:line="360" w:lineRule="exact"/>
        <w:ind w:firstLine="420"/>
        <w:jc w:val="left"/>
        <w:rPr>
          <w:rFonts w:ascii="宋体" w:hAnsi="宋体" w:cs="宋体"/>
          <w:color w:val="auto"/>
          <w:kern w:val="1"/>
          <w:szCs w:val="21"/>
        </w:rPr>
      </w:pPr>
      <w:r>
        <w:rPr>
          <w:rFonts w:ascii="宋体" w:hAnsi="宋体" w:cs="宋体"/>
          <w:color w:val="auto"/>
          <w:kern w:val="1"/>
          <w:szCs w:val="21"/>
        </w:rPr>
        <w:t>（7）其他：</w:t>
      </w:r>
      <w:r>
        <w:rPr>
          <w:rFonts w:hint="eastAsia" w:ascii="宋体" w:hAnsi="宋体" w:cs="宋体"/>
          <w:color w:val="auto"/>
          <w:kern w:val="1"/>
          <w:szCs w:val="21"/>
          <w:u w:val="single"/>
        </w:rPr>
        <w:t>无</w:t>
      </w:r>
      <w:r>
        <w:rPr>
          <w:rFonts w:ascii="宋体" w:hAnsi="宋体" w:cs="宋体"/>
          <w:color w:val="auto"/>
          <w:kern w:val="1"/>
          <w:szCs w:val="21"/>
        </w:rPr>
        <w:t>。</w:t>
      </w:r>
    </w:p>
    <w:p w14:paraId="383E5B0E">
      <w:pPr>
        <w:spacing w:line="360" w:lineRule="exact"/>
        <w:ind w:firstLine="420"/>
        <w:jc w:val="left"/>
        <w:rPr>
          <w:rFonts w:ascii="宋体" w:hAnsi="宋体" w:cs="宋体"/>
          <w:color w:val="auto"/>
          <w:kern w:val="1"/>
          <w:szCs w:val="21"/>
        </w:rPr>
      </w:pPr>
      <w:r>
        <w:rPr>
          <w:rFonts w:ascii="宋体" w:hAnsi="宋体" w:cs="宋体"/>
          <w:color w:val="auto"/>
          <w:kern w:val="1"/>
          <w:szCs w:val="21"/>
        </w:rPr>
        <w:t>16.1.3 因发包人违约解除合同</w:t>
      </w:r>
    </w:p>
    <w:p w14:paraId="3DBB0F36">
      <w:pPr>
        <w:spacing w:line="360" w:lineRule="exact"/>
        <w:ind w:firstLine="420"/>
        <w:jc w:val="left"/>
        <w:rPr>
          <w:rFonts w:ascii="宋体" w:hAnsi="宋体" w:cs="宋体"/>
          <w:color w:val="auto"/>
          <w:kern w:val="1"/>
          <w:szCs w:val="21"/>
        </w:rPr>
      </w:pPr>
      <w:r>
        <w:rPr>
          <w:rFonts w:ascii="宋体" w:hAnsi="宋体" w:cs="宋体"/>
          <w:color w:val="auto"/>
          <w:kern w:val="1"/>
          <w:szCs w:val="21"/>
        </w:rPr>
        <w:t>承包人按16.1.1项〔发包人违约的情形〕约定暂停施工满</w:t>
      </w:r>
      <w:r>
        <w:rPr>
          <w:rFonts w:hint="eastAsia" w:ascii="宋体" w:hAnsi="宋体" w:cs="宋体"/>
          <w:color w:val="auto"/>
          <w:kern w:val="1"/>
          <w:szCs w:val="21"/>
          <w:u w:val="single"/>
        </w:rPr>
        <w:t>无</w:t>
      </w:r>
      <w:r>
        <w:rPr>
          <w:rFonts w:ascii="宋体" w:hAnsi="宋体" w:cs="宋体"/>
          <w:color w:val="auto"/>
          <w:kern w:val="1"/>
          <w:szCs w:val="21"/>
        </w:rPr>
        <w:t>天后发包人仍不纠正其违约行为并致使合同目的不能实现的，承包人有权解除合同。</w:t>
      </w:r>
    </w:p>
    <w:p w14:paraId="6E633DA3">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191" w:name="_Toc373227768"/>
      <w:bookmarkEnd w:id="1191"/>
      <w:bookmarkStart w:id="1192" w:name="_Toc373478415"/>
      <w:bookmarkEnd w:id="1192"/>
      <w:bookmarkStart w:id="1193" w:name="_Toc406054809"/>
      <w:bookmarkEnd w:id="1193"/>
      <w:bookmarkStart w:id="1194" w:name="_Toc26661"/>
      <w:bookmarkStart w:id="1195" w:name="_Toc28351"/>
      <w:bookmarkStart w:id="1196" w:name="_Toc16753"/>
      <w:bookmarkStart w:id="1197" w:name="_Toc3795"/>
      <w:bookmarkStart w:id="1198" w:name="_Toc14189"/>
      <w:r>
        <w:rPr>
          <w:rFonts w:ascii="宋体" w:hAnsi="宋体" w:cs="宋体"/>
          <w:color w:val="auto"/>
          <w:sz w:val="21"/>
          <w:szCs w:val="21"/>
          <w:lang w:val="zh-CN"/>
        </w:rPr>
        <w:t>16.2 承包人违约</w:t>
      </w:r>
      <w:bookmarkEnd w:id="1194"/>
      <w:bookmarkEnd w:id="1195"/>
      <w:bookmarkEnd w:id="1196"/>
      <w:bookmarkEnd w:id="1197"/>
      <w:bookmarkEnd w:id="1198"/>
    </w:p>
    <w:p w14:paraId="13EE8DE4">
      <w:pPr>
        <w:spacing w:line="360" w:lineRule="exact"/>
        <w:ind w:firstLine="420"/>
        <w:jc w:val="left"/>
        <w:rPr>
          <w:rFonts w:ascii="宋体" w:hAnsi="宋体" w:cs="宋体"/>
          <w:color w:val="auto"/>
          <w:kern w:val="1"/>
          <w:szCs w:val="21"/>
        </w:rPr>
      </w:pPr>
      <w:r>
        <w:rPr>
          <w:rFonts w:ascii="宋体" w:hAnsi="宋体" w:cs="宋体"/>
          <w:color w:val="auto"/>
          <w:kern w:val="1"/>
          <w:szCs w:val="21"/>
        </w:rPr>
        <w:t>16.2.1 承包人违约的情形</w:t>
      </w:r>
    </w:p>
    <w:p w14:paraId="0395FFED">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承包人违约的其他情形：</w:t>
      </w:r>
      <w:r>
        <w:rPr>
          <w:rFonts w:hint="eastAsia" w:ascii="宋体" w:hAnsi="宋体" w:cs="宋体"/>
          <w:color w:val="auto"/>
          <w:kern w:val="1"/>
          <w:szCs w:val="21"/>
          <w:u w:val="single"/>
        </w:rPr>
        <w:t>非承包人原因发生的工程事故，承包人不积极采取措施，导致经济损失扩大</w:t>
      </w:r>
      <w:r>
        <w:rPr>
          <w:rFonts w:ascii="宋体" w:hAnsi="宋体" w:cs="宋体"/>
          <w:color w:val="auto"/>
          <w:kern w:val="1"/>
          <w:szCs w:val="21"/>
        </w:rPr>
        <w:t>。</w:t>
      </w:r>
    </w:p>
    <w:p w14:paraId="6E950BDD">
      <w:pPr>
        <w:spacing w:line="360" w:lineRule="exact"/>
        <w:ind w:firstLine="420"/>
        <w:jc w:val="left"/>
        <w:rPr>
          <w:rFonts w:ascii="宋体" w:hAnsi="宋体" w:cs="宋体"/>
          <w:color w:val="auto"/>
          <w:kern w:val="1"/>
          <w:szCs w:val="21"/>
        </w:rPr>
      </w:pPr>
      <w:r>
        <w:rPr>
          <w:rFonts w:ascii="宋体" w:hAnsi="宋体" w:cs="宋体"/>
          <w:color w:val="auto"/>
          <w:kern w:val="1"/>
          <w:szCs w:val="21"/>
        </w:rPr>
        <w:t>16.2.2承包人违约的责任</w:t>
      </w:r>
    </w:p>
    <w:p w14:paraId="2DFBF4B6">
      <w:pPr>
        <w:spacing w:line="360" w:lineRule="exact"/>
        <w:ind w:firstLine="420"/>
        <w:jc w:val="left"/>
        <w:rPr>
          <w:rFonts w:ascii="宋体" w:hAnsi="宋体" w:cs="宋体"/>
          <w:color w:val="auto"/>
          <w:kern w:val="1"/>
          <w:szCs w:val="21"/>
        </w:rPr>
      </w:pPr>
      <w:r>
        <w:rPr>
          <w:rFonts w:ascii="宋体" w:hAnsi="宋体" w:cs="宋体"/>
          <w:color w:val="auto"/>
          <w:kern w:val="1"/>
          <w:szCs w:val="21"/>
        </w:rPr>
        <w:t>承包人违约责任的承担方式和计算方法：</w:t>
      </w:r>
    </w:p>
    <w:p w14:paraId="0AE8F050">
      <w:pPr>
        <w:spacing w:line="360" w:lineRule="exact"/>
        <w:ind w:firstLine="420"/>
        <w:jc w:val="left"/>
        <w:rPr>
          <w:rFonts w:ascii="宋体" w:hAnsi="宋体" w:cs="宋体"/>
          <w:color w:val="auto"/>
          <w:kern w:val="1"/>
          <w:szCs w:val="21"/>
        </w:rPr>
      </w:pPr>
      <w:r>
        <w:rPr>
          <w:rFonts w:hint="eastAsia" w:ascii="宋体" w:hAnsi="宋体" w:cs="宋体"/>
          <w:color w:val="auto"/>
          <w:kern w:val="1"/>
          <w:szCs w:val="21"/>
        </w:rPr>
        <w:t>（1）承包人未按本合同通用条款第16.2.1条内容完成的，承包人无条件返工处理，修复至工程质量要求并承担相关费用，并在发包人规定的时间内完成返工，否则发包人有权要求承包人按该分项工程10%的工程款支付违约金。</w:t>
      </w:r>
    </w:p>
    <w:p w14:paraId="3B80DE45">
      <w:pPr>
        <w:spacing w:line="360" w:lineRule="exact"/>
        <w:ind w:firstLine="420"/>
        <w:jc w:val="left"/>
        <w:rPr>
          <w:rFonts w:ascii="宋体" w:hAnsi="宋体" w:cs="宋体"/>
          <w:color w:val="auto"/>
          <w:kern w:val="1"/>
          <w:szCs w:val="21"/>
        </w:rPr>
      </w:pPr>
      <w:r>
        <w:rPr>
          <w:rFonts w:hint="eastAsia" w:ascii="宋体" w:hAnsi="宋体" w:cs="宋体"/>
          <w:color w:val="auto"/>
          <w:kern w:val="1"/>
          <w:szCs w:val="21"/>
        </w:rPr>
        <w:t>（2）承包人有本合同通用条款第16.2.1情形的，或经监理人检验认为修复质量不合格而承包人拒绝再进行修补的，发包人将扣除承包人全部质量保修金。</w:t>
      </w:r>
    </w:p>
    <w:p w14:paraId="31FAA732">
      <w:pPr>
        <w:spacing w:line="360" w:lineRule="exact"/>
        <w:ind w:firstLine="420"/>
        <w:jc w:val="left"/>
        <w:rPr>
          <w:rFonts w:ascii="宋体" w:hAnsi="宋体" w:cs="宋体"/>
          <w:color w:val="auto"/>
          <w:kern w:val="1"/>
          <w:szCs w:val="21"/>
        </w:rPr>
      </w:pPr>
      <w:r>
        <w:rPr>
          <w:rFonts w:hint="eastAsia" w:ascii="宋体" w:hAnsi="宋体" w:cs="宋体"/>
          <w:color w:val="auto"/>
          <w:kern w:val="1"/>
          <w:szCs w:val="21"/>
        </w:rPr>
        <w:t>（3）</w:t>
      </w:r>
      <w:r>
        <w:rPr>
          <w:rFonts w:ascii="宋体" w:hAnsi="宋体" w:cs="宋体"/>
          <w:color w:val="auto"/>
          <w:kern w:val="1"/>
          <w:szCs w:val="21"/>
        </w:rPr>
        <w:t>承包人有本专用合同条款3.2、3.3条违约责任的，发包人有权扣除承包人的违约金。违约金金额</w:t>
      </w:r>
      <w:r>
        <w:rPr>
          <w:rFonts w:hint="eastAsia" w:ascii="宋体" w:hAnsi="宋体" w:cs="宋体"/>
          <w:color w:val="auto"/>
          <w:kern w:val="1"/>
          <w:szCs w:val="21"/>
        </w:rPr>
        <w:t>可</w:t>
      </w:r>
      <w:r>
        <w:rPr>
          <w:rFonts w:ascii="宋体" w:hAnsi="宋体" w:cs="宋体"/>
          <w:color w:val="auto"/>
          <w:kern w:val="1"/>
          <w:szCs w:val="21"/>
        </w:rPr>
        <w:t>在承包人的履约保证金及计量支付款内扣除。监理人预先下发含有</w:t>
      </w:r>
      <w:r>
        <w:rPr>
          <w:rFonts w:hint="eastAsia" w:ascii="宋体" w:hAnsi="宋体" w:cs="宋体"/>
          <w:color w:val="auto"/>
          <w:kern w:val="1"/>
          <w:szCs w:val="21"/>
        </w:rPr>
        <w:t>认定违约</w:t>
      </w:r>
      <w:r>
        <w:rPr>
          <w:rFonts w:ascii="宋体" w:hAnsi="宋体" w:cs="宋体"/>
          <w:color w:val="auto"/>
          <w:kern w:val="1"/>
          <w:szCs w:val="21"/>
        </w:rPr>
        <w:t>意向的指令，如承包人不及时采取措施纠正，则在指令下达后十五天下</w:t>
      </w:r>
      <w:r>
        <w:rPr>
          <w:rFonts w:hint="eastAsia" w:ascii="宋体" w:hAnsi="宋体" w:cs="宋体"/>
          <w:color w:val="auto"/>
          <w:kern w:val="1"/>
          <w:szCs w:val="21"/>
        </w:rPr>
        <w:t>支付违约金</w:t>
      </w:r>
      <w:r>
        <w:rPr>
          <w:rFonts w:ascii="宋体" w:hAnsi="宋体" w:cs="宋体"/>
          <w:color w:val="auto"/>
          <w:kern w:val="1"/>
          <w:szCs w:val="21"/>
        </w:rPr>
        <w:t>通知书（不再陈述</w:t>
      </w:r>
      <w:r>
        <w:rPr>
          <w:rFonts w:hint="eastAsia" w:ascii="宋体" w:hAnsi="宋体" w:cs="宋体"/>
          <w:color w:val="auto"/>
          <w:kern w:val="1"/>
          <w:szCs w:val="21"/>
        </w:rPr>
        <w:t>违约情形</w:t>
      </w:r>
      <w:r>
        <w:rPr>
          <w:rFonts w:ascii="宋体" w:hAnsi="宋体" w:cs="宋体"/>
          <w:color w:val="auto"/>
          <w:kern w:val="1"/>
          <w:szCs w:val="21"/>
        </w:rPr>
        <w:t>）。承包人履约保证金被</w:t>
      </w:r>
      <w:r>
        <w:rPr>
          <w:rFonts w:hint="eastAsia" w:ascii="宋体" w:hAnsi="宋体" w:cs="宋体"/>
          <w:color w:val="auto"/>
          <w:kern w:val="1"/>
          <w:szCs w:val="21"/>
        </w:rPr>
        <w:t>扣除</w:t>
      </w:r>
      <w:r>
        <w:rPr>
          <w:rFonts w:ascii="宋体" w:hAnsi="宋体" w:cs="宋体"/>
          <w:color w:val="auto"/>
          <w:kern w:val="1"/>
          <w:szCs w:val="21"/>
        </w:rPr>
        <w:t>后由发包人从最后一次计量时</w:t>
      </w:r>
      <w:r>
        <w:rPr>
          <w:rFonts w:hint="eastAsia" w:ascii="宋体" w:hAnsi="宋体" w:cs="宋体"/>
          <w:color w:val="auto"/>
          <w:kern w:val="1"/>
          <w:szCs w:val="21"/>
        </w:rPr>
        <w:t>扣除</w:t>
      </w:r>
      <w:r>
        <w:rPr>
          <w:rFonts w:ascii="宋体" w:hAnsi="宋体" w:cs="宋体"/>
          <w:color w:val="auto"/>
          <w:kern w:val="1"/>
          <w:szCs w:val="21"/>
        </w:rPr>
        <w:t>相应金额补足履约保证金。承包人在合同期内，完成合同规定的全部工程，且质量合格，在本工程施工竣工验收后十五天内可申请返还全部或部分</w:t>
      </w:r>
      <w:r>
        <w:rPr>
          <w:rFonts w:hint="eastAsia" w:ascii="宋体" w:hAnsi="宋体" w:cs="宋体"/>
          <w:color w:val="auto"/>
          <w:kern w:val="1"/>
          <w:szCs w:val="21"/>
        </w:rPr>
        <w:t>违约金</w:t>
      </w:r>
      <w:r>
        <w:rPr>
          <w:rFonts w:ascii="宋体" w:hAnsi="宋体" w:cs="宋体"/>
          <w:color w:val="auto"/>
          <w:kern w:val="1"/>
          <w:szCs w:val="21"/>
        </w:rPr>
        <w:t>，返还金额由监理人审核，发包人批准。</w:t>
      </w:r>
      <w:r>
        <w:rPr>
          <w:rFonts w:hint="eastAsia" w:ascii="宋体" w:hAnsi="宋体" w:cs="宋体"/>
          <w:color w:val="auto"/>
          <w:kern w:val="1"/>
          <w:szCs w:val="21"/>
        </w:rPr>
        <w:t>违约金</w:t>
      </w:r>
      <w:r>
        <w:rPr>
          <w:rFonts w:ascii="宋体" w:hAnsi="宋体" w:cs="宋体"/>
          <w:color w:val="auto"/>
          <w:kern w:val="1"/>
          <w:szCs w:val="21"/>
        </w:rPr>
        <w:t>额返还时不</w:t>
      </w:r>
      <w:r>
        <w:rPr>
          <w:rFonts w:hint="eastAsia" w:ascii="宋体" w:hAnsi="宋体" w:cs="宋体"/>
          <w:color w:val="auto"/>
          <w:kern w:val="1"/>
          <w:szCs w:val="21"/>
        </w:rPr>
        <w:t>计</w:t>
      </w:r>
      <w:r>
        <w:rPr>
          <w:rFonts w:ascii="宋体" w:hAnsi="宋体" w:cs="宋体"/>
          <w:color w:val="auto"/>
          <w:kern w:val="1"/>
          <w:szCs w:val="21"/>
        </w:rPr>
        <w:t>利息。</w:t>
      </w:r>
    </w:p>
    <w:p w14:paraId="00C59B08">
      <w:pPr>
        <w:spacing w:line="360" w:lineRule="exact"/>
        <w:ind w:firstLine="420"/>
        <w:jc w:val="left"/>
        <w:rPr>
          <w:rFonts w:ascii="宋体" w:hAnsi="宋体" w:cs="宋体"/>
          <w:color w:val="auto"/>
          <w:kern w:val="1"/>
          <w:szCs w:val="21"/>
        </w:rPr>
      </w:pPr>
      <w:r>
        <w:rPr>
          <w:rFonts w:ascii="宋体" w:hAnsi="宋体" w:cs="宋体"/>
          <w:color w:val="auto"/>
          <w:kern w:val="1"/>
          <w:szCs w:val="21"/>
        </w:rPr>
        <w:t>16.2.3 因承包人违约解除合同</w:t>
      </w:r>
    </w:p>
    <w:p w14:paraId="0EDFA0A1">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关于承包人违约解除合同的特别约定：</w:t>
      </w:r>
      <w:r>
        <w:rPr>
          <w:rFonts w:ascii="宋体" w:hAnsi="宋体" w:cs="宋体"/>
          <w:color w:val="auto"/>
          <w:kern w:val="1"/>
          <w:szCs w:val="21"/>
          <w:u w:val="single"/>
        </w:rPr>
        <w:t>承包人有违反以下情况之一的，发包人有权解除合同，并没收其全部履约保证金</w:t>
      </w:r>
      <w:r>
        <w:rPr>
          <w:rFonts w:hint="eastAsia" w:ascii="宋体" w:hAnsi="宋体" w:cs="宋体"/>
          <w:color w:val="auto"/>
          <w:kern w:val="1"/>
          <w:szCs w:val="21"/>
          <w:u w:val="single"/>
        </w:rPr>
        <w:t>；解除合同后，已完成的工程量一律80%计付工程款。</w:t>
      </w:r>
    </w:p>
    <w:p w14:paraId="7D8CCCEE">
      <w:pPr>
        <w:spacing w:line="360" w:lineRule="exact"/>
        <w:ind w:firstLine="420"/>
        <w:jc w:val="left"/>
        <w:rPr>
          <w:rFonts w:ascii="宋体" w:hAnsi="宋体" w:cs="宋体"/>
          <w:color w:val="auto"/>
          <w:kern w:val="1"/>
          <w:szCs w:val="21"/>
        </w:rPr>
      </w:pPr>
      <w:r>
        <w:rPr>
          <w:rFonts w:ascii="宋体" w:hAnsi="宋体" w:cs="宋体"/>
          <w:color w:val="auto"/>
          <w:kern w:val="1"/>
          <w:szCs w:val="21"/>
        </w:rPr>
        <w:t>(1)承包人无正当理由不按开工通知的要求及时进场组织施工和不按签订协议书时商订的进度计划有效地开展施工准备，造成</w:t>
      </w:r>
      <w:r>
        <w:rPr>
          <w:rFonts w:hint="eastAsia" w:ascii="宋体" w:hAnsi="宋体" w:cs="宋体"/>
          <w:color w:val="auto"/>
          <w:kern w:val="1"/>
          <w:szCs w:val="21"/>
        </w:rPr>
        <w:t>停工或工期延误30天</w:t>
      </w:r>
      <w:r>
        <w:rPr>
          <w:rFonts w:ascii="宋体" w:hAnsi="宋体" w:cs="宋体"/>
          <w:color w:val="auto"/>
          <w:kern w:val="1"/>
          <w:szCs w:val="21"/>
        </w:rPr>
        <w:t>的；</w:t>
      </w:r>
    </w:p>
    <w:p w14:paraId="1C7A58A6">
      <w:pPr>
        <w:spacing w:line="360" w:lineRule="exact"/>
        <w:ind w:firstLine="420"/>
        <w:jc w:val="left"/>
        <w:rPr>
          <w:rFonts w:ascii="宋体" w:hAnsi="宋体" w:cs="宋体"/>
          <w:color w:val="auto"/>
          <w:kern w:val="1"/>
          <w:szCs w:val="21"/>
        </w:rPr>
      </w:pPr>
      <w:r>
        <w:rPr>
          <w:rFonts w:hint="eastAsia" w:ascii="宋体" w:hAnsi="宋体" w:cs="宋体"/>
          <w:color w:val="auto"/>
          <w:kern w:val="1"/>
          <w:szCs w:val="21"/>
        </w:rPr>
        <w:t>(2)承包人违反本合同通用条款第3.5条规定私自将合同或合同的任何部分或任何权利转让给其他人，或私自将工程或工程的一部分分包出去的；</w:t>
      </w:r>
    </w:p>
    <w:p w14:paraId="4540102C">
      <w:pPr>
        <w:spacing w:line="360" w:lineRule="exact"/>
        <w:ind w:firstLine="420"/>
        <w:jc w:val="left"/>
        <w:rPr>
          <w:rFonts w:ascii="宋体" w:hAnsi="宋体" w:cs="宋体"/>
          <w:color w:val="auto"/>
          <w:kern w:val="1"/>
          <w:szCs w:val="21"/>
        </w:rPr>
      </w:pPr>
      <w:r>
        <w:rPr>
          <w:rFonts w:ascii="宋体" w:hAnsi="宋体" w:cs="宋体"/>
          <w:color w:val="auto"/>
          <w:kern w:val="1"/>
          <w:szCs w:val="21"/>
        </w:rPr>
        <w:t>(3)未经监理人批准，承包人私自将已按投标文件承诺进入工地的工程设备、施工设备、临时工程或材料撤离工地的；</w:t>
      </w:r>
    </w:p>
    <w:p w14:paraId="08DE955F">
      <w:pPr>
        <w:spacing w:line="360" w:lineRule="exact"/>
        <w:ind w:firstLine="420"/>
        <w:jc w:val="left"/>
        <w:rPr>
          <w:rFonts w:ascii="宋体" w:hAnsi="宋体" w:cs="宋体"/>
          <w:color w:val="auto"/>
          <w:kern w:val="1"/>
          <w:szCs w:val="21"/>
        </w:rPr>
      </w:pPr>
      <w:r>
        <w:rPr>
          <w:rFonts w:ascii="宋体" w:hAnsi="宋体" w:cs="宋体"/>
          <w:color w:val="auto"/>
          <w:kern w:val="1"/>
          <w:szCs w:val="21"/>
        </w:rPr>
        <w:t>(4)由于承包人原因拒绝按合同进度计划及时完成合同规定的工程，而又未采取有效措施赶上进度，造成工期延误</w:t>
      </w:r>
      <w:r>
        <w:rPr>
          <w:rFonts w:hint="eastAsia" w:ascii="宋体" w:hAnsi="宋体" w:cs="宋体"/>
          <w:color w:val="auto"/>
          <w:kern w:val="1"/>
          <w:szCs w:val="21"/>
        </w:rPr>
        <w:t>30天</w:t>
      </w:r>
      <w:r>
        <w:rPr>
          <w:rFonts w:ascii="宋体" w:hAnsi="宋体" w:cs="宋体"/>
          <w:color w:val="auto"/>
          <w:kern w:val="1"/>
          <w:szCs w:val="21"/>
        </w:rPr>
        <w:t>的；</w:t>
      </w:r>
    </w:p>
    <w:p w14:paraId="0FA73AA6">
      <w:pPr>
        <w:spacing w:line="360" w:lineRule="exact"/>
        <w:ind w:firstLine="420"/>
        <w:jc w:val="left"/>
        <w:rPr>
          <w:rFonts w:ascii="宋体" w:hAnsi="宋体" w:cs="宋体"/>
          <w:color w:val="auto"/>
          <w:kern w:val="1"/>
          <w:szCs w:val="21"/>
        </w:rPr>
      </w:pPr>
      <w:r>
        <w:rPr>
          <w:rFonts w:hint="eastAsia" w:ascii="宋体" w:hAnsi="宋体" w:cs="宋体"/>
          <w:color w:val="auto"/>
          <w:kern w:val="1"/>
          <w:szCs w:val="21"/>
        </w:rPr>
        <w:t>(5)承包人否认合同有效或拒绝履行合同规定的承包人义务，或由于法律、财务等原因导致承包人无法继续履行或实质上已停止履行合同的义务30天的；</w:t>
      </w:r>
    </w:p>
    <w:p w14:paraId="6DADFC87">
      <w:pPr>
        <w:spacing w:line="360" w:lineRule="exact"/>
        <w:ind w:firstLine="420"/>
        <w:jc w:val="left"/>
        <w:rPr>
          <w:rFonts w:ascii="宋体" w:hAnsi="宋体" w:cs="宋体"/>
          <w:color w:val="auto"/>
          <w:kern w:val="1"/>
          <w:szCs w:val="21"/>
        </w:rPr>
      </w:pPr>
      <w:r>
        <w:rPr>
          <w:rFonts w:hint="eastAsia" w:ascii="宋体" w:hAnsi="宋体" w:cs="宋体"/>
          <w:color w:val="auto"/>
          <w:kern w:val="1"/>
          <w:szCs w:val="21"/>
        </w:rPr>
        <w:t>(6)合同签订之日起十五日内，承包人无法按合同规定及投标文件的承诺进场经监理工程师认可的全部人员和机械的。</w:t>
      </w:r>
    </w:p>
    <w:p w14:paraId="494735E1">
      <w:pPr>
        <w:pStyle w:val="2"/>
        <w:keepNext/>
        <w:keepLines/>
        <w:pageBreakBefore w:val="0"/>
        <w:widowControl w:val="0"/>
        <w:kinsoku/>
        <w:wordWrap/>
        <w:overflowPunct/>
        <w:topLinePunct w:val="0"/>
        <w:autoSpaceDE/>
        <w:autoSpaceDN/>
        <w:bidi w:val="0"/>
        <w:adjustRightInd/>
        <w:snapToGrid/>
        <w:spacing w:line="14" w:lineRule="exact"/>
        <w:ind w:firstLine="211" w:firstLineChars="100"/>
        <w:textAlignment w:val="auto"/>
        <w:rPr>
          <w:color w:val="auto"/>
          <w:sz w:val="21"/>
          <w:szCs w:val="21"/>
        </w:rPr>
      </w:pPr>
      <w:bookmarkStart w:id="1199" w:name="_Toc3558"/>
      <w:bookmarkStart w:id="1200" w:name="_Toc31840"/>
      <w:bookmarkStart w:id="1201" w:name="_Toc3948"/>
      <w:bookmarkStart w:id="1202" w:name="_Toc5664"/>
      <w:r>
        <w:rPr>
          <w:rFonts w:hint="eastAsia" w:ascii="宋体" w:hAnsi="宋体" w:cs="宋体"/>
          <w:color w:val="auto"/>
          <w:kern w:val="1"/>
          <w:sz w:val="21"/>
          <w:szCs w:val="21"/>
        </w:rPr>
        <w:t>（7）承包人有其他未按合同约定履行义务的情形，经发包人书面通知后在规定时间内未改正的。</w:t>
      </w:r>
      <w:bookmarkEnd w:id="1199"/>
      <w:bookmarkEnd w:id="1200"/>
      <w:bookmarkEnd w:id="1201"/>
      <w:bookmarkEnd w:id="1202"/>
    </w:p>
    <w:p w14:paraId="121EB33D">
      <w:pPr>
        <w:spacing w:line="360" w:lineRule="exact"/>
        <w:ind w:firstLine="420"/>
        <w:rPr>
          <w:rFonts w:ascii="宋体" w:hAnsi="宋体" w:cs="宋体"/>
          <w:color w:val="auto"/>
          <w:kern w:val="1"/>
          <w:szCs w:val="21"/>
        </w:rPr>
      </w:pPr>
      <w:r>
        <w:rPr>
          <w:rFonts w:ascii="宋体" w:hAnsi="宋体" w:cs="宋体"/>
          <w:color w:val="auto"/>
          <w:kern w:val="1"/>
          <w:szCs w:val="21"/>
        </w:rPr>
        <w:t>发包人继续使用承包人在施工现场的材料、设备、临时工程、承包人文件和由承包人或以其名义编制的其他文件的费用承担方式：</w:t>
      </w:r>
      <w:r>
        <w:rPr>
          <w:rFonts w:hint="eastAsia" w:ascii="宋体" w:hAnsi="宋体" w:cs="宋体"/>
          <w:color w:val="auto"/>
          <w:kern w:val="1"/>
          <w:szCs w:val="21"/>
          <w:u w:val="single"/>
        </w:rPr>
        <w:t>由承包人承担</w:t>
      </w:r>
      <w:r>
        <w:rPr>
          <w:rFonts w:ascii="宋体" w:hAnsi="宋体" w:cs="宋体"/>
          <w:color w:val="auto"/>
          <w:kern w:val="1"/>
          <w:szCs w:val="21"/>
        </w:rPr>
        <w:t>。</w:t>
      </w:r>
    </w:p>
    <w:p w14:paraId="717BBCA2">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203" w:name="_Toc406054810"/>
      <w:bookmarkEnd w:id="1203"/>
      <w:bookmarkStart w:id="1204" w:name="_Toc373227769"/>
      <w:bookmarkEnd w:id="1204"/>
      <w:bookmarkStart w:id="1205" w:name="_Toc373478416"/>
      <w:bookmarkEnd w:id="1205"/>
      <w:bookmarkStart w:id="1206" w:name="_Toc20501"/>
      <w:bookmarkStart w:id="1207" w:name="_Toc20081"/>
      <w:bookmarkStart w:id="1208" w:name="_Toc19717"/>
      <w:bookmarkStart w:id="1209" w:name="_Toc28380"/>
      <w:bookmarkStart w:id="1210" w:name="_Toc23669"/>
      <w:r>
        <w:rPr>
          <w:rFonts w:ascii="宋体" w:hAnsi="宋体" w:cs="宋体"/>
          <w:color w:val="auto"/>
          <w:sz w:val="21"/>
          <w:szCs w:val="21"/>
          <w:lang w:val="zh-CN"/>
        </w:rPr>
        <w:t>17. 不可抗力</w:t>
      </w:r>
      <w:bookmarkEnd w:id="1206"/>
      <w:bookmarkEnd w:id="1207"/>
      <w:bookmarkEnd w:id="1208"/>
      <w:bookmarkEnd w:id="1209"/>
      <w:bookmarkEnd w:id="1210"/>
    </w:p>
    <w:p w14:paraId="5EB96414">
      <w:pPr>
        <w:pStyle w:val="2"/>
        <w:keepNext w:val="0"/>
        <w:spacing w:line="360" w:lineRule="exact"/>
        <w:rPr>
          <w:rFonts w:ascii="宋体" w:hAnsi="宋体" w:cs="宋体"/>
          <w:color w:val="auto"/>
          <w:sz w:val="21"/>
          <w:szCs w:val="21"/>
          <w:lang w:val="zh-CN"/>
        </w:rPr>
      </w:pPr>
      <w:bookmarkStart w:id="1211" w:name="_Toc373478417"/>
      <w:bookmarkEnd w:id="1211"/>
      <w:bookmarkStart w:id="1212" w:name="_Toc373227770"/>
      <w:bookmarkEnd w:id="1212"/>
      <w:bookmarkStart w:id="1213" w:name="_Toc406054811"/>
      <w:bookmarkEnd w:id="1213"/>
      <w:bookmarkStart w:id="1214" w:name="_Toc26644"/>
      <w:bookmarkStart w:id="1215" w:name="_Toc30096"/>
      <w:bookmarkStart w:id="1216" w:name="_Toc29602"/>
      <w:bookmarkStart w:id="1217" w:name="_Toc29755"/>
      <w:bookmarkStart w:id="1218" w:name="_Toc8799"/>
      <w:r>
        <w:rPr>
          <w:rFonts w:ascii="宋体" w:hAnsi="宋体" w:cs="宋体"/>
          <w:color w:val="auto"/>
          <w:sz w:val="21"/>
          <w:szCs w:val="21"/>
          <w:lang w:val="zh-CN"/>
        </w:rPr>
        <w:t>17.1 不可抗力的确认</w:t>
      </w:r>
      <w:bookmarkEnd w:id="1214"/>
      <w:bookmarkEnd w:id="1215"/>
      <w:bookmarkEnd w:id="1216"/>
      <w:bookmarkEnd w:id="1217"/>
      <w:bookmarkEnd w:id="1218"/>
    </w:p>
    <w:p w14:paraId="69B4CF83">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除通用合同条款约定的不可抗力事件之外，视为不可抗力的其他情形：</w:t>
      </w:r>
      <w:r>
        <w:rPr>
          <w:rFonts w:hint="eastAsia" w:ascii="宋体" w:hAnsi="宋体" w:cs="宋体"/>
          <w:color w:val="auto"/>
          <w:kern w:val="1"/>
          <w:szCs w:val="21"/>
          <w:u w:val="single"/>
        </w:rPr>
        <w:t>无</w:t>
      </w:r>
      <w:r>
        <w:rPr>
          <w:rFonts w:ascii="宋体" w:hAnsi="宋体" w:cs="宋体"/>
          <w:color w:val="auto"/>
          <w:kern w:val="1"/>
          <w:szCs w:val="21"/>
        </w:rPr>
        <w:t>。</w:t>
      </w:r>
    </w:p>
    <w:p w14:paraId="65CBF054">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219" w:name="_Toc373478418"/>
      <w:bookmarkEnd w:id="1219"/>
      <w:bookmarkStart w:id="1220" w:name="_Toc406054812"/>
      <w:bookmarkEnd w:id="1220"/>
      <w:bookmarkStart w:id="1221" w:name="_Toc373227771"/>
      <w:bookmarkEnd w:id="1221"/>
      <w:bookmarkStart w:id="1222" w:name="_Toc1902"/>
      <w:bookmarkStart w:id="1223" w:name="_Toc7566"/>
      <w:bookmarkStart w:id="1224" w:name="_Toc9100"/>
      <w:bookmarkStart w:id="1225" w:name="_Toc214"/>
      <w:bookmarkStart w:id="1226" w:name="_Toc25174"/>
      <w:r>
        <w:rPr>
          <w:rFonts w:ascii="宋体" w:hAnsi="宋体" w:cs="宋体"/>
          <w:color w:val="auto"/>
          <w:sz w:val="21"/>
          <w:szCs w:val="21"/>
          <w:lang w:val="zh-CN"/>
        </w:rPr>
        <w:t>17.4 因不可抗力解除合同</w:t>
      </w:r>
      <w:bookmarkEnd w:id="1222"/>
      <w:bookmarkEnd w:id="1223"/>
      <w:bookmarkEnd w:id="1224"/>
      <w:bookmarkEnd w:id="1225"/>
      <w:bookmarkEnd w:id="1226"/>
    </w:p>
    <w:p w14:paraId="25A28771">
      <w:pPr>
        <w:spacing w:line="360" w:lineRule="exact"/>
        <w:ind w:firstLine="420"/>
        <w:jc w:val="left"/>
        <w:rPr>
          <w:rFonts w:ascii="宋体" w:hAnsi="宋体" w:cs="宋体"/>
          <w:color w:val="auto"/>
          <w:kern w:val="1"/>
          <w:szCs w:val="21"/>
        </w:rPr>
      </w:pPr>
      <w:r>
        <w:rPr>
          <w:rFonts w:ascii="宋体" w:hAnsi="宋体" w:cs="宋体"/>
          <w:color w:val="auto"/>
          <w:kern w:val="1"/>
          <w:szCs w:val="21"/>
        </w:rPr>
        <w:t>合同解除后，发包人应在商定或确定发包人应支付款项后</w:t>
      </w:r>
      <w:r>
        <w:rPr>
          <w:rFonts w:hint="eastAsia" w:ascii="宋体" w:hAnsi="宋体" w:cs="宋体"/>
          <w:color w:val="auto"/>
          <w:kern w:val="1"/>
          <w:szCs w:val="21"/>
          <w:u w:val="single"/>
        </w:rPr>
        <w:t>60</w:t>
      </w:r>
      <w:r>
        <w:rPr>
          <w:rFonts w:ascii="宋体" w:hAnsi="宋体" w:cs="宋体"/>
          <w:color w:val="auto"/>
          <w:kern w:val="1"/>
          <w:szCs w:val="21"/>
        </w:rPr>
        <w:t>天内完成款项的支付。</w:t>
      </w:r>
    </w:p>
    <w:p w14:paraId="2F877CD2">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227" w:name="_Toc373227772"/>
      <w:bookmarkEnd w:id="1227"/>
      <w:bookmarkStart w:id="1228" w:name="_Toc373478419"/>
      <w:bookmarkEnd w:id="1228"/>
      <w:bookmarkStart w:id="1229" w:name="_Toc406054813"/>
      <w:bookmarkEnd w:id="1229"/>
      <w:bookmarkStart w:id="1230" w:name="_Toc32732"/>
      <w:bookmarkStart w:id="1231" w:name="_Toc4397"/>
      <w:bookmarkStart w:id="1232" w:name="_Toc2736"/>
      <w:bookmarkStart w:id="1233" w:name="_Toc11089"/>
      <w:bookmarkStart w:id="1234" w:name="_Toc12606"/>
      <w:r>
        <w:rPr>
          <w:rFonts w:ascii="宋体" w:hAnsi="宋体" w:cs="宋体"/>
          <w:color w:val="auto"/>
          <w:sz w:val="21"/>
          <w:szCs w:val="21"/>
          <w:lang w:val="zh-CN"/>
        </w:rPr>
        <w:t>18. 保险</w:t>
      </w:r>
      <w:bookmarkEnd w:id="1230"/>
      <w:bookmarkEnd w:id="1231"/>
      <w:bookmarkEnd w:id="1232"/>
      <w:bookmarkEnd w:id="1233"/>
      <w:bookmarkEnd w:id="1234"/>
    </w:p>
    <w:p w14:paraId="63BDA043">
      <w:pPr>
        <w:pStyle w:val="2"/>
        <w:keepNext w:val="0"/>
        <w:spacing w:line="360" w:lineRule="exact"/>
        <w:rPr>
          <w:rFonts w:ascii="宋体" w:hAnsi="宋体" w:cs="宋体"/>
          <w:color w:val="auto"/>
          <w:sz w:val="21"/>
          <w:szCs w:val="21"/>
          <w:lang w:val="zh-CN"/>
        </w:rPr>
      </w:pPr>
      <w:bookmarkStart w:id="1235" w:name="_Toc373478420"/>
      <w:bookmarkEnd w:id="1235"/>
      <w:bookmarkStart w:id="1236" w:name="_Toc373227773"/>
      <w:bookmarkEnd w:id="1236"/>
      <w:bookmarkStart w:id="1237" w:name="_Toc406054814"/>
      <w:bookmarkEnd w:id="1237"/>
      <w:bookmarkStart w:id="1238" w:name="_Toc403"/>
      <w:bookmarkStart w:id="1239" w:name="_Toc8983"/>
      <w:bookmarkStart w:id="1240" w:name="_Toc30215"/>
      <w:bookmarkStart w:id="1241" w:name="_Toc1966"/>
      <w:bookmarkStart w:id="1242" w:name="_Toc4587"/>
      <w:r>
        <w:rPr>
          <w:rFonts w:ascii="宋体" w:hAnsi="宋体" w:cs="宋体"/>
          <w:color w:val="auto"/>
          <w:sz w:val="21"/>
          <w:szCs w:val="21"/>
          <w:lang w:val="zh-CN"/>
        </w:rPr>
        <w:t>18.1 工程保险</w:t>
      </w:r>
      <w:bookmarkEnd w:id="1238"/>
      <w:bookmarkEnd w:id="1239"/>
      <w:bookmarkEnd w:id="1240"/>
      <w:bookmarkEnd w:id="1241"/>
      <w:bookmarkEnd w:id="1242"/>
    </w:p>
    <w:p w14:paraId="084C35D8">
      <w:pPr>
        <w:spacing w:line="360" w:lineRule="exact"/>
        <w:ind w:firstLine="420"/>
        <w:jc w:val="left"/>
        <w:rPr>
          <w:rFonts w:ascii="宋体" w:hAnsi="宋体" w:cs="宋体"/>
          <w:color w:val="auto"/>
          <w:kern w:val="1"/>
          <w:szCs w:val="21"/>
        </w:rPr>
      </w:pPr>
      <w:r>
        <w:rPr>
          <w:rFonts w:ascii="宋体" w:hAnsi="宋体" w:cs="宋体"/>
          <w:color w:val="auto"/>
          <w:kern w:val="1"/>
          <w:szCs w:val="21"/>
        </w:rPr>
        <w:t>关于工程保险的特别约定：</w:t>
      </w:r>
      <w:r>
        <w:rPr>
          <w:rFonts w:hint="eastAsia" w:ascii="宋体" w:hAnsi="宋体" w:cs="宋体"/>
          <w:color w:val="auto"/>
          <w:kern w:val="1"/>
          <w:szCs w:val="21"/>
          <w:u w:val="single"/>
        </w:rPr>
        <w:t>由承包人负责并承担费用</w:t>
      </w:r>
      <w:r>
        <w:rPr>
          <w:rFonts w:ascii="宋体" w:hAnsi="宋体" w:cs="宋体"/>
          <w:color w:val="auto"/>
          <w:kern w:val="1"/>
          <w:szCs w:val="21"/>
        </w:rPr>
        <w:t>。</w:t>
      </w:r>
    </w:p>
    <w:p w14:paraId="2A854944">
      <w:pPr>
        <w:pStyle w:val="2"/>
        <w:keepNext w:val="0"/>
        <w:spacing w:line="360" w:lineRule="exact"/>
        <w:rPr>
          <w:rFonts w:ascii="宋体" w:hAnsi="宋体" w:cs="宋体"/>
          <w:color w:val="auto"/>
          <w:sz w:val="21"/>
          <w:szCs w:val="21"/>
          <w:lang w:val="zh-CN"/>
        </w:rPr>
      </w:pPr>
      <w:bookmarkStart w:id="1243" w:name="_Toc373227774"/>
      <w:bookmarkEnd w:id="1243"/>
      <w:bookmarkStart w:id="1244" w:name="_Toc373478421"/>
      <w:bookmarkEnd w:id="1244"/>
      <w:bookmarkStart w:id="1245" w:name="_Toc406054815"/>
      <w:bookmarkEnd w:id="1245"/>
      <w:bookmarkStart w:id="1246" w:name="_Toc13416"/>
      <w:bookmarkStart w:id="1247" w:name="_Toc378"/>
      <w:bookmarkStart w:id="1248" w:name="_Toc7213"/>
      <w:bookmarkStart w:id="1249" w:name="_Toc4630"/>
      <w:bookmarkStart w:id="1250" w:name="_Toc14620"/>
      <w:r>
        <w:rPr>
          <w:rFonts w:ascii="宋体" w:hAnsi="宋体" w:cs="宋体"/>
          <w:color w:val="auto"/>
          <w:sz w:val="21"/>
          <w:szCs w:val="21"/>
          <w:lang w:val="zh-CN"/>
        </w:rPr>
        <w:t>18.3 其他保险</w:t>
      </w:r>
      <w:bookmarkEnd w:id="1246"/>
      <w:bookmarkEnd w:id="1247"/>
      <w:bookmarkEnd w:id="1248"/>
      <w:bookmarkEnd w:id="1249"/>
      <w:bookmarkEnd w:id="1250"/>
    </w:p>
    <w:p w14:paraId="05705293">
      <w:pPr>
        <w:spacing w:line="360" w:lineRule="exact"/>
        <w:ind w:firstLine="420"/>
        <w:jc w:val="left"/>
        <w:rPr>
          <w:rFonts w:ascii="宋体" w:hAnsi="宋体" w:cs="宋体"/>
          <w:color w:val="auto"/>
          <w:kern w:val="1"/>
          <w:szCs w:val="21"/>
        </w:rPr>
      </w:pPr>
      <w:r>
        <w:rPr>
          <w:rFonts w:ascii="宋体" w:hAnsi="宋体" w:cs="宋体"/>
          <w:color w:val="auto"/>
          <w:kern w:val="1"/>
          <w:szCs w:val="21"/>
        </w:rPr>
        <w:t>关于其他保险的约定：</w:t>
      </w:r>
      <w:r>
        <w:rPr>
          <w:rFonts w:hint="eastAsia" w:ascii="宋体" w:hAnsi="宋体" w:cs="宋体"/>
          <w:color w:val="auto"/>
          <w:kern w:val="1"/>
          <w:szCs w:val="21"/>
          <w:u w:val="single"/>
        </w:rPr>
        <w:t>由承包人考虑并承担费用</w:t>
      </w:r>
      <w:r>
        <w:rPr>
          <w:rFonts w:hint="eastAsia" w:ascii="宋体" w:hAnsi="宋体" w:cs="宋体"/>
          <w:bCs/>
          <w:color w:val="auto"/>
          <w:kern w:val="1"/>
          <w:szCs w:val="21"/>
        </w:rPr>
        <w:t>。</w:t>
      </w:r>
    </w:p>
    <w:p w14:paraId="5C693917">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承包人是否应为其施工设备等办理财产保险：</w:t>
      </w:r>
      <w:r>
        <w:rPr>
          <w:rFonts w:hint="eastAsia" w:ascii="宋体" w:hAnsi="宋体" w:cs="宋体"/>
          <w:color w:val="auto"/>
          <w:kern w:val="1"/>
          <w:szCs w:val="21"/>
          <w:u w:val="single"/>
        </w:rPr>
        <w:t>由承包人选择</w:t>
      </w:r>
      <w:r>
        <w:rPr>
          <w:rFonts w:ascii="宋体" w:hAnsi="宋体" w:cs="宋体"/>
          <w:color w:val="auto"/>
          <w:kern w:val="1"/>
          <w:szCs w:val="21"/>
        </w:rPr>
        <w:t>。</w:t>
      </w:r>
    </w:p>
    <w:p w14:paraId="7931CD16">
      <w:pPr>
        <w:pStyle w:val="2"/>
        <w:keepNext w:val="0"/>
        <w:keepLines/>
        <w:pageBreakBefore w:val="0"/>
        <w:widowControl w:val="0"/>
        <w:kinsoku/>
        <w:wordWrap/>
        <w:overflowPunct/>
        <w:topLinePunct w:val="0"/>
        <w:autoSpaceDE/>
        <w:autoSpaceDN/>
        <w:bidi w:val="0"/>
        <w:adjustRightInd/>
        <w:snapToGrid/>
        <w:spacing w:line="14" w:lineRule="exact"/>
        <w:textAlignment w:val="auto"/>
        <w:rPr>
          <w:rFonts w:ascii="宋体" w:hAnsi="宋体" w:cs="宋体"/>
          <w:color w:val="auto"/>
          <w:sz w:val="21"/>
          <w:szCs w:val="21"/>
          <w:lang w:val="zh-CN"/>
        </w:rPr>
      </w:pPr>
      <w:bookmarkStart w:id="1251" w:name="_Toc373227775"/>
      <w:bookmarkEnd w:id="1251"/>
      <w:bookmarkStart w:id="1252" w:name="_Toc406054816"/>
      <w:bookmarkEnd w:id="1252"/>
      <w:bookmarkStart w:id="1253" w:name="_Toc373478422"/>
      <w:bookmarkEnd w:id="1253"/>
      <w:bookmarkStart w:id="1254" w:name="_Toc14672"/>
      <w:bookmarkStart w:id="1255" w:name="_Toc1452"/>
      <w:bookmarkStart w:id="1256" w:name="_Toc877"/>
      <w:bookmarkStart w:id="1257" w:name="_Toc526"/>
      <w:bookmarkStart w:id="1258" w:name="_Toc85"/>
      <w:r>
        <w:rPr>
          <w:rFonts w:ascii="宋体" w:hAnsi="宋体" w:cs="宋体"/>
          <w:color w:val="auto"/>
          <w:sz w:val="21"/>
          <w:szCs w:val="21"/>
          <w:lang w:val="zh-CN"/>
        </w:rPr>
        <w:t>18.7 通知义务</w:t>
      </w:r>
      <w:bookmarkEnd w:id="1254"/>
      <w:bookmarkEnd w:id="1255"/>
      <w:bookmarkEnd w:id="1256"/>
      <w:bookmarkEnd w:id="1257"/>
      <w:bookmarkEnd w:id="1258"/>
    </w:p>
    <w:p w14:paraId="27196138">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关于变更保险合同时的通知义务的约定：</w:t>
      </w:r>
      <w:r>
        <w:rPr>
          <w:rFonts w:hint="eastAsia" w:ascii="宋体" w:hAnsi="宋体" w:cs="宋体"/>
          <w:color w:val="auto"/>
          <w:kern w:val="1"/>
          <w:szCs w:val="21"/>
          <w:u w:val="single"/>
        </w:rPr>
        <w:t>由办理方告知</w:t>
      </w:r>
      <w:r>
        <w:rPr>
          <w:rFonts w:ascii="宋体" w:hAnsi="宋体" w:cs="宋体"/>
          <w:color w:val="auto"/>
          <w:kern w:val="1"/>
          <w:szCs w:val="21"/>
        </w:rPr>
        <w:t>。</w:t>
      </w:r>
    </w:p>
    <w:p w14:paraId="150754BC">
      <w:pPr>
        <w:pStyle w:val="2"/>
        <w:keepNext w:val="0"/>
        <w:spacing w:line="360" w:lineRule="exact"/>
        <w:rPr>
          <w:rFonts w:ascii="宋体" w:hAnsi="宋体" w:cs="宋体"/>
          <w:color w:val="auto"/>
          <w:sz w:val="21"/>
          <w:szCs w:val="21"/>
          <w:lang w:val="zh-CN"/>
        </w:rPr>
      </w:pPr>
      <w:bookmarkStart w:id="1259" w:name="_Toc373227776"/>
      <w:bookmarkEnd w:id="1259"/>
      <w:bookmarkStart w:id="1260" w:name="_Toc406054817"/>
      <w:bookmarkEnd w:id="1260"/>
      <w:bookmarkStart w:id="1261" w:name="_Toc373478423"/>
      <w:bookmarkEnd w:id="1261"/>
      <w:bookmarkStart w:id="1262" w:name="_Toc12825"/>
      <w:bookmarkStart w:id="1263" w:name="_Toc12430"/>
      <w:bookmarkStart w:id="1264" w:name="_Toc18321"/>
      <w:bookmarkStart w:id="1265" w:name="_Toc30637"/>
      <w:bookmarkStart w:id="1266" w:name="_Toc6310"/>
      <w:r>
        <w:rPr>
          <w:rFonts w:ascii="宋体" w:hAnsi="宋体" w:cs="宋体"/>
          <w:color w:val="auto"/>
          <w:sz w:val="21"/>
          <w:szCs w:val="21"/>
          <w:lang w:val="zh-CN"/>
        </w:rPr>
        <w:t>20. 争议解决</w:t>
      </w:r>
      <w:bookmarkEnd w:id="1262"/>
      <w:bookmarkEnd w:id="1263"/>
      <w:bookmarkEnd w:id="1264"/>
      <w:bookmarkEnd w:id="1265"/>
      <w:bookmarkEnd w:id="1266"/>
    </w:p>
    <w:p w14:paraId="4B037B64">
      <w:pPr>
        <w:pStyle w:val="2"/>
        <w:keepNext w:val="0"/>
        <w:spacing w:line="360" w:lineRule="exact"/>
        <w:rPr>
          <w:rFonts w:ascii="宋体" w:hAnsi="宋体" w:cs="宋体"/>
          <w:color w:val="auto"/>
          <w:sz w:val="21"/>
          <w:szCs w:val="21"/>
          <w:lang w:val="zh-CN"/>
        </w:rPr>
      </w:pPr>
      <w:bookmarkStart w:id="1267" w:name="_Toc373478424"/>
      <w:bookmarkEnd w:id="1267"/>
      <w:bookmarkStart w:id="1268" w:name="_Toc373227777"/>
      <w:bookmarkEnd w:id="1268"/>
      <w:bookmarkStart w:id="1269" w:name="_Toc406054818"/>
      <w:bookmarkEnd w:id="1269"/>
      <w:bookmarkStart w:id="1270" w:name="_Toc12515"/>
      <w:bookmarkStart w:id="1271" w:name="_Toc16622"/>
      <w:bookmarkStart w:id="1272" w:name="_Toc24267"/>
      <w:bookmarkStart w:id="1273" w:name="_Toc16658"/>
      <w:bookmarkStart w:id="1274" w:name="_Toc1914"/>
      <w:r>
        <w:rPr>
          <w:rFonts w:ascii="宋体" w:hAnsi="宋体" w:cs="宋体"/>
          <w:color w:val="auto"/>
          <w:sz w:val="21"/>
          <w:szCs w:val="21"/>
          <w:lang w:val="zh-CN"/>
        </w:rPr>
        <w:t>20.3 争议评审</w:t>
      </w:r>
      <w:bookmarkEnd w:id="1270"/>
      <w:bookmarkEnd w:id="1271"/>
      <w:bookmarkEnd w:id="1272"/>
      <w:bookmarkEnd w:id="1273"/>
      <w:bookmarkEnd w:id="1274"/>
    </w:p>
    <w:p w14:paraId="3907326A">
      <w:pPr>
        <w:spacing w:line="360" w:lineRule="exact"/>
        <w:ind w:firstLine="315"/>
        <w:jc w:val="left"/>
        <w:rPr>
          <w:rFonts w:ascii="宋体" w:hAnsi="宋体" w:cs="宋体"/>
          <w:color w:val="auto"/>
          <w:kern w:val="1"/>
          <w:szCs w:val="21"/>
          <w:u w:val="single"/>
        </w:rPr>
      </w:pPr>
      <w:r>
        <w:rPr>
          <w:rFonts w:ascii="宋体" w:hAnsi="宋体" w:cs="宋体"/>
          <w:color w:val="auto"/>
          <w:kern w:val="1"/>
          <w:szCs w:val="21"/>
        </w:rPr>
        <w:t>合同当事人是否同意将工程争议提交争议评审小组决定：</w:t>
      </w:r>
      <w:r>
        <w:rPr>
          <w:rFonts w:hint="eastAsia" w:ascii="宋体" w:hAnsi="宋体" w:cs="宋体"/>
          <w:color w:val="auto"/>
          <w:kern w:val="1"/>
          <w:szCs w:val="21"/>
          <w:u w:val="single"/>
        </w:rPr>
        <w:t>同意</w:t>
      </w:r>
      <w:r>
        <w:rPr>
          <w:rFonts w:ascii="宋体" w:hAnsi="宋体" w:cs="宋体"/>
          <w:color w:val="auto"/>
          <w:kern w:val="1"/>
          <w:szCs w:val="21"/>
        </w:rPr>
        <w:t>。</w:t>
      </w:r>
    </w:p>
    <w:p w14:paraId="7DA695DF">
      <w:pPr>
        <w:spacing w:line="360" w:lineRule="exact"/>
        <w:ind w:firstLine="420"/>
        <w:jc w:val="left"/>
        <w:rPr>
          <w:rFonts w:ascii="宋体" w:hAnsi="宋体" w:cs="宋体"/>
          <w:color w:val="auto"/>
          <w:kern w:val="1"/>
          <w:szCs w:val="21"/>
        </w:rPr>
      </w:pPr>
      <w:r>
        <w:rPr>
          <w:rFonts w:ascii="宋体" w:hAnsi="宋体" w:cs="宋体"/>
          <w:color w:val="auto"/>
          <w:kern w:val="1"/>
          <w:szCs w:val="21"/>
        </w:rPr>
        <w:t>20.3.1 争议评审小组的确定</w:t>
      </w:r>
    </w:p>
    <w:p w14:paraId="65F1D423">
      <w:pPr>
        <w:spacing w:line="360" w:lineRule="exact"/>
        <w:ind w:firstLine="420"/>
        <w:jc w:val="left"/>
        <w:rPr>
          <w:rFonts w:ascii="宋体" w:hAnsi="宋体" w:cs="宋体"/>
          <w:color w:val="auto"/>
          <w:kern w:val="1"/>
          <w:szCs w:val="21"/>
          <w:u w:val="single"/>
        </w:rPr>
      </w:pPr>
      <w:r>
        <w:rPr>
          <w:rFonts w:ascii="宋体" w:hAnsi="宋体" w:cs="宋体"/>
          <w:color w:val="auto"/>
          <w:kern w:val="1"/>
          <w:szCs w:val="21"/>
        </w:rPr>
        <w:t>争议评审小组成员的确定：</w:t>
      </w:r>
      <w:r>
        <w:rPr>
          <w:rFonts w:hint="eastAsia" w:ascii="宋体" w:hAnsi="宋体" w:cs="宋体"/>
          <w:color w:val="auto"/>
          <w:kern w:val="1"/>
          <w:szCs w:val="21"/>
          <w:u w:val="single"/>
        </w:rPr>
        <w:t>由当地建设主管部门确定</w:t>
      </w:r>
      <w:r>
        <w:rPr>
          <w:rFonts w:ascii="宋体" w:hAnsi="宋体" w:cs="宋体"/>
          <w:color w:val="auto"/>
          <w:kern w:val="1"/>
          <w:szCs w:val="21"/>
        </w:rPr>
        <w:t>。</w:t>
      </w:r>
    </w:p>
    <w:p w14:paraId="09793936">
      <w:pPr>
        <w:spacing w:line="360" w:lineRule="exact"/>
        <w:ind w:firstLine="420"/>
        <w:jc w:val="left"/>
        <w:rPr>
          <w:rFonts w:ascii="宋体" w:hAnsi="宋体" w:cs="宋体"/>
          <w:color w:val="auto"/>
          <w:kern w:val="1"/>
          <w:szCs w:val="21"/>
        </w:rPr>
      </w:pPr>
      <w:r>
        <w:rPr>
          <w:rFonts w:ascii="宋体" w:hAnsi="宋体" w:cs="宋体"/>
          <w:color w:val="auto"/>
          <w:kern w:val="1"/>
          <w:szCs w:val="21"/>
        </w:rPr>
        <w:t>选定争议评审员的期限：</w:t>
      </w:r>
      <w:r>
        <w:rPr>
          <w:rFonts w:hint="eastAsia" w:ascii="宋体" w:hAnsi="宋体" w:cs="宋体"/>
          <w:color w:val="auto"/>
          <w:kern w:val="1"/>
          <w:szCs w:val="21"/>
          <w:u w:val="single"/>
        </w:rPr>
        <w:t>争议事件发生后45天内</w:t>
      </w:r>
      <w:r>
        <w:rPr>
          <w:rFonts w:ascii="宋体" w:hAnsi="宋体" w:cs="宋体"/>
          <w:color w:val="auto"/>
          <w:kern w:val="1"/>
          <w:szCs w:val="21"/>
        </w:rPr>
        <w:t>。</w:t>
      </w:r>
    </w:p>
    <w:p w14:paraId="1F7A92A5">
      <w:pPr>
        <w:spacing w:line="360" w:lineRule="exact"/>
        <w:ind w:firstLine="420"/>
        <w:jc w:val="left"/>
        <w:rPr>
          <w:rFonts w:ascii="宋体" w:hAnsi="宋体" w:cs="宋体"/>
          <w:color w:val="auto"/>
          <w:kern w:val="1"/>
          <w:szCs w:val="21"/>
        </w:rPr>
      </w:pPr>
      <w:r>
        <w:rPr>
          <w:rFonts w:ascii="宋体" w:hAnsi="宋体" w:cs="宋体"/>
          <w:color w:val="auto"/>
          <w:kern w:val="1"/>
          <w:szCs w:val="21"/>
        </w:rPr>
        <w:t>争议评审小组成员的报酬承担方式：</w:t>
      </w:r>
      <w:r>
        <w:rPr>
          <w:rFonts w:hint="eastAsia" w:ascii="宋体" w:hAnsi="宋体" w:cs="宋体"/>
          <w:color w:val="auto"/>
          <w:kern w:val="1"/>
          <w:szCs w:val="21"/>
          <w:u w:val="single"/>
        </w:rPr>
        <w:t>按责任大小比例承担</w:t>
      </w:r>
      <w:r>
        <w:rPr>
          <w:rFonts w:ascii="宋体" w:hAnsi="宋体" w:cs="宋体"/>
          <w:color w:val="auto"/>
          <w:kern w:val="1"/>
          <w:szCs w:val="21"/>
        </w:rPr>
        <w:t>。</w:t>
      </w:r>
    </w:p>
    <w:p w14:paraId="045C4094">
      <w:pPr>
        <w:spacing w:line="360" w:lineRule="exact"/>
        <w:ind w:firstLine="420"/>
        <w:jc w:val="left"/>
        <w:rPr>
          <w:rFonts w:ascii="宋体" w:hAnsi="宋体" w:cs="宋体"/>
          <w:color w:val="auto"/>
          <w:kern w:val="1"/>
          <w:szCs w:val="21"/>
        </w:rPr>
      </w:pPr>
      <w:r>
        <w:rPr>
          <w:rFonts w:ascii="宋体" w:hAnsi="宋体" w:cs="宋体"/>
          <w:color w:val="auto"/>
          <w:kern w:val="1"/>
          <w:szCs w:val="21"/>
        </w:rPr>
        <w:t>其他事项的约定：</w:t>
      </w:r>
      <w:r>
        <w:rPr>
          <w:rFonts w:hint="eastAsia" w:ascii="宋体" w:hAnsi="宋体" w:cs="宋体"/>
          <w:color w:val="auto"/>
          <w:kern w:val="1"/>
          <w:szCs w:val="21"/>
          <w:u w:val="single"/>
        </w:rPr>
        <w:t>无</w:t>
      </w:r>
      <w:r>
        <w:rPr>
          <w:rFonts w:ascii="宋体" w:hAnsi="宋体" w:cs="宋体"/>
          <w:color w:val="auto"/>
          <w:kern w:val="1"/>
          <w:szCs w:val="21"/>
        </w:rPr>
        <w:t>。</w:t>
      </w:r>
    </w:p>
    <w:p w14:paraId="68554D72">
      <w:pPr>
        <w:spacing w:line="360" w:lineRule="exact"/>
        <w:ind w:firstLine="420"/>
        <w:jc w:val="left"/>
        <w:rPr>
          <w:rFonts w:ascii="宋体" w:hAnsi="宋体" w:cs="宋体"/>
          <w:color w:val="auto"/>
          <w:kern w:val="1"/>
          <w:szCs w:val="21"/>
        </w:rPr>
      </w:pPr>
      <w:r>
        <w:rPr>
          <w:rFonts w:ascii="宋体" w:hAnsi="宋体" w:cs="宋体"/>
          <w:color w:val="auto"/>
          <w:kern w:val="1"/>
          <w:szCs w:val="21"/>
        </w:rPr>
        <w:t>20.3.2 争议评审小组的决定</w:t>
      </w:r>
    </w:p>
    <w:p w14:paraId="4E3B9D0E">
      <w:pPr>
        <w:spacing w:line="360" w:lineRule="exact"/>
        <w:ind w:firstLine="420"/>
        <w:jc w:val="left"/>
        <w:rPr>
          <w:rFonts w:ascii="宋体" w:hAnsi="宋体" w:cs="宋体"/>
          <w:color w:val="auto"/>
          <w:kern w:val="1"/>
          <w:szCs w:val="21"/>
        </w:rPr>
      </w:pPr>
      <w:r>
        <w:rPr>
          <w:rFonts w:ascii="宋体" w:hAnsi="宋体" w:cs="宋体"/>
          <w:color w:val="auto"/>
          <w:kern w:val="1"/>
          <w:szCs w:val="21"/>
        </w:rPr>
        <w:t>合同当事人关于本项的约定：</w:t>
      </w:r>
      <w:r>
        <w:rPr>
          <w:rFonts w:hint="eastAsia" w:ascii="宋体" w:hAnsi="宋体" w:cs="宋体"/>
          <w:color w:val="auto"/>
          <w:kern w:val="1"/>
          <w:szCs w:val="21"/>
          <w:u w:val="single"/>
        </w:rPr>
        <w:t>同意评审小组的决定</w:t>
      </w:r>
      <w:r>
        <w:rPr>
          <w:rFonts w:ascii="宋体" w:hAnsi="宋体" w:cs="宋体"/>
          <w:color w:val="auto"/>
          <w:kern w:val="1"/>
          <w:szCs w:val="21"/>
        </w:rPr>
        <w:t>。</w:t>
      </w:r>
    </w:p>
    <w:p w14:paraId="7EDCF9D6">
      <w:pPr>
        <w:pStyle w:val="2"/>
        <w:keepNext w:val="0"/>
        <w:spacing w:line="360" w:lineRule="exact"/>
        <w:rPr>
          <w:rFonts w:ascii="宋体" w:hAnsi="宋体" w:cs="宋体"/>
          <w:color w:val="auto"/>
          <w:sz w:val="21"/>
          <w:szCs w:val="21"/>
          <w:lang w:val="zh-CN"/>
        </w:rPr>
      </w:pPr>
      <w:bookmarkStart w:id="1275" w:name="_Toc373227778"/>
      <w:bookmarkEnd w:id="1275"/>
      <w:bookmarkStart w:id="1276" w:name="_Toc373478425"/>
      <w:bookmarkEnd w:id="1276"/>
      <w:bookmarkStart w:id="1277" w:name="_Toc406054819"/>
      <w:bookmarkEnd w:id="1277"/>
      <w:bookmarkStart w:id="1278" w:name="_Toc28771"/>
      <w:bookmarkStart w:id="1279" w:name="_Toc14547"/>
      <w:bookmarkStart w:id="1280" w:name="_Toc26240"/>
      <w:bookmarkStart w:id="1281" w:name="_Toc17964"/>
      <w:bookmarkStart w:id="1282" w:name="_Toc6409"/>
      <w:r>
        <w:rPr>
          <w:rFonts w:ascii="宋体" w:hAnsi="宋体" w:cs="宋体"/>
          <w:color w:val="auto"/>
          <w:sz w:val="21"/>
          <w:szCs w:val="21"/>
          <w:lang w:val="zh-CN"/>
        </w:rPr>
        <w:t>20.4仲裁或诉讼</w:t>
      </w:r>
      <w:bookmarkEnd w:id="1278"/>
      <w:bookmarkEnd w:id="1279"/>
      <w:bookmarkEnd w:id="1280"/>
      <w:bookmarkEnd w:id="1281"/>
      <w:bookmarkEnd w:id="1282"/>
    </w:p>
    <w:p w14:paraId="313AB040">
      <w:pPr>
        <w:spacing w:line="360" w:lineRule="exact"/>
        <w:ind w:firstLine="420"/>
        <w:rPr>
          <w:rFonts w:ascii="宋体" w:hAnsi="宋体" w:cs="宋体"/>
          <w:color w:val="auto"/>
          <w:kern w:val="1"/>
          <w:szCs w:val="21"/>
        </w:rPr>
      </w:pPr>
      <w:r>
        <w:rPr>
          <w:rFonts w:ascii="宋体" w:hAnsi="宋体" w:cs="宋体"/>
          <w:color w:val="auto"/>
          <w:kern w:val="1"/>
          <w:szCs w:val="21"/>
        </w:rPr>
        <w:t>因合同及合同有关事项发生的争议，按下列第</w:t>
      </w:r>
      <w:r>
        <w:rPr>
          <w:rFonts w:hint="eastAsia" w:ascii="宋体" w:hAnsi="宋体" w:cs="宋体"/>
          <w:color w:val="auto"/>
          <w:kern w:val="1"/>
          <w:szCs w:val="21"/>
          <w:u w:val="single"/>
        </w:rPr>
        <w:t>2</w:t>
      </w:r>
      <w:r>
        <w:rPr>
          <w:rFonts w:ascii="宋体" w:hAnsi="宋体" w:cs="宋体"/>
          <w:color w:val="auto"/>
          <w:kern w:val="1"/>
          <w:szCs w:val="21"/>
        </w:rPr>
        <w:t>种方式解决：</w:t>
      </w:r>
    </w:p>
    <w:p w14:paraId="0CBDA036">
      <w:pPr>
        <w:spacing w:line="360" w:lineRule="exact"/>
        <w:ind w:firstLine="420"/>
        <w:jc w:val="left"/>
        <w:rPr>
          <w:rFonts w:ascii="宋体" w:hAnsi="宋体" w:cs="宋体"/>
          <w:color w:val="auto"/>
          <w:kern w:val="1"/>
          <w:szCs w:val="21"/>
        </w:rPr>
      </w:pPr>
      <w:r>
        <w:rPr>
          <w:rFonts w:ascii="宋体" w:hAnsi="宋体" w:cs="宋体"/>
          <w:color w:val="auto"/>
          <w:kern w:val="1"/>
          <w:szCs w:val="21"/>
        </w:rPr>
        <w:t>（1）提请</w:t>
      </w:r>
      <w:r>
        <w:rPr>
          <w:rFonts w:hint="eastAsia" w:ascii="宋体" w:hAnsi="宋体" w:cs="宋体"/>
          <w:color w:val="auto"/>
          <w:kern w:val="1"/>
          <w:szCs w:val="21"/>
          <w:u w:val="single"/>
        </w:rPr>
        <w:t xml:space="preserve">梧州 </w:t>
      </w:r>
      <w:r>
        <w:rPr>
          <w:rFonts w:ascii="宋体" w:hAnsi="宋体" w:cs="宋体"/>
          <w:color w:val="auto"/>
          <w:kern w:val="1"/>
          <w:szCs w:val="21"/>
        </w:rPr>
        <w:t>仲裁委员会按照该会仲裁规则进行仲裁，仲裁裁决是终局的，对合同双方均有约束力。</w:t>
      </w:r>
    </w:p>
    <w:p w14:paraId="58077A50">
      <w:pPr>
        <w:spacing w:line="360" w:lineRule="exact"/>
        <w:ind w:firstLine="420"/>
        <w:jc w:val="left"/>
        <w:rPr>
          <w:rFonts w:ascii="宋体" w:hAnsi="宋体" w:cs="宋体"/>
          <w:color w:val="auto"/>
          <w:kern w:val="1"/>
          <w:szCs w:val="21"/>
        </w:rPr>
      </w:pPr>
      <w:r>
        <w:rPr>
          <w:rFonts w:ascii="宋体" w:hAnsi="宋体" w:cs="宋体"/>
          <w:color w:val="auto"/>
          <w:kern w:val="1"/>
          <w:szCs w:val="21"/>
        </w:rPr>
        <w:t>（2）向</w:t>
      </w:r>
      <w:r>
        <w:rPr>
          <w:rFonts w:hint="eastAsia" w:ascii="宋体" w:hAnsi="宋体" w:cs="宋体"/>
          <w:color w:val="auto"/>
          <w:kern w:val="1"/>
          <w:szCs w:val="21"/>
          <w:u w:val="single"/>
        </w:rPr>
        <w:t>工程所在地的</w:t>
      </w:r>
      <w:r>
        <w:rPr>
          <w:rFonts w:ascii="宋体" w:hAnsi="宋体" w:cs="宋体"/>
          <w:color w:val="auto"/>
          <w:kern w:val="1"/>
          <w:szCs w:val="21"/>
        </w:rPr>
        <w:t>人民法院起诉。</w:t>
      </w:r>
    </w:p>
    <w:p w14:paraId="737DC577">
      <w:pPr>
        <w:pStyle w:val="2"/>
        <w:keepNext w:val="0"/>
        <w:spacing w:line="360" w:lineRule="exact"/>
        <w:rPr>
          <w:rFonts w:ascii="宋体" w:hAnsi="宋体" w:cs="宋体"/>
          <w:color w:val="auto"/>
          <w:sz w:val="21"/>
          <w:szCs w:val="21"/>
          <w:lang w:val="zh-CN"/>
        </w:rPr>
      </w:pPr>
      <w:bookmarkStart w:id="1283" w:name="_Toc406054820"/>
      <w:bookmarkEnd w:id="1283"/>
      <w:bookmarkStart w:id="1284" w:name="_Toc17697"/>
      <w:bookmarkStart w:id="1285" w:name="_Toc13018"/>
      <w:bookmarkStart w:id="1286" w:name="_Toc20327"/>
      <w:bookmarkStart w:id="1287" w:name="_Toc27937"/>
      <w:bookmarkStart w:id="1288" w:name="_Toc4275"/>
      <w:r>
        <w:rPr>
          <w:rFonts w:ascii="宋体" w:hAnsi="宋体" w:cs="宋体"/>
          <w:color w:val="auto"/>
          <w:sz w:val="21"/>
          <w:szCs w:val="21"/>
          <w:lang w:val="zh-CN"/>
        </w:rPr>
        <w:t>21. 补充条款</w:t>
      </w:r>
      <w:bookmarkEnd w:id="1284"/>
      <w:bookmarkEnd w:id="1285"/>
      <w:bookmarkEnd w:id="1286"/>
      <w:bookmarkEnd w:id="1287"/>
      <w:bookmarkEnd w:id="1288"/>
    </w:p>
    <w:p w14:paraId="398E679D">
      <w:pPr>
        <w:spacing w:line="360" w:lineRule="exact"/>
        <w:rPr>
          <w:rFonts w:ascii="宋体" w:hAnsi="宋体" w:cs="宋体"/>
          <w:color w:val="auto"/>
          <w:kern w:val="1"/>
          <w:szCs w:val="21"/>
        </w:rPr>
      </w:pPr>
      <w:r>
        <w:rPr>
          <w:rFonts w:ascii="宋体" w:hAnsi="宋体" w:cs="宋体"/>
          <w:color w:val="auto"/>
          <w:kern w:val="1"/>
          <w:szCs w:val="21"/>
        </w:rPr>
        <w:t xml:space="preserve">    21.1本工程禁止使用童工。</w:t>
      </w:r>
    </w:p>
    <w:p w14:paraId="3A0B7EBB">
      <w:pPr>
        <w:spacing w:line="360" w:lineRule="exact"/>
        <w:ind w:firstLine="420"/>
        <w:rPr>
          <w:rFonts w:ascii="宋体" w:hAnsi="宋体" w:cs="宋体"/>
          <w:color w:val="auto"/>
          <w:kern w:val="1"/>
          <w:szCs w:val="21"/>
        </w:rPr>
      </w:pPr>
      <w:r>
        <w:rPr>
          <w:rFonts w:hint="eastAsia" w:ascii="宋体" w:hAnsi="宋体" w:cs="宋体"/>
          <w:color w:val="auto"/>
          <w:kern w:val="1"/>
          <w:szCs w:val="21"/>
        </w:rPr>
        <w:t>21.2 承包人须在签订合同时向招标人提供本项目的项目管理机构人员任命书。</w:t>
      </w:r>
    </w:p>
    <w:p w14:paraId="08931A7C">
      <w:pPr>
        <w:spacing w:line="360" w:lineRule="exact"/>
        <w:ind w:firstLine="420"/>
        <w:rPr>
          <w:rFonts w:ascii="宋体" w:hAnsi="宋体" w:cs="宋体"/>
          <w:color w:val="auto"/>
          <w:kern w:val="1"/>
          <w:szCs w:val="21"/>
        </w:rPr>
      </w:pPr>
      <w:r>
        <w:rPr>
          <w:rFonts w:hint="eastAsia" w:ascii="宋体" w:hAnsi="宋体" w:cs="宋体"/>
          <w:color w:val="auto"/>
          <w:kern w:val="1"/>
          <w:szCs w:val="21"/>
        </w:rPr>
        <w:t>21.3因承包人拖欠农民工工资造成集体上访、投诉、停工、罢工的，发包人有权暂停支付工程进度款。</w:t>
      </w:r>
    </w:p>
    <w:p w14:paraId="672591B9">
      <w:pPr>
        <w:spacing w:line="360" w:lineRule="exact"/>
        <w:ind w:firstLine="420"/>
        <w:rPr>
          <w:rFonts w:ascii="宋体" w:hAnsi="宋体"/>
          <w:b/>
          <w:color w:val="auto"/>
          <w:kern w:val="1"/>
          <w:szCs w:val="21"/>
        </w:rPr>
      </w:pPr>
      <w:r>
        <w:rPr>
          <w:rFonts w:hint="eastAsia" w:ascii="宋体" w:hAnsi="宋体" w:cs="宋体"/>
          <w:color w:val="auto"/>
          <w:kern w:val="1"/>
          <w:szCs w:val="21"/>
        </w:rPr>
        <w:t>21.5在开工后2个月内，承包人必需按照《建筑工人实名制管理办法（试行）的通知》有关规定提供职工（农民工）花名册给发包人，发包人以承包人提供的职工（农民工）花名册核定务工人员；如务工人员发生变化应及时变更并报发包人存档。</w:t>
      </w:r>
    </w:p>
    <w:p w14:paraId="62EAD68A">
      <w:pPr>
        <w:spacing w:line="360" w:lineRule="exact"/>
        <w:jc w:val="left"/>
        <w:rPr>
          <w:rFonts w:ascii="宋体" w:hAnsi="宋体"/>
          <w:color w:val="auto"/>
          <w:kern w:val="1"/>
          <w:sz w:val="24"/>
        </w:rPr>
      </w:pPr>
      <w:bookmarkStart w:id="1289" w:name="_Toc27720"/>
      <w:r>
        <w:rPr>
          <w:rFonts w:ascii="宋体" w:hAnsi="宋体"/>
          <w:b/>
          <w:color w:val="auto"/>
          <w:kern w:val="1"/>
          <w:sz w:val="28"/>
          <w:szCs w:val="28"/>
        </w:rPr>
        <w:br w:type="page"/>
      </w:r>
      <w:r>
        <w:rPr>
          <w:rFonts w:ascii="宋体" w:hAnsi="宋体"/>
          <w:b/>
          <w:color w:val="auto"/>
          <w:kern w:val="1"/>
          <w:sz w:val="28"/>
          <w:szCs w:val="28"/>
        </w:rPr>
        <w:t>附件</w:t>
      </w:r>
      <w:r>
        <w:rPr>
          <w:rFonts w:hint="eastAsia" w:ascii="宋体" w:hAnsi="宋体"/>
          <w:b/>
          <w:color w:val="auto"/>
          <w:kern w:val="1"/>
          <w:sz w:val="28"/>
          <w:szCs w:val="28"/>
        </w:rPr>
        <w:t>：工程质量保修书</w:t>
      </w:r>
    </w:p>
    <w:bookmarkEnd w:id="1289"/>
    <w:p w14:paraId="3D5F4AD7">
      <w:pPr>
        <w:spacing w:before="156" w:beforeLines="50" w:after="156" w:afterLines="50" w:line="44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工程质量保修书（房屋建筑工程）</w:t>
      </w:r>
    </w:p>
    <w:p w14:paraId="44BD1942">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发包人（全称）：</w:t>
      </w:r>
      <w:r>
        <w:rPr>
          <w:rFonts w:hint="eastAsia" w:ascii="宋体" w:hAnsi="宋体" w:eastAsia="宋体" w:cs="宋体"/>
          <w:color w:val="auto"/>
          <w:u w:val="single"/>
        </w:rPr>
        <w:t xml:space="preserve"> 广西壮族自治区桂东人民医院 </w:t>
      </w:r>
      <w:r>
        <w:rPr>
          <w:rFonts w:hint="eastAsia" w:ascii="宋体" w:hAnsi="宋体" w:eastAsia="宋体" w:cs="宋体"/>
          <w:color w:val="auto"/>
        </w:rPr>
        <w:t xml:space="preserve"> </w:t>
      </w:r>
    </w:p>
    <w:p w14:paraId="46B56576">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承包人（全称）：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14:paraId="1F0B3074">
      <w:pPr>
        <w:spacing w:line="440" w:lineRule="exact"/>
        <w:rPr>
          <w:rFonts w:hint="eastAsia" w:ascii="宋体" w:hAnsi="宋体" w:eastAsia="宋体" w:cs="宋体"/>
          <w:color w:val="auto"/>
        </w:rPr>
      </w:pPr>
    </w:p>
    <w:p w14:paraId="0F297D0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发包人和承包人根据《中华人民共和国建筑法》和《建设工程质量管理条例》，经协商一致就</w:t>
      </w:r>
      <w:r>
        <w:rPr>
          <w:rFonts w:hint="eastAsia" w:ascii="宋体" w:hAnsi="宋体" w:eastAsia="宋体" w:cs="宋体"/>
          <w:color w:val="auto"/>
          <w:u w:val="single"/>
        </w:rPr>
        <w:t>广西壮族自治区桂东人民医院</w:t>
      </w:r>
      <w:r>
        <w:rPr>
          <w:rFonts w:hint="eastAsia" w:ascii="宋体" w:hAnsi="宋体" w:cs="宋体"/>
          <w:color w:val="auto"/>
          <w:u w:val="single"/>
          <w:lang w:val="en-US" w:eastAsia="zh-CN"/>
        </w:rPr>
        <w:t>呼吸内科病房、办公室装修改造工程</w:t>
      </w:r>
      <w:r>
        <w:rPr>
          <w:rFonts w:hint="eastAsia" w:ascii="宋体" w:hAnsi="宋体" w:eastAsia="宋体" w:cs="宋体"/>
          <w:color w:val="auto"/>
          <w:u w:val="single"/>
        </w:rPr>
        <w:t xml:space="preserve"> </w:t>
      </w:r>
      <w:r>
        <w:rPr>
          <w:rFonts w:hint="eastAsia" w:ascii="宋体" w:hAnsi="宋体" w:eastAsia="宋体" w:cs="宋体"/>
          <w:color w:val="auto"/>
        </w:rPr>
        <w:t>（工程全称）签订工程质量保修书。</w:t>
      </w:r>
    </w:p>
    <w:p w14:paraId="53ACE28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一、工程质量保修范围和内容</w:t>
      </w:r>
    </w:p>
    <w:p w14:paraId="1B5807F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承包人在质量保修期内，按照有关法律规定和合同约定，承担工程质量保修责任。</w:t>
      </w:r>
    </w:p>
    <w:p w14:paraId="7C5B76AD">
      <w:pPr>
        <w:spacing w:line="360" w:lineRule="auto"/>
        <w:ind w:firstLine="420"/>
        <w:rPr>
          <w:rFonts w:hint="eastAsia" w:ascii="宋体" w:hAnsi="宋体" w:eastAsia="宋体" w:cs="宋体"/>
          <w:color w:val="auto"/>
        </w:rPr>
      </w:pPr>
      <w:r>
        <w:rPr>
          <w:rFonts w:hint="eastAsia" w:ascii="宋体" w:hAnsi="宋体" w:eastAsia="宋体" w:cs="宋体"/>
          <w:color w:val="auto"/>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C9D8DFC">
      <w:pPr>
        <w:spacing w:line="360" w:lineRule="auto"/>
        <w:ind w:firstLine="420"/>
        <w:rPr>
          <w:rFonts w:hint="eastAsia" w:ascii="宋体" w:hAnsi="宋体" w:eastAsia="宋体" w:cs="宋体"/>
          <w:color w:val="auto"/>
          <w:u w:val="single"/>
        </w:rPr>
      </w:pPr>
      <w:r>
        <w:rPr>
          <w:rFonts w:hint="eastAsia" w:ascii="宋体" w:hAnsi="宋体" w:eastAsia="宋体" w:cs="宋体"/>
          <w:color w:val="auto"/>
          <w:u w:val="single"/>
        </w:rPr>
        <w:t xml:space="preserve">                         </w:t>
      </w:r>
      <w:r>
        <w:rPr>
          <w:rFonts w:hint="eastAsia" w:ascii="宋体" w:hAnsi="宋体" w:cs="宋体"/>
          <w:color w:val="auto"/>
          <w:u w:val="single"/>
          <w:lang w:val="en-US" w:eastAsia="zh-CN"/>
        </w:rPr>
        <w:t>无</w:t>
      </w:r>
      <w:r>
        <w:rPr>
          <w:rFonts w:hint="eastAsia" w:ascii="宋体" w:hAnsi="宋体" w:eastAsia="宋体" w:cs="宋体"/>
          <w:color w:val="auto"/>
          <w:u w:val="single"/>
        </w:rPr>
        <w:t xml:space="preserve">                 </w:t>
      </w:r>
    </w:p>
    <w:p w14:paraId="294E65AD">
      <w:pPr>
        <w:spacing w:line="360" w:lineRule="auto"/>
        <w:ind w:firstLine="420"/>
        <w:rPr>
          <w:rFonts w:hint="eastAsia" w:ascii="宋体" w:hAnsi="宋体" w:eastAsia="宋体" w:cs="宋体"/>
          <w:color w:val="auto"/>
        </w:rPr>
      </w:pPr>
      <w:r>
        <w:rPr>
          <w:rFonts w:hint="eastAsia" w:ascii="宋体" w:hAnsi="宋体" w:eastAsia="宋体" w:cs="宋体"/>
          <w:color w:val="auto"/>
        </w:rPr>
        <w:t>二、质量保修期</w:t>
      </w:r>
    </w:p>
    <w:p w14:paraId="5009DC29">
      <w:pPr>
        <w:spacing w:line="360" w:lineRule="auto"/>
        <w:ind w:firstLine="420"/>
        <w:rPr>
          <w:rFonts w:hint="eastAsia" w:ascii="宋体" w:hAnsi="宋体" w:eastAsia="宋体" w:cs="宋体"/>
          <w:color w:val="auto"/>
        </w:rPr>
      </w:pPr>
      <w:r>
        <w:rPr>
          <w:rFonts w:hint="eastAsia" w:ascii="宋体" w:hAnsi="宋体" w:eastAsia="宋体" w:cs="宋体"/>
          <w:color w:val="auto"/>
        </w:rPr>
        <w:t>根据《建设工程质量管理条例》及有关规定，工程的质量保修期如下：</w:t>
      </w:r>
    </w:p>
    <w:p w14:paraId="36D54FF2">
      <w:pPr>
        <w:spacing w:line="360" w:lineRule="auto"/>
        <w:ind w:firstLine="420"/>
        <w:rPr>
          <w:rFonts w:hint="eastAsia" w:ascii="宋体" w:hAnsi="宋体" w:eastAsia="宋体" w:cs="宋体"/>
          <w:color w:val="auto"/>
        </w:rPr>
      </w:pPr>
      <w:r>
        <w:rPr>
          <w:rFonts w:hint="eastAsia" w:ascii="宋体" w:hAnsi="宋体" w:eastAsia="宋体" w:cs="宋体"/>
          <w:color w:val="auto"/>
        </w:rPr>
        <w:t>1．地基基础工程和主体结构工程为设计文件规定的工程合理使用年限；</w:t>
      </w:r>
    </w:p>
    <w:p w14:paraId="0C2C5D2C">
      <w:pPr>
        <w:spacing w:line="360" w:lineRule="auto"/>
        <w:ind w:firstLine="420"/>
        <w:rPr>
          <w:rFonts w:hint="eastAsia" w:ascii="宋体" w:hAnsi="宋体" w:eastAsia="宋体" w:cs="宋体"/>
          <w:color w:val="auto"/>
        </w:rPr>
      </w:pPr>
      <w:r>
        <w:rPr>
          <w:rFonts w:hint="eastAsia" w:ascii="宋体" w:hAnsi="宋体" w:eastAsia="宋体" w:cs="宋体"/>
          <w:color w:val="auto"/>
        </w:rPr>
        <w:t>2．屋面防水工程、有防水要求的卫生间、房间和外墙面的防渗为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1</w:t>
      </w:r>
      <w:r>
        <w:rPr>
          <w:rFonts w:hint="eastAsia" w:ascii="宋体" w:hAnsi="宋体" w:eastAsia="宋体" w:cs="宋体"/>
          <w:color w:val="auto"/>
          <w:u w:val="single"/>
        </w:rPr>
        <w:t xml:space="preserve">     </w:t>
      </w:r>
      <w:r>
        <w:rPr>
          <w:rFonts w:hint="eastAsia" w:ascii="宋体" w:hAnsi="宋体" w:eastAsia="宋体" w:cs="宋体"/>
          <w:color w:val="auto"/>
        </w:rPr>
        <w:t>年；</w:t>
      </w:r>
    </w:p>
    <w:p w14:paraId="27BB6B18">
      <w:pPr>
        <w:spacing w:line="360" w:lineRule="auto"/>
        <w:ind w:firstLine="420"/>
        <w:rPr>
          <w:rFonts w:hint="eastAsia" w:ascii="宋体" w:hAnsi="宋体" w:eastAsia="宋体" w:cs="宋体"/>
          <w:color w:val="auto"/>
        </w:rPr>
      </w:pPr>
      <w:r>
        <w:rPr>
          <w:rFonts w:hint="eastAsia" w:ascii="宋体" w:hAnsi="宋体" w:eastAsia="宋体" w:cs="宋体"/>
          <w:color w:val="auto"/>
        </w:rPr>
        <w:t>3．装修工程为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1</w:t>
      </w:r>
      <w:r>
        <w:rPr>
          <w:rFonts w:hint="eastAsia" w:ascii="宋体" w:hAnsi="宋体" w:eastAsia="宋体" w:cs="宋体"/>
          <w:color w:val="auto"/>
          <w:u w:val="single"/>
        </w:rPr>
        <w:t xml:space="preserve">     </w:t>
      </w:r>
      <w:r>
        <w:rPr>
          <w:rFonts w:hint="eastAsia" w:ascii="宋体" w:hAnsi="宋体" w:eastAsia="宋体" w:cs="宋体"/>
          <w:color w:val="auto"/>
        </w:rPr>
        <w:t>年；</w:t>
      </w:r>
    </w:p>
    <w:p w14:paraId="3674B035">
      <w:pPr>
        <w:spacing w:line="360" w:lineRule="auto"/>
        <w:ind w:firstLine="420"/>
        <w:rPr>
          <w:rFonts w:hint="eastAsia" w:ascii="宋体" w:hAnsi="宋体" w:eastAsia="宋体" w:cs="宋体"/>
          <w:color w:val="auto"/>
        </w:rPr>
      </w:pPr>
      <w:r>
        <w:rPr>
          <w:rFonts w:hint="eastAsia" w:ascii="宋体" w:hAnsi="宋体" w:eastAsia="宋体" w:cs="宋体"/>
          <w:color w:val="auto"/>
        </w:rPr>
        <w:t>4．电气管线、给排水管道、设备安装工程为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1</w:t>
      </w:r>
      <w:r>
        <w:rPr>
          <w:rFonts w:hint="eastAsia" w:ascii="宋体" w:hAnsi="宋体" w:eastAsia="宋体" w:cs="宋体"/>
          <w:color w:val="auto"/>
          <w:u w:val="single"/>
        </w:rPr>
        <w:t xml:space="preserve">    </w:t>
      </w:r>
      <w:r>
        <w:rPr>
          <w:rFonts w:hint="eastAsia" w:ascii="宋体" w:hAnsi="宋体" w:eastAsia="宋体" w:cs="宋体"/>
          <w:color w:val="auto"/>
        </w:rPr>
        <w:t>年；</w:t>
      </w:r>
    </w:p>
    <w:p w14:paraId="7E9A6F64">
      <w:pPr>
        <w:spacing w:line="360" w:lineRule="auto"/>
        <w:ind w:firstLine="420"/>
        <w:rPr>
          <w:rFonts w:hint="eastAsia" w:ascii="宋体" w:hAnsi="宋体" w:eastAsia="宋体" w:cs="宋体"/>
          <w:color w:val="auto"/>
        </w:rPr>
      </w:pPr>
      <w:r>
        <w:rPr>
          <w:rFonts w:hint="eastAsia" w:ascii="宋体" w:hAnsi="宋体" w:eastAsia="宋体" w:cs="宋体"/>
          <w:color w:val="auto"/>
        </w:rPr>
        <w:t>5．供热与供冷系统为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1</w:t>
      </w:r>
      <w:r>
        <w:rPr>
          <w:rFonts w:hint="eastAsia" w:ascii="宋体" w:hAnsi="宋体" w:eastAsia="宋体" w:cs="宋体"/>
          <w:color w:val="auto"/>
          <w:u w:val="single"/>
        </w:rPr>
        <w:t xml:space="preserve">     </w:t>
      </w:r>
      <w:r>
        <w:rPr>
          <w:rFonts w:hint="eastAsia" w:ascii="宋体" w:hAnsi="宋体" w:eastAsia="宋体" w:cs="宋体"/>
          <w:color w:val="auto"/>
        </w:rPr>
        <w:t>个采暖期、供冷期；</w:t>
      </w:r>
    </w:p>
    <w:p w14:paraId="41148540">
      <w:pPr>
        <w:spacing w:line="360" w:lineRule="auto"/>
        <w:ind w:firstLine="420"/>
        <w:rPr>
          <w:rFonts w:hint="eastAsia" w:ascii="宋体" w:hAnsi="宋体" w:eastAsia="宋体" w:cs="宋体"/>
          <w:color w:val="auto"/>
        </w:rPr>
      </w:pPr>
      <w:r>
        <w:rPr>
          <w:rFonts w:hint="eastAsia" w:ascii="宋体" w:hAnsi="宋体" w:eastAsia="宋体" w:cs="宋体"/>
          <w:color w:val="auto"/>
        </w:rPr>
        <w:t>6．住宅小区内的给排水设施、道路等配套工程为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1</w:t>
      </w:r>
      <w:r>
        <w:rPr>
          <w:rFonts w:hint="eastAsia" w:ascii="宋体" w:hAnsi="宋体" w:eastAsia="宋体" w:cs="宋体"/>
          <w:color w:val="auto"/>
          <w:u w:val="single"/>
        </w:rPr>
        <w:t xml:space="preserve">     </w:t>
      </w:r>
      <w:r>
        <w:rPr>
          <w:rFonts w:hint="eastAsia" w:ascii="宋体" w:hAnsi="宋体" w:eastAsia="宋体" w:cs="宋体"/>
          <w:color w:val="auto"/>
        </w:rPr>
        <w:t>年；</w:t>
      </w:r>
    </w:p>
    <w:p w14:paraId="5337EBBF">
      <w:pPr>
        <w:spacing w:line="360" w:lineRule="auto"/>
        <w:ind w:firstLine="420"/>
        <w:rPr>
          <w:rFonts w:hint="eastAsia" w:ascii="宋体" w:hAnsi="宋体" w:eastAsia="宋体" w:cs="宋体"/>
          <w:color w:val="auto"/>
        </w:rPr>
      </w:pPr>
      <w:r>
        <w:rPr>
          <w:rFonts w:hint="eastAsia" w:ascii="宋体" w:hAnsi="宋体" w:eastAsia="宋体" w:cs="宋体"/>
          <w:color w:val="auto"/>
        </w:rPr>
        <w:t>7．其他项目保修期限约定如下：</w:t>
      </w:r>
    </w:p>
    <w:p w14:paraId="56FE7C56">
      <w:pPr>
        <w:spacing w:line="360" w:lineRule="auto"/>
        <w:ind w:firstLine="420"/>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cs="宋体"/>
          <w:color w:val="auto"/>
          <w:u w:val="single"/>
          <w:lang w:val="en-US" w:eastAsia="zh-CN"/>
        </w:rPr>
        <w:t>无</w:t>
      </w:r>
      <w:r>
        <w:rPr>
          <w:rFonts w:hint="eastAsia" w:ascii="宋体" w:hAnsi="宋体" w:eastAsia="宋体" w:cs="宋体"/>
          <w:color w:val="auto"/>
          <w:u w:val="single"/>
        </w:rPr>
        <w:t xml:space="preserve">                                       </w:t>
      </w:r>
      <w:r>
        <w:rPr>
          <w:rFonts w:hint="eastAsia" w:ascii="宋体" w:hAnsi="宋体" w:eastAsia="宋体" w:cs="宋体"/>
          <w:color w:val="auto"/>
        </w:rPr>
        <w:t>。</w:t>
      </w:r>
    </w:p>
    <w:p w14:paraId="686DAFC4">
      <w:pPr>
        <w:spacing w:line="360" w:lineRule="auto"/>
        <w:ind w:firstLine="420"/>
        <w:rPr>
          <w:rFonts w:hint="eastAsia" w:ascii="宋体" w:hAnsi="宋体" w:eastAsia="宋体" w:cs="宋体"/>
          <w:color w:val="auto"/>
        </w:rPr>
      </w:pPr>
      <w:r>
        <w:rPr>
          <w:rFonts w:hint="eastAsia" w:ascii="宋体" w:hAnsi="宋体" w:eastAsia="宋体" w:cs="宋体"/>
          <w:color w:val="auto"/>
        </w:rPr>
        <w:t>质量保修期自工程竣工验收合格之日起计算。</w:t>
      </w:r>
    </w:p>
    <w:p w14:paraId="03FBBE2E">
      <w:pPr>
        <w:spacing w:line="360" w:lineRule="auto"/>
        <w:ind w:firstLine="420"/>
        <w:rPr>
          <w:rFonts w:hint="eastAsia" w:ascii="宋体" w:hAnsi="宋体" w:eastAsia="宋体" w:cs="宋体"/>
          <w:color w:val="auto"/>
        </w:rPr>
      </w:pPr>
      <w:r>
        <w:rPr>
          <w:rFonts w:hint="eastAsia" w:ascii="宋体" w:hAnsi="宋体" w:eastAsia="宋体" w:cs="宋体"/>
          <w:color w:val="auto"/>
        </w:rPr>
        <w:t>三、缺陷责任期</w:t>
      </w:r>
    </w:p>
    <w:p w14:paraId="3FC568A4">
      <w:pPr>
        <w:spacing w:line="360" w:lineRule="auto"/>
        <w:ind w:firstLine="420"/>
        <w:rPr>
          <w:rFonts w:hint="eastAsia" w:ascii="宋体" w:hAnsi="宋体" w:eastAsia="宋体" w:cs="宋体"/>
          <w:color w:val="auto"/>
        </w:rPr>
      </w:pPr>
      <w:r>
        <w:rPr>
          <w:rFonts w:hint="eastAsia" w:ascii="宋体" w:hAnsi="宋体" w:eastAsia="宋体" w:cs="宋体"/>
          <w:color w:val="auto"/>
        </w:rPr>
        <w:t>工程缺陷责任期为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12</w:t>
      </w:r>
      <w:r>
        <w:rPr>
          <w:rFonts w:hint="eastAsia" w:ascii="宋体" w:hAnsi="宋体" w:eastAsia="宋体" w:cs="宋体"/>
          <w:color w:val="auto"/>
          <w:u w:val="single"/>
        </w:rPr>
        <w:t xml:space="preserve"> </w:t>
      </w:r>
      <w:r>
        <w:rPr>
          <w:rFonts w:hint="eastAsia" w:ascii="宋体" w:hAnsi="宋体" w:eastAsia="宋体" w:cs="宋体"/>
          <w:color w:val="auto"/>
        </w:rPr>
        <w:t>个月（最长不超过24个月），缺陷责任期自工程竣工验收合格之日起计算。单位工程先于全部工程进行验收，单位工程缺陷责任期自单位工程验收合格之日起算。</w:t>
      </w:r>
    </w:p>
    <w:p w14:paraId="494F61E1">
      <w:pPr>
        <w:spacing w:line="360" w:lineRule="auto"/>
        <w:ind w:firstLine="420"/>
        <w:rPr>
          <w:rFonts w:hint="eastAsia" w:ascii="宋体" w:hAnsi="宋体" w:eastAsia="宋体" w:cs="宋体"/>
          <w:color w:val="auto"/>
        </w:rPr>
      </w:pPr>
      <w:r>
        <w:rPr>
          <w:rFonts w:hint="eastAsia" w:ascii="宋体" w:hAnsi="宋体" w:eastAsia="宋体" w:cs="宋体"/>
          <w:color w:val="auto"/>
        </w:rPr>
        <w:t>缺陷责任期</w:t>
      </w:r>
      <w:r>
        <w:rPr>
          <w:rFonts w:hint="eastAsia" w:ascii="宋体" w:hAnsi="宋体" w:eastAsia="宋体" w:cs="宋体"/>
          <w:color w:val="auto"/>
          <w:u w:val="single"/>
        </w:rPr>
        <w:t>满</w:t>
      </w:r>
      <w:r>
        <w:rPr>
          <w:rFonts w:hint="eastAsia" w:ascii="宋体" w:hAnsi="宋体" w:eastAsia="宋体" w:cs="宋体"/>
          <w:color w:val="auto"/>
        </w:rPr>
        <w:t>之日起</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7</w:t>
      </w:r>
      <w:r>
        <w:rPr>
          <w:rFonts w:hint="eastAsia" w:ascii="宋体" w:hAnsi="宋体" w:eastAsia="宋体" w:cs="宋体"/>
          <w:color w:val="auto"/>
          <w:u w:val="single"/>
        </w:rPr>
        <w:t xml:space="preserve">  </w:t>
      </w:r>
      <w:r>
        <w:rPr>
          <w:rFonts w:hint="eastAsia" w:ascii="宋体" w:hAnsi="宋体" w:eastAsia="宋体" w:cs="宋体"/>
          <w:color w:val="auto"/>
        </w:rPr>
        <w:t>天</w:t>
      </w:r>
      <w:r>
        <w:rPr>
          <w:rFonts w:hint="eastAsia" w:ascii="宋体" w:hAnsi="宋体" w:eastAsia="宋体" w:cs="宋体"/>
          <w:color w:val="auto"/>
          <w:u w:val="single"/>
        </w:rPr>
        <w:t>（按合同约定期限），</w:t>
      </w:r>
      <w:r>
        <w:rPr>
          <w:rFonts w:hint="eastAsia" w:ascii="宋体" w:hAnsi="宋体" w:eastAsia="宋体" w:cs="宋体"/>
          <w:color w:val="auto"/>
        </w:rPr>
        <w:t>发包人应退还剩余的质量保证金。</w:t>
      </w:r>
    </w:p>
    <w:p w14:paraId="03841180">
      <w:pPr>
        <w:spacing w:line="360" w:lineRule="auto"/>
        <w:ind w:firstLine="420"/>
        <w:rPr>
          <w:rFonts w:hint="eastAsia" w:ascii="宋体" w:hAnsi="宋体" w:eastAsia="宋体" w:cs="宋体"/>
          <w:color w:val="auto"/>
        </w:rPr>
      </w:pPr>
      <w:r>
        <w:rPr>
          <w:rFonts w:hint="eastAsia" w:ascii="宋体" w:hAnsi="宋体" w:eastAsia="宋体" w:cs="宋体"/>
          <w:color w:val="auto"/>
        </w:rPr>
        <w:t>四、质量保修责任</w:t>
      </w:r>
    </w:p>
    <w:p w14:paraId="3761F6AE">
      <w:pPr>
        <w:spacing w:line="360" w:lineRule="auto"/>
        <w:ind w:left="105" w:leftChars="50" w:firstLine="430" w:firstLineChars="205"/>
        <w:rPr>
          <w:rFonts w:hint="eastAsia" w:ascii="宋体" w:hAnsi="宋体" w:eastAsia="宋体" w:cs="宋体"/>
          <w:color w:val="auto"/>
        </w:rPr>
      </w:pPr>
      <w:r>
        <w:rPr>
          <w:rFonts w:hint="eastAsia" w:ascii="宋体" w:hAnsi="宋体" w:eastAsia="宋体" w:cs="宋体"/>
          <w:color w:val="auto"/>
        </w:rPr>
        <w:t>1．属于保修范围、内容的项目，承包人应当在接到保修通知之日起</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3</w:t>
      </w:r>
      <w:r>
        <w:rPr>
          <w:rFonts w:hint="eastAsia" w:ascii="宋体" w:hAnsi="宋体" w:eastAsia="宋体" w:cs="宋体"/>
          <w:color w:val="auto"/>
          <w:u w:val="single"/>
        </w:rPr>
        <w:t xml:space="preserve">   </w:t>
      </w:r>
      <w:r>
        <w:rPr>
          <w:rFonts w:hint="eastAsia" w:ascii="宋体" w:hAnsi="宋体" w:eastAsia="宋体" w:cs="宋体"/>
          <w:color w:val="auto"/>
        </w:rPr>
        <w:t>天内派人保修。承包人不在约定期限内派人保修的，发包人可以委托他人修理，修理费用从质量保证金内扣除。</w:t>
      </w:r>
    </w:p>
    <w:p w14:paraId="322151F3">
      <w:pPr>
        <w:spacing w:line="360" w:lineRule="auto"/>
        <w:ind w:firstLine="420"/>
        <w:rPr>
          <w:rFonts w:hint="eastAsia" w:ascii="宋体" w:hAnsi="宋体" w:eastAsia="宋体" w:cs="宋体"/>
          <w:color w:val="auto"/>
        </w:rPr>
      </w:pPr>
      <w:r>
        <w:rPr>
          <w:rFonts w:hint="eastAsia" w:ascii="宋体" w:hAnsi="宋体" w:eastAsia="宋体" w:cs="宋体"/>
          <w:color w:val="auto"/>
        </w:rPr>
        <w:t>2．发生紧急事故需抢修的，承包人在接到事故通知后，应当立即到达事故现场抢修。</w:t>
      </w:r>
    </w:p>
    <w:p w14:paraId="272E2202">
      <w:pPr>
        <w:spacing w:line="360" w:lineRule="auto"/>
        <w:ind w:firstLine="420"/>
        <w:rPr>
          <w:rFonts w:hint="eastAsia" w:ascii="宋体" w:hAnsi="宋体" w:eastAsia="宋体" w:cs="宋体"/>
          <w:color w:val="auto"/>
        </w:rPr>
      </w:pPr>
      <w:r>
        <w:rPr>
          <w:rFonts w:hint="eastAsia" w:ascii="宋体" w:hAnsi="宋体" w:eastAsia="宋体" w:cs="宋体"/>
          <w:color w:val="auto"/>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64F7D46">
      <w:pPr>
        <w:spacing w:line="360" w:lineRule="auto"/>
        <w:ind w:firstLine="420"/>
        <w:rPr>
          <w:rFonts w:hint="eastAsia" w:ascii="宋体" w:hAnsi="宋体" w:eastAsia="宋体" w:cs="宋体"/>
          <w:color w:val="auto"/>
        </w:rPr>
      </w:pPr>
      <w:r>
        <w:rPr>
          <w:rFonts w:hint="eastAsia" w:ascii="宋体" w:hAnsi="宋体" w:eastAsia="宋体" w:cs="宋体"/>
          <w:color w:val="auto"/>
        </w:rPr>
        <w:t>4．质量保修完成后，由发包人组织验收。</w:t>
      </w:r>
    </w:p>
    <w:p w14:paraId="74AD8EAD">
      <w:pPr>
        <w:spacing w:line="360" w:lineRule="auto"/>
        <w:ind w:firstLine="420"/>
        <w:rPr>
          <w:rFonts w:hint="eastAsia" w:ascii="宋体" w:hAnsi="宋体" w:eastAsia="宋体" w:cs="宋体"/>
          <w:color w:val="auto"/>
        </w:rPr>
      </w:pPr>
      <w:r>
        <w:rPr>
          <w:rFonts w:hint="eastAsia" w:ascii="宋体" w:hAnsi="宋体" w:eastAsia="宋体" w:cs="宋体"/>
          <w:color w:val="auto"/>
        </w:rPr>
        <w:t>五、保修费用</w:t>
      </w:r>
    </w:p>
    <w:p w14:paraId="6C5954ED">
      <w:pPr>
        <w:tabs>
          <w:tab w:val="left" w:pos="7380"/>
        </w:tabs>
        <w:spacing w:line="360" w:lineRule="auto"/>
        <w:ind w:firstLine="420"/>
        <w:rPr>
          <w:rFonts w:hint="eastAsia" w:ascii="宋体" w:hAnsi="宋体" w:eastAsia="宋体" w:cs="宋体"/>
          <w:color w:val="auto"/>
        </w:rPr>
      </w:pPr>
      <w:r>
        <w:rPr>
          <w:rFonts w:hint="eastAsia" w:ascii="宋体" w:hAnsi="宋体" w:eastAsia="宋体" w:cs="宋体"/>
          <w:color w:val="auto"/>
        </w:rPr>
        <w:t>保修费用由造成质量缺陷的责任方承担。</w:t>
      </w:r>
    </w:p>
    <w:p w14:paraId="528607AA">
      <w:pPr>
        <w:spacing w:line="360" w:lineRule="auto"/>
        <w:ind w:firstLine="420"/>
        <w:rPr>
          <w:rFonts w:hint="eastAsia" w:ascii="宋体" w:hAnsi="宋体" w:eastAsia="宋体" w:cs="宋体"/>
          <w:color w:val="auto"/>
        </w:rPr>
      </w:pPr>
      <w:r>
        <w:rPr>
          <w:rFonts w:hint="eastAsia" w:ascii="宋体" w:hAnsi="宋体" w:eastAsia="宋体" w:cs="宋体"/>
          <w:color w:val="auto"/>
        </w:rPr>
        <w:t xml:space="preserve">六、双方约定的其他工程质量保修事项： </w:t>
      </w:r>
    </w:p>
    <w:p w14:paraId="3DD288F6">
      <w:pPr>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cs="宋体"/>
          <w:color w:val="auto"/>
          <w:u w:val="single"/>
          <w:lang w:val="en-US" w:eastAsia="zh-CN"/>
        </w:rPr>
        <w:t>无</w:t>
      </w:r>
      <w:r>
        <w:rPr>
          <w:rFonts w:hint="eastAsia" w:ascii="宋体" w:hAnsi="宋体" w:eastAsia="宋体" w:cs="宋体"/>
          <w:color w:val="auto"/>
          <w:u w:val="single"/>
        </w:rPr>
        <w:t xml:space="preserve">                             </w:t>
      </w:r>
      <w:r>
        <w:rPr>
          <w:rFonts w:hint="eastAsia" w:ascii="宋体" w:hAnsi="宋体" w:eastAsia="宋体" w:cs="宋体"/>
          <w:color w:val="auto"/>
        </w:rPr>
        <w:t>。</w:t>
      </w:r>
    </w:p>
    <w:p w14:paraId="19C6A219">
      <w:pPr>
        <w:spacing w:line="360" w:lineRule="auto"/>
        <w:ind w:firstLine="399" w:firstLineChars="190"/>
        <w:rPr>
          <w:rFonts w:hint="eastAsia" w:ascii="宋体" w:hAnsi="宋体" w:eastAsia="宋体" w:cs="宋体"/>
          <w:color w:val="auto"/>
        </w:rPr>
      </w:pPr>
      <w:r>
        <w:rPr>
          <w:rFonts w:hint="eastAsia" w:ascii="宋体" w:hAnsi="宋体" w:eastAsia="宋体" w:cs="宋体"/>
          <w:color w:val="auto"/>
        </w:rPr>
        <w:t>工程质量保修书由发包人、承包人在工程竣工验收前共同签署，作为施工合同附件，其有效期限至保修期满。</w:t>
      </w:r>
    </w:p>
    <w:p w14:paraId="55AC9F26">
      <w:pPr>
        <w:spacing w:line="360" w:lineRule="auto"/>
        <w:ind w:firstLine="420"/>
        <w:rPr>
          <w:rFonts w:hint="eastAsia" w:ascii="宋体" w:hAnsi="宋体" w:eastAsia="宋体" w:cs="宋体"/>
          <w:color w:val="auto"/>
        </w:rPr>
      </w:pPr>
    </w:p>
    <w:p w14:paraId="79F42B5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u w:val="single"/>
          <w:lang w:val="en-US" w:eastAsia="zh-CN"/>
        </w:rPr>
      </w:pPr>
      <w:r>
        <w:rPr>
          <w:rFonts w:hint="eastAsia" w:ascii="宋体" w:hAnsi="宋体" w:eastAsia="宋体" w:cs="宋体"/>
          <w:color w:val="auto"/>
        </w:rPr>
        <w:t>发包人（公章）：</w:t>
      </w:r>
      <w:r>
        <w:rPr>
          <w:rFonts w:hint="eastAsia" w:ascii="宋体" w:hAnsi="宋体" w:cs="宋体"/>
          <w:color w:val="auto"/>
          <w:u w:val="single"/>
          <w:lang w:val="en-US" w:eastAsia="zh-CN"/>
        </w:rPr>
        <w:t>广西壮族自治区桂东人民医院</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承包人（公章）：</w:t>
      </w:r>
      <w:r>
        <w:rPr>
          <w:rFonts w:hint="eastAsia" w:ascii="宋体" w:hAnsi="宋体" w:cs="宋体"/>
          <w:color w:val="auto"/>
          <w:u w:val="single"/>
          <w:lang w:val="en-US" w:eastAsia="zh-CN"/>
        </w:rPr>
        <w:t xml:space="preserve">  </w:t>
      </w:r>
    </w:p>
    <w:p w14:paraId="31DF1A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rPr>
        <w:t>地  址：</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梧州市西江四路</w:t>
      </w:r>
      <w:r>
        <w:rPr>
          <w:rFonts w:hint="eastAsia" w:ascii="宋体" w:hAnsi="宋体" w:eastAsia="宋体" w:cs="宋体"/>
          <w:color w:val="auto"/>
          <w:u w:val="single"/>
        </w:rPr>
        <w:t></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地  址：</w:t>
      </w:r>
      <w:r>
        <w:rPr>
          <w:rFonts w:hint="eastAsia" w:ascii="宋体" w:hAnsi="宋体" w:eastAsia="宋体" w:cs="宋体"/>
          <w:color w:val="auto"/>
          <w:sz w:val="18"/>
          <w:szCs w:val="18"/>
          <w:u w:val="single"/>
        </w:rPr>
        <w:t xml:space="preserve"> </w:t>
      </w:r>
    </w:p>
    <w:p w14:paraId="22A004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委托代理人（签字）：</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 xml:space="preserve"> 委托代理人（签字）：</w:t>
      </w:r>
      <w:r>
        <w:rPr>
          <w:rFonts w:hint="eastAsia" w:ascii="宋体" w:hAnsi="宋体" w:eastAsia="宋体" w:cs="宋体"/>
          <w:color w:val="auto"/>
          <w:u w:val="single"/>
        </w:rPr>
        <w:t>     </w:t>
      </w:r>
    </w:p>
    <w:p w14:paraId="7D1AC48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u w:val="single"/>
          <w:lang w:val="en-US" w:eastAsia="zh-CN"/>
        </w:rPr>
      </w:pPr>
      <w:r>
        <w:rPr>
          <w:rFonts w:hint="eastAsia" w:ascii="宋体" w:hAnsi="宋体" w:cs="宋体"/>
          <w:color w:val="auto"/>
          <w:lang w:val="en-US" w:eastAsia="zh-CN"/>
        </w:rPr>
        <w:t>日  期：</w:t>
      </w:r>
      <w:r>
        <w:rPr>
          <w:rFonts w:hint="eastAsia" w:ascii="宋体" w:hAnsi="宋体" w:cs="宋体"/>
          <w:color w:val="auto"/>
          <w:u w:val="single"/>
          <w:lang w:val="en-US" w:eastAsia="zh-CN"/>
        </w:rPr>
        <w:t xml:space="preserve">              </w:t>
      </w:r>
      <w:r>
        <w:rPr>
          <w:rFonts w:hint="eastAsia" w:ascii="宋体" w:hAnsi="宋体" w:cs="宋体"/>
          <w:color w:val="auto"/>
          <w:u w:val="none"/>
          <w:lang w:val="en-US" w:eastAsia="zh-CN"/>
        </w:rPr>
        <w:t xml:space="preserve">                       </w:t>
      </w:r>
      <w:r>
        <w:rPr>
          <w:rFonts w:hint="eastAsia" w:ascii="宋体" w:hAnsi="宋体" w:cs="宋体"/>
          <w:color w:val="auto"/>
          <w:lang w:val="en-US" w:eastAsia="zh-CN"/>
        </w:rPr>
        <w:t>日  期：</w:t>
      </w:r>
      <w:r>
        <w:rPr>
          <w:rFonts w:hint="eastAsia" w:ascii="宋体" w:hAnsi="宋体" w:cs="宋体"/>
          <w:color w:val="auto"/>
          <w:u w:val="single"/>
          <w:lang w:val="en-US" w:eastAsia="zh-CN"/>
        </w:rPr>
        <w:t xml:space="preserve">               </w:t>
      </w:r>
    </w:p>
    <w:p w14:paraId="57E019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电  话：</w:t>
      </w:r>
      <w:r>
        <w:rPr>
          <w:rFonts w:hint="eastAsia" w:ascii="宋体" w:hAnsi="宋体" w:eastAsia="宋体" w:cs="宋体"/>
          <w:color w:val="auto"/>
          <w:u w:val="single"/>
        </w:rPr>
        <w:t>0774-2020669</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电  话：</w:t>
      </w:r>
      <w:r>
        <w:rPr>
          <w:rFonts w:hint="eastAsia" w:ascii="宋体" w:hAnsi="宋体" w:eastAsia="宋体" w:cs="宋体"/>
          <w:color w:val="auto"/>
          <w:u w:val="single"/>
        </w:rPr>
        <w:t></w:t>
      </w:r>
      <w:r>
        <w:rPr>
          <w:rFonts w:hint="eastAsia" w:ascii="宋体" w:hAnsi="宋体" w:cs="宋体"/>
          <w:color w:val="auto"/>
          <w:u w:val="single"/>
          <w:lang w:val="en-US" w:eastAsia="zh-CN"/>
        </w:rPr>
        <w:t xml:space="preserve">   </w:t>
      </w:r>
      <w:r>
        <w:rPr>
          <w:rFonts w:hint="eastAsia" w:ascii="宋体" w:hAnsi="宋体" w:eastAsia="宋体" w:cs="宋体"/>
          <w:color w:val="auto"/>
          <w:u w:val="single"/>
        </w:rPr>
        <w:t></w:t>
      </w:r>
    </w:p>
    <w:p w14:paraId="70F844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rPr>
        <w:t>传  真：</w:t>
      </w:r>
      <w:r>
        <w:rPr>
          <w:rFonts w:hint="eastAsia" w:ascii="宋体" w:hAnsi="宋体" w:eastAsia="宋体" w:cs="宋体"/>
          <w:color w:val="auto"/>
          <w:u w:val="single"/>
        </w:rPr>
        <w:t></w:t>
      </w:r>
      <w:r>
        <w:rPr>
          <w:rFonts w:hint="eastAsia" w:ascii="宋体" w:hAnsi="宋体" w:cs="宋体"/>
          <w:color w:val="auto"/>
          <w:u w:val="single"/>
          <w:lang w:val="en-US" w:eastAsia="zh-CN"/>
        </w:rPr>
        <w:t>/</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传  真：</w:t>
      </w:r>
      <w:r>
        <w:rPr>
          <w:rFonts w:hint="eastAsia" w:ascii="宋体" w:hAnsi="宋体" w:eastAsia="宋体" w:cs="宋体"/>
          <w:color w:val="auto"/>
          <w:u w:val="single"/>
        </w:rPr>
        <w:t>   </w:t>
      </w:r>
      <w:r>
        <w:rPr>
          <w:rFonts w:hint="eastAsia" w:ascii="宋体" w:hAnsi="宋体" w:cs="宋体"/>
          <w:color w:val="auto"/>
          <w:u w:val="single"/>
          <w:lang w:val="en-US" w:eastAsia="zh-CN"/>
        </w:rPr>
        <w:t xml:space="preserve"> </w:t>
      </w:r>
    </w:p>
    <w:p w14:paraId="36E549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u w:val="single"/>
        </w:rPr>
      </w:pPr>
      <w:r>
        <w:rPr>
          <w:rFonts w:hint="eastAsia" w:ascii="宋体" w:hAnsi="宋体" w:eastAsia="宋体" w:cs="宋体"/>
          <w:color w:val="auto"/>
        </w:rPr>
        <w:t>开户银行：</w:t>
      </w:r>
      <w:r>
        <w:rPr>
          <w:rFonts w:hint="eastAsia" w:ascii="宋体" w:hAnsi="宋体" w:eastAsia="宋体" w:cs="宋体"/>
          <w:color w:val="auto"/>
          <w:u w:val="single"/>
        </w:rPr>
        <w:t>交通银行梧州分行营业部</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开户银行：</w:t>
      </w:r>
    </w:p>
    <w:p w14:paraId="0EC5BF89">
      <w:pPr>
        <w:keepNext w:val="0"/>
        <w:keepLines w:val="0"/>
        <w:pageBreakBefore w:val="0"/>
        <w:widowControl w:val="0"/>
        <w:tabs>
          <w:tab w:val="left" w:pos="2880"/>
          <w:tab w:val="left" w:pos="3060"/>
          <w:tab w:val="left" w:pos="4500"/>
        </w:tabs>
        <w:kinsoku/>
        <w:wordWrap/>
        <w:overflowPunct/>
        <w:topLinePunct w:val="0"/>
        <w:autoSpaceDE/>
        <w:autoSpaceDN/>
        <w:bidi w:val="0"/>
        <w:adjustRightInd/>
        <w:snapToGrid/>
        <w:spacing w:line="360" w:lineRule="auto"/>
        <w:textAlignment w:val="auto"/>
        <w:rPr>
          <w:rFonts w:hint="default" w:ascii="宋体" w:hAnsi="宋体" w:eastAsia="宋体" w:cs="宋体"/>
          <w:color w:val="auto"/>
          <w:u w:val="single"/>
          <w:lang w:val="en-US" w:eastAsia="zh-CN"/>
        </w:rPr>
      </w:pPr>
      <w:r>
        <w:rPr>
          <w:rFonts w:hint="eastAsia" w:ascii="宋体" w:hAnsi="宋体" w:eastAsia="宋体" w:cs="宋体"/>
          <w:color w:val="auto"/>
        </w:rPr>
        <w:t>账  号：</w:t>
      </w:r>
      <w:r>
        <w:rPr>
          <w:rFonts w:hint="eastAsia" w:ascii="宋体" w:hAnsi="宋体" w:eastAsia="宋体" w:cs="宋体"/>
          <w:color w:val="auto"/>
          <w:u w:val="single"/>
        </w:rPr>
        <w:t>454060900018150298388</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账  号：</w:t>
      </w:r>
      <w:r>
        <w:rPr>
          <w:rFonts w:hint="eastAsia" w:ascii="宋体" w:hAnsi="宋体" w:cs="宋体"/>
          <w:color w:val="auto"/>
          <w:u w:val="single"/>
          <w:lang w:val="en-US" w:eastAsia="zh-CN"/>
        </w:rPr>
        <w:t xml:space="preserve">      </w:t>
      </w:r>
    </w:p>
    <w:p w14:paraId="3D90A6A0">
      <w:pPr>
        <w:keepNext w:val="0"/>
        <w:keepLines w:val="0"/>
        <w:pageBreakBefore w:val="0"/>
        <w:widowControl w:val="0"/>
        <w:tabs>
          <w:tab w:val="left" w:pos="7200"/>
          <w:tab w:val="left" w:pos="7380"/>
          <w:tab w:val="left" w:pos="75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邮政编码：</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543000</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rPr>
        <w:t>邮政编码：</w:t>
      </w:r>
      <w:r>
        <w:rPr>
          <w:rFonts w:hint="eastAsia" w:ascii="宋体" w:hAnsi="宋体" w:eastAsia="宋体" w:cs="宋体"/>
          <w:color w:val="auto"/>
          <w:u w:val="single"/>
        </w:rPr>
        <w:t></w:t>
      </w:r>
    </w:p>
    <w:p w14:paraId="45AEDC52">
      <w:pPr>
        <w:spacing w:line="360" w:lineRule="auto"/>
        <w:ind w:left="2940" w:leftChars="1400"/>
        <w:rPr>
          <w:rFonts w:hint="eastAsia" w:ascii="宋体" w:hAnsi="宋体" w:eastAsia="宋体" w:cs="宋体"/>
          <w:sz w:val="24"/>
        </w:rPr>
      </w:pPr>
    </w:p>
    <w:sectPr>
      <w:footerReference r:id="rId5" w:type="first"/>
      <w:footerReference r:id="rId4" w:type="default"/>
      <w:pgSz w:w="11906" w:h="16838"/>
      <w:pgMar w:top="1134" w:right="1020" w:bottom="1020" w:left="107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BDCC0">
    <w:pPr>
      <w:pStyle w:val="30"/>
      <w:jc w:val="center"/>
    </w:pPr>
    <w:r>
      <w:fldChar w:fldCharType="begin"/>
    </w:r>
    <w:r>
      <w:instrText xml:space="preserve">PAGE   \* MERGEFORMAT</w:instrText>
    </w:r>
    <w:r>
      <w:fldChar w:fldCharType="separate"/>
    </w:r>
    <w:r>
      <w:rPr>
        <w:lang w:val="zh-CN"/>
      </w:rPr>
      <w:t>151</w:t>
    </w:r>
    <w:r>
      <w:fldChar w:fldCharType="end"/>
    </w:r>
  </w:p>
  <w:p w14:paraId="61AA6519">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5449">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48601A">
                          <w:pPr>
                            <w:pStyle w:val="3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Gu8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f+Gu8QBAACQAwAADgAAAAAAAAABACAAAAAeAQAAZHJzL2Uyb0RvYy54bWxQ&#10;SwUGAAAAAAYABgBZAQAAVAUAAAAA&#10;">
              <v:fill on="f" focussize="0,0"/>
              <v:stroke on="f"/>
              <v:imagedata o:title=""/>
              <o:lock v:ext="edit" aspectratio="f"/>
              <v:textbox inset="0mm,0mm,0mm,0mm" style="mso-fit-shape-to-text:t;">
                <w:txbxContent>
                  <w:p w14:paraId="7B48601A">
                    <w:pPr>
                      <w:pStyle w:val="3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D4273">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EAAA0"/>
    <w:multiLevelType w:val="singleLevel"/>
    <w:tmpl w:val="D38EAAA0"/>
    <w:lvl w:ilvl="0" w:tentative="0">
      <w:start w:val="2"/>
      <w:numFmt w:val="decimal"/>
      <w:suff w:val="space"/>
      <w:lvlText w:val="%1."/>
      <w:lvlJc w:val="left"/>
    </w:lvl>
  </w:abstractNum>
  <w:abstractNum w:abstractNumId="1">
    <w:nsid w:val="00000006"/>
    <w:multiLevelType w:val="singleLevel"/>
    <w:tmpl w:val="0000000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15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jE4Nzk1YzllM2JjNzZhYTQ1NzdkNzA4YjFmYzU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CC0"/>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3FCE"/>
    <w:rsid w:val="000141EA"/>
    <w:rsid w:val="00015111"/>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061"/>
    <w:rsid w:val="00024463"/>
    <w:rsid w:val="00025461"/>
    <w:rsid w:val="00025636"/>
    <w:rsid w:val="00025E36"/>
    <w:rsid w:val="000260F7"/>
    <w:rsid w:val="00026855"/>
    <w:rsid w:val="00026886"/>
    <w:rsid w:val="0002754F"/>
    <w:rsid w:val="0002785D"/>
    <w:rsid w:val="000307BE"/>
    <w:rsid w:val="00031DD0"/>
    <w:rsid w:val="00032633"/>
    <w:rsid w:val="000326A2"/>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B5E"/>
    <w:rsid w:val="000470CB"/>
    <w:rsid w:val="000506DE"/>
    <w:rsid w:val="000509D9"/>
    <w:rsid w:val="00051006"/>
    <w:rsid w:val="00051165"/>
    <w:rsid w:val="000512AF"/>
    <w:rsid w:val="00051ACB"/>
    <w:rsid w:val="000533E7"/>
    <w:rsid w:val="00053B29"/>
    <w:rsid w:val="00054B4B"/>
    <w:rsid w:val="000550E8"/>
    <w:rsid w:val="00055519"/>
    <w:rsid w:val="00055D41"/>
    <w:rsid w:val="00056EF6"/>
    <w:rsid w:val="000575CF"/>
    <w:rsid w:val="00057CD6"/>
    <w:rsid w:val="00060D7F"/>
    <w:rsid w:val="00060DCE"/>
    <w:rsid w:val="000610E3"/>
    <w:rsid w:val="000614F3"/>
    <w:rsid w:val="00061A1B"/>
    <w:rsid w:val="000623B4"/>
    <w:rsid w:val="00062405"/>
    <w:rsid w:val="00062EC2"/>
    <w:rsid w:val="00063107"/>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B9"/>
    <w:rsid w:val="00097183"/>
    <w:rsid w:val="000972CB"/>
    <w:rsid w:val="00097608"/>
    <w:rsid w:val="000A0E5B"/>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09A4"/>
    <w:rsid w:val="000C144E"/>
    <w:rsid w:val="000C1679"/>
    <w:rsid w:val="000C190E"/>
    <w:rsid w:val="000C1953"/>
    <w:rsid w:val="000C1BFE"/>
    <w:rsid w:val="000C1EE3"/>
    <w:rsid w:val="000C3AE7"/>
    <w:rsid w:val="000C3CC9"/>
    <w:rsid w:val="000C3DBC"/>
    <w:rsid w:val="000C5823"/>
    <w:rsid w:val="000C59C6"/>
    <w:rsid w:val="000C6DE4"/>
    <w:rsid w:val="000C7202"/>
    <w:rsid w:val="000C7432"/>
    <w:rsid w:val="000C7926"/>
    <w:rsid w:val="000D0A89"/>
    <w:rsid w:val="000D10F1"/>
    <w:rsid w:val="000D1389"/>
    <w:rsid w:val="000D1798"/>
    <w:rsid w:val="000D2626"/>
    <w:rsid w:val="000D264F"/>
    <w:rsid w:val="000D2BEF"/>
    <w:rsid w:val="000D2CD3"/>
    <w:rsid w:val="000D4016"/>
    <w:rsid w:val="000D411D"/>
    <w:rsid w:val="000D4589"/>
    <w:rsid w:val="000D4809"/>
    <w:rsid w:val="000D4FB6"/>
    <w:rsid w:val="000D5C29"/>
    <w:rsid w:val="000D6F6B"/>
    <w:rsid w:val="000D73DD"/>
    <w:rsid w:val="000E02E8"/>
    <w:rsid w:val="000E1C38"/>
    <w:rsid w:val="000E1C51"/>
    <w:rsid w:val="000E1D3E"/>
    <w:rsid w:val="000E28AB"/>
    <w:rsid w:val="000E2E3E"/>
    <w:rsid w:val="000E3583"/>
    <w:rsid w:val="000E3AF0"/>
    <w:rsid w:val="000E43EC"/>
    <w:rsid w:val="000E4DC7"/>
    <w:rsid w:val="000E4E04"/>
    <w:rsid w:val="000E592E"/>
    <w:rsid w:val="000E693B"/>
    <w:rsid w:val="000E6D5C"/>
    <w:rsid w:val="000E6EC9"/>
    <w:rsid w:val="000E6FB6"/>
    <w:rsid w:val="000E70B4"/>
    <w:rsid w:val="000E7B62"/>
    <w:rsid w:val="000E7EDC"/>
    <w:rsid w:val="000F085D"/>
    <w:rsid w:val="000F0E1E"/>
    <w:rsid w:val="000F1129"/>
    <w:rsid w:val="000F1A1B"/>
    <w:rsid w:val="000F2A95"/>
    <w:rsid w:val="000F2BB7"/>
    <w:rsid w:val="000F3281"/>
    <w:rsid w:val="000F32FD"/>
    <w:rsid w:val="000F3733"/>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30217"/>
    <w:rsid w:val="00130641"/>
    <w:rsid w:val="00130783"/>
    <w:rsid w:val="00130A47"/>
    <w:rsid w:val="00130FB0"/>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B9B"/>
    <w:rsid w:val="00141C9C"/>
    <w:rsid w:val="0014277F"/>
    <w:rsid w:val="00142AD2"/>
    <w:rsid w:val="001434BE"/>
    <w:rsid w:val="00143AAD"/>
    <w:rsid w:val="00144050"/>
    <w:rsid w:val="00144369"/>
    <w:rsid w:val="00144398"/>
    <w:rsid w:val="0014479F"/>
    <w:rsid w:val="001452B4"/>
    <w:rsid w:val="00145320"/>
    <w:rsid w:val="00145B3E"/>
    <w:rsid w:val="001476D3"/>
    <w:rsid w:val="001509CF"/>
    <w:rsid w:val="00150D1D"/>
    <w:rsid w:val="00151D18"/>
    <w:rsid w:val="001525AA"/>
    <w:rsid w:val="00152A87"/>
    <w:rsid w:val="00152AC1"/>
    <w:rsid w:val="00153A84"/>
    <w:rsid w:val="00153BB5"/>
    <w:rsid w:val="00154518"/>
    <w:rsid w:val="00154D26"/>
    <w:rsid w:val="001556B8"/>
    <w:rsid w:val="00156359"/>
    <w:rsid w:val="0015652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4E2"/>
    <w:rsid w:val="00181813"/>
    <w:rsid w:val="00181EAD"/>
    <w:rsid w:val="00182862"/>
    <w:rsid w:val="00182FBD"/>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7C9"/>
    <w:rsid w:val="001B59FF"/>
    <w:rsid w:val="001B5D13"/>
    <w:rsid w:val="001B6512"/>
    <w:rsid w:val="001B65D7"/>
    <w:rsid w:val="001B6752"/>
    <w:rsid w:val="001B6768"/>
    <w:rsid w:val="001B6F1F"/>
    <w:rsid w:val="001B6F35"/>
    <w:rsid w:val="001B7ECC"/>
    <w:rsid w:val="001C025B"/>
    <w:rsid w:val="001C059D"/>
    <w:rsid w:val="001C115F"/>
    <w:rsid w:val="001C1DED"/>
    <w:rsid w:val="001C1EAB"/>
    <w:rsid w:val="001C25A7"/>
    <w:rsid w:val="001C2775"/>
    <w:rsid w:val="001C2A1D"/>
    <w:rsid w:val="001C318C"/>
    <w:rsid w:val="001C35C4"/>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D7D81"/>
    <w:rsid w:val="001E129E"/>
    <w:rsid w:val="001E175C"/>
    <w:rsid w:val="001E1B0E"/>
    <w:rsid w:val="001E308A"/>
    <w:rsid w:val="001E38EC"/>
    <w:rsid w:val="001E3B63"/>
    <w:rsid w:val="001E57B2"/>
    <w:rsid w:val="001E5A94"/>
    <w:rsid w:val="001E5CBB"/>
    <w:rsid w:val="001E5CDC"/>
    <w:rsid w:val="001E6CE9"/>
    <w:rsid w:val="001E7416"/>
    <w:rsid w:val="001F13FD"/>
    <w:rsid w:val="001F2A2E"/>
    <w:rsid w:val="001F3180"/>
    <w:rsid w:val="001F3356"/>
    <w:rsid w:val="001F3A99"/>
    <w:rsid w:val="001F3C63"/>
    <w:rsid w:val="001F4141"/>
    <w:rsid w:val="001F4460"/>
    <w:rsid w:val="001F4833"/>
    <w:rsid w:val="001F6C96"/>
    <w:rsid w:val="001F711A"/>
    <w:rsid w:val="001F75B0"/>
    <w:rsid w:val="001F7CBE"/>
    <w:rsid w:val="0020057C"/>
    <w:rsid w:val="0020083C"/>
    <w:rsid w:val="00200CE5"/>
    <w:rsid w:val="00200F7C"/>
    <w:rsid w:val="002014AC"/>
    <w:rsid w:val="002014DB"/>
    <w:rsid w:val="0020150B"/>
    <w:rsid w:val="00201E12"/>
    <w:rsid w:val="00202295"/>
    <w:rsid w:val="002033B5"/>
    <w:rsid w:val="0020382C"/>
    <w:rsid w:val="002042E9"/>
    <w:rsid w:val="0020437A"/>
    <w:rsid w:val="0020454C"/>
    <w:rsid w:val="00204740"/>
    <w:rsid w:val="00205129"/>
    <w:rsid w:val="0020521F"/>
    <w:rsid w:val="0020532C"/>
    <w:rsid w:val="00206AE8"/>
    <w:rsid w:val="002114C7"/>
    <w:rsid w:val="00211A7B"/>
    <w:rsid w:val="0021302C"/>
    <w:rsid w:val="002139F1"/>
    <w:rsid w:val="00213B1C"/>
    <w:rsid w:val="00213F1E"/>
    <w:rsid w:val="00214202"/>
    <w:rsid w:val="002148E3"/>
    <w:rsid w:val="00214C1A"/>
    <w:rsid w:val="0021552D"/>
    <w:rsid w:val="002156AE"/>
    <w:rsid w:val="0021577B"/>
    <w:rsid w:val="00215DC7"/>
    <w:rsid w:val="00215E99"/>
    <w:rsid w:val="00217B07"/>
    <w:rsid w:val="00217C26"/>
    <w:rsid w:val="00220043"/>
    <w:rsid w:val="0022054D"/>
    <w:rsid w:val="0022107B"/>
    <w:rsid w:val="00221805"/>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55B"/>
    <w:rsid w:val="00227C56"/>
    <w:rsid w:val="00227F2D"/>
    <w:rsid w:val="00227F52"/>
    <w:rsid w:val="00231851"/>
    <w:rsid w:val="002319FB"/>
    <w:rsid w:val="00231B89"/>
    <w:rsid w:val="00231F11"/>
    <w:rsid w:val="00231F5E"/>
    <w:rsid w:val="00233395"/>
    <w:rsid w:val="002346B4"/>
    <w:rsid w:val="00234F6E"/>
    <w:rsid w:val="002351FA"/>
    <w:rsid w:val="002355BE"/>
    <w:rsid w:val="002358EA"/>
    <w:rsid w:val="0023609B"/>
    <w:rsid w:val="00236578"/>
    <w:rsid w:val="00236A10"/>
    <w:rsid w:val="00236DE9"/>
    <w:rsid w:val="00237342"/>
    <w:rsid w:val="00237D5A"/>
    <w:rsid w:val="002407BA"/>
    <w:rsid w:val="00240922"/>
    <w:rsid w:val="00240D75"/>
    <w:rsid w:val="00240F92"/>
    <w:rsid w:val="00241288"/>
    <w:rsid w:val="002412E4"/>
    <w:rsid w:val="002415AE"/>
    <w:rsid w:val="00241B38"/>
    <w:rsid w:val="00241BC7"/>
    <w:rsid w:val="00241D3C"/>
    <w:rsid w:val="00242109"/>
    <w:rsid w:val="00242B6B"/>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8A8"/>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5A12"/>
    <w:rsid w:val="00266165"/>
    <w:rsid w:val="00266F2C"/>
    <w:rsid w:val="002678D0"/>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6FB5"/>
    <w:rsid w:val="00287763"/>
    <w:rsid w:val="00290606"/>
    <w:rsid w:val="002908D0"/>
    <w:rsid w:val="002909B2"/>
    <w:rsid w:val="00291D6D"/>
    <w:rsid w:val="00291FF1"/>
    <w:rsid w:val="00292AA2"/>
    <w:rsid w:val="00293361"/>
    <w:rsid w:val="00293B47"/>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C16"/>
    <w:rsid w:val="002B1BA5"/>
    <w:rsid w:val="002B1E01"/>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3424"/>
    <w:rsid w:val="002D46AB"/>
    <w:rsid w:val="002D4AC6"/>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16DD"/>
    <w:rsid w:val="002F199D"/>
    <w:rsid w:val="002F213C"/>
    <w:rsid w:val="002F2453"/>
    <w:rsid w:val="002F2607"/>
    <w:rsid w:val="002F30BD"/>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2EFC"/>
    <w:rsid w:val="00303243"/>
    <w:rsid w:val="00303BCC"/>
    <w:rsid w:val="00303F2B"/>
    <w:rsid w:val="00303F8D"/>
    <w:rsid w:val="0030572D"/>
    <w:rsid w:val="0030586A"/>
    <w:rsid w:val="00305A5E"/>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569"/>
    <w:rsid w:val="00315A65"/>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30C9"/>
    <w:rsid w:val="0033342D"/>
    <w:rsid w:val="0033364C"/>
    <w:rsid w:val="00334415"/>
    <w:rsid w:val="0033481F"/>
    <w:rsid w:val="00335EA1"/>
    <w:rsid w:val="0033691E"/>
    <w:rsid w:val="00336A6A"/>
    <w:rsid w:val="00336CCB"/>
    <w:rsid w:val="003411D1"/>
    <w:rsid w:val="003416BA"/>
    <w:rsid w:val="00342148"/>
    <w:rsid w:val="00342658"/>
    <w:rsid w:val="003427BE"/>
    <w:rsid w:val="00342F99"/>
    <w:rsid w:val="00343AEA"/>
    <w:rsid w:val="00344D99"/>
    <w:rsid w:val="0034575A"/>
    <w:rsid w:val="00345F1D"/>
    <w:rsid w:val="00345F57"/>
    <w:rsid w:val="0034698A"/>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6D82"/>
    <w:rsid w:val="003570BB"/>
    <w:rsid w:val="00357128"/>
    <w:rsid w:val="0035755E"/>
    <w:rsid w:val="00357A80"/>
    <w:rsid w:val="00360116"/>
    <w:rsid w:val="00361441"/>
    <w:rsid w:val="00361B8B"/>
    <w:rsid w:val="00363F39"/>
    <w:rsid w:val="003640FC"/>
    <w:rsid w:val="0036445C"/>
    <w:rsid w:val="00364627"/>
    <w:rsid w:val="00364AB0"/>
    <w:rsid w:val="00364D71"/>
    <w:rsid w:val="003667B0"/>
    <w:rsid w:val="003667DD"/>
    <w:rsid w:val="00366B48"/>
    <w:rsid w:val="00366D71"/>
    <w:rsid w:val="003674FB"/>
    <w:rsid w:val="00367721"/>
    <w:rsid w:val="00367764"/>
    <w:rsid w:val="00370316"/>
    <w:rsid w:val="00370DC7"/>
    <w:rsid w:val="003713D7"/>
    <w:rsid w:val="003714AC"/>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BB9"/>
    <w:rsid w:val="003861F0"/>
    <w:rsid w:val="00387051"/>
    <w:rsid w:val="003876F0"/>
    <w:rsid w:val="00387E7A"/>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E2"/>
    <w:rsid w:val="003A1431"/>
    <w:rsid w:val="003A1936"/>
    <w:rsid w:val="003A1A94"/>
    <w:rsid w:val="003A1FF5"/>
    <w:rsid w:val="003A204E"/>
    <w:rsid w:val="003A2B19"/>
    <w:rsid w:val="003A2D25"/>
    <w:rsid w:val="003A2DB1"/>
    <w:rsid w:val="003A5101"/>
    <w:rsid w:val="003A51BE"/>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A90"/>
    <w:rsid w:val="003B3D01"/>
    <w:rsid w:val="003B534F"/>
    <w:rsid w:val="003B7A79"/>
    <w:rsid w:val="003C0FE1"/>
    <w:rsid w:val="003C151A"/>
    <w:rsid w:val="003C1D27"/>
    <w:rsid w:val="003C33A0"/>
    <w:rsid w:val="003C350C"/>
    <w:rsid w:val="003C3733"/>
    <w:rsid w:val="003C3903"/>
    <w:rsid w:val="003C3BA0"/>
    <w:rsid w:val="003C4580"/>
    <w:rsid w:val="003C51C0"/>
    <w:rsid w:val="003C5C5E"/>
    <w:rsid w:val="003C65D3"/>
    <w:rsid w:val="003C6692"/>
    <w:rsid w:val="003C6746"/>
    <w:rsid w:val="003C7555"/>
    <w:rsid w:val="003C7898"/>
    <w:rsid w:val="003D0FF5"/>
    <w:rsid w:val="003D11A3"/>
    <w:rsid w:val="003D1537"/>
    <w:rsid w:val="003D183C"/>
    <w:rsid w:val="003D214B"/>
    <w:rsid w:val="003D2D1B"/>
    <w:rsid w:val="003D3558"/>
    <w:rsid w:val="003D36C0"/>
    <w:rsid w:val="003D40E5"/>
    <w:rsid w:val="003D48C7"/>
    <w:rsid w:val="003D4C27"/>
    <w:rsid w:val="003D7109"/>
    <w:rsid w:val="003D7CE8"/>
    <w:rsid w:val="003E0514"/>
    <w:rsid w:val="003E0BAA"/>
    <w:rsid w:val="003E1032"/>
    <w:rsid w:val="003E1904"/>
    <w:rsid w:val="003E285E"/>
    <w:rsid w:val="003E2BD8"/>
    <w:rsid w:val="003E3124"/>
    <w:rsid w:val="003E3300"/>
    <w:rsid w:val="003E3BC7"/>
    <w:rsid w:val="003E43D3"/>
    <w:rsid w:val="003E48E1"/>
    <w:rsid w:val="003E50F4"/>
    <w:rsid w:val="003E59BB"/>
    <w:rsid w:val="003E6225"/>
    <w:rsid w:val="003E65AC"/>
    <w:rsid w:val="003E66AE"/>
    <w:rsid w:val="003E6CFE"/>
    <w:rsid w:val="003E72B9"/>
    <w:rsid w:val="003E7612"/>
    <w:rsid w:val="003E7ED4"/>
    <w:rsid w:val="003F0187"/>
    <w:rsid w:val="003F0CAA"/>
    <w:rsid w:val="003F0E52"/>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1F3"/>
    <w:rsid w:val="0041582F"/>
    <w:rsid w:val="00415AC9"/>
    <w:rsid w:val="00415CF3"/>
    <w:rsid w:val="00415F5B"/>
    <w:rsid w:val="00416112"/>
    <w:rsid w:val="004167AD"/>
    <w:rsid w:val="0041716A"/>
    <w:rsid w:val="00417A18"/>
    <w:rsid w:val="00417AE0"/>
    <w:rsid w:val="00417BAA"/>
    <w:rsid w:val="0042042B"/>
    <w:rsid w:val="00420B45"/>
    <w:rsid w:val="00420D7A"/>
    <w:rsid w:val="00421257"/>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2BE"/>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68C9"/>
    <w:rsid w:val="004371D5"/>
    <w:rsid w:val="0043773F"/>
    <w:rsid w:val="00437FBF"/>
    <w:rsid w:val="0044006B"/>
    <w:rsid w:val="0044033F"/>
    <w:rsid w:val="00440576"/>
    <w:rsid w:val="00440630"/>
    <w:rsid w:val="00440E07"/>
    <w:rsid w:val="0044142F"/>
    <w:rsid w:val="00441F0F"/>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735"/>
    <w:rsid w:val="00461FC2"/>
    <w:rsid w:val="004632B9"/>
    <w:rsid w:val="00464AB7"/>
    <w:rsid w:val="00465DE5"/>
    <w:rsid w:val="00466103"/>
    <w:rsid w:val="00467852"/>
    <w:rsid w:val="00467A83"/>
    <w:rsid w:val="00467EF8"/>
    <w:rsid w:val="00470006"/>
    <w:rsid w:val="00470611"/>
    <w:rsid w:val="00470848"/>
    <w:rsid w:val="00471AC3"/>
    <w:rsid w:val="00472429"/>
    <w:rsid w:val="004725E5"/>
    <w:rsid w:val="00472751"/>
    <w:rsid w:val="00473128"/>
    <w:rsid w:val="004748A5"/>
    <w:rsid w:val="00475078"/>
    <w:rsid w:val="00475767"/>
    <w:rsid w:val="004779A0"/>
    <w:rsid w:val="00477F17"/>
    <w:rsid w:val="00480363"/>
    <w:rsid w:val="004808E3"/>
    <w:rsid w:val="00481016"/>
    <w:rsid w:val="00481DEA"/>
    <w:rsid w:val="0048204C"/>
    <w:rsid w:val="004821BB"/>
    <w:rsid w:val="0048237A"/>
    <w:rsid w:val="004826FE"/>
    <w:rsid w:val="004827D5"/>
    <w:rsid w:val="00482AF2"/>
    <w:rsid w:val="004830C9"/>
    <w:rsid w:val="00483347"/>
    <w:rsid w:val="00483E2E"/>
    <w:rsid w:val="00484B69"/>
    <w:rsid w:val="00485406"/>
    <w:rsid w:val="0048590F"/>
    <w:rsid w:val="004864D4"/>
    <w:rsid w:val="00486D60"/>
    <w:rsid w:val="00486DBC"/>
    <w:rsid w:val="00491FA1"/>
    <w:rsid w:val="00492A25"/>
    <w:rsid w:val="004938A3"/>
    <w:rsid w:val="004950A6"/>
    <w:rsid w:val="0049558B"/>
    <w:rsid w:val="00496254"/>
    <w:rsid w:val="00496350"/>
    <w:rsid w:val="004974A4"/>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E54"/>
    <w:rsid w:val="004B722E"/>
    <w:rsid w:val="004B72E8"/>
    <w:rsid w:val="004B771A"/>
    <w:rsid w:val="004C01A5"/>
    <w:rsid w:val="004C0412"/>
    <w:rsid w:val="004C0882"/>
    <w:rsid w:val="004C0D7C"/>
    <w:rsid w:val="004C2138"/>
    <w:rsid w:val="004C2B69"/>
    <w:rsid w:val="004C302E"/>
    <w:rsid w:val="004C3940"/>
    <w:rsid w:val="004C51FD"/>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B54"/>
    <w:rsid w:val="004D5C03"/>
    <w:rsid w:val="004D5D45"/>
    <w:rsid w:val="004D618D"/>
    <w:rsid w:val="004D62A9"/>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500258"/>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338"/>
    <w:rsid w:val="0052655D"/>
    <w:rsid w:val="005265E0"/>
    <w:rsid w:val="00526BC3"/>
    <w:rsid w:val="00527A23"/>
    <w:rsid w:val="00530064"/>
    <w:rsid w:val="00530440"/>
    <w:rsid w:val="00530FF0"/>
    <w:rsid w:val="005313CA"/>
    <w:rsid w:val="00531761"/>
    <w:rsid w:val="0053248F"/>
    <w:rsid w:val="005327AB"/>
    <w:rsid w:val="00532F9C"/>
    <w:rsid w:val="00533055"/>
    <w:rsid w:val="0053332A"/>
    <w:rsid w:val="0053358A"/>
    <w:rsid w:val="005338AB"/>
    <w:rsid w:val="00534668"/>
    <w:rsid w:val="005348CA"/>
    <w:rsid w:val="00534DDD"/>
    <w:rsid w:val="00535291"/>
    <w:rsid w:val="00535A94"/>
    <w:rsid w:val="0053686A"/>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F78"/>
    <w:rsid w:val="00555C46"/>
    <w:rsid w:val="00555DA1"/>
    <w:rsid w:val="005562FB"/>
    <w:rsid w:val="00556731"/>
    <w:rsid w:val="00556BF7"/>
    <w:rsid w:val="00556E53"/>
    <w:rsid w:val="00557F60"/>
    <w:rsid w:val="00560D81"/>
    <w:rsid w:val="00561730"/>
    <w:rsid w:val="00561B97"/>
    <w:rsid w:val="00562149"/>
    <w:rsid w:val="0056248C"/>
    <w:rsid w:val="0056362D"/>
    <w:rsid w:val="005640EB"/>
    <w:rsid w:val="00565559"/>
    <w:rsid w:val="005666A4"/>
    <w:rsid w:val="00567B5D"/>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B77"/>
    <w:rsid w:val="00590D9A"/>
    <w:rsid w:val="005913A3"/>
    <w:rsid w:val="00591A5A"/>
    <w:rsid w:val="00592C40"/>
    <w:rsid w:val="00593B28"/>
    <w:rsid w:val="005940D4"/>
    <w:rsid w:val="00594A7B"/>
    <w:rsid w:val="0059580E"/>
    <w:rsid w:val="00595D90"/>
    <w:rsid w:val="00596A6F"/>
    <w:rsid w:val="00596D11"/>
    <w:rsid w:val="00596FCE"/>
    <w:rsid w:val="005A0300"/>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20"/>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77D2"/>
    <w:rsid w:val="005B7BDA"/>
    <w:rsid w:val="005C0195"/>
    <w:rsid w:val="005C019B"/>
    <w:rsid w:val="005C08D0"/>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D02E3"/>
    <w:rsid w:val="005D1F34"/>
    <w:rsid w:val="005D2C1F"/>
    <w:rsid w:val="005D34B2"/>
    <w:rsid w:val="005D3B54"/>
    <w:rsid w:val="005D3E28"/>
    <w:rsid w:val="005D40CD"/>
    <w:rsid w:val="005D4C6F"/>
    <w:rsid w:val="005D6B59"/>
    <w:rsid w:val="005D71C3"/>
    <w:rsid w:val="005D74D2"/>
    <w:rsid w:val="005D784B"/>
    <w:rsid w:val="005D7B90"/>
    <w:rsid w:val="005E00AF"/>
    <w:rsid w:val="005E03E4"/>
    <w:rsid w:val="005E0454"/>
    <w:rsid w:val="005E05F6"/>
    <w:rsid w:val="005E19CF"/>
    <w:rsid w:val="005E1B9D"/>
    <w:rsid w:val="005E1BDA"/>
    <w:rsid w:val="005E1FE5"/>
    <w:rsid w:val="005E2442"/>
    <w:rsid w:val="005E2768"/>
    <w:rsid w:val="005E3111"/>
    <w:rsid w:val="005E3CA0"/>
    <w:rsid w:val="005E3D25"/>
    <w:rsid w:val="005E3D9E"/>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1F58"/>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2"/>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8A"/>
    <w:rsid w:val="00626AF1"/>
    <w:rsid w:val="00626FCA"/>
    <w:rsid w:val="006270AF"/>
    <w:rsid w:val="00632F83"/>
    <w:rsid w:val="00634367"/>
    <w:rsid w:val="00635E8A"/>
    <w:rsid w:val="006364D7"/>
    <w:rsid w:val="00636554"/>
    <w:rsid w:val="006367E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4BAE"/>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7A8"/>
    <w:rsid w:val="00672CA5"/>
    <w:rsid w:val="006735A2"/>
    <w:rsid w:val="00673711"/>
    <w:rsid w:val="00673CDA"/>
    <w:rsid w:val="00673F82"/>
    <w:rsid w:val="00674F74"/>
    <w:rsid w:val="0067508F"/>
    <w:rsid w:val="00676B25"/>
    <w:rsid w:val="00677576"/>
    <w:rsid w:val="0068051E"/>
    <w:rsid w:val="00680B9D"/>
    <w:rsid w:val="00680DF1"/>
    <w:rsid w:val="00681F13"/>
    <w:rsid w:val="0068231C"/>
    <w:rsid w:val="00682344"/>
    <w:rsid w:val="00682772"/>
    <w:rsid w:val="00682C87"/>
    <w:rsid w:val="00682F28"/>
    <w:rsid w:val="00683515"/>
    <w:rsid w:val="00683CA4"/>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8F3"/>
    <w:rsid w:val="006D2E9D"/>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B0A"/>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F018A"/>
    <w:rsid w:val="006F0760"/>
    <w:rsid w:val="006F0D30"/>
    <w:rsid w:val="006F11E2"/>
    <w:rsid w:val="006F1A50"/>
    <w:rsid w:val="006F1A67"/>
    <w:rsid w:val="006F2574"/>
    <w:rsid w:val="006F3231"/>
    <w:rsid w:val="006F3BEF"/>
    <w:rsid w:val="006F3DE3"/>
    <w:rsid w:val="006F4787"/>
    <w:rsid w:val="006F57E6"/>
    <w:rsid w:val="006F61D8"/>
    <w:rsid w:val="006F62B7"/>
    <w:rsid w:val="006F63E7"/>
    <w:rsid w:val="006F70BC"/>
    <w:rsid w:val="006F726C"/>
    <w:rsid w:val="006F7A22"/>
    <w:rsid w:val="006F7E7C"/>
    <w:rsid w:val="0070174E"/>
    <w:rsid w:val="007018DB"/>
    <w:rsid w:val="00701DE6"/>
    <w:rsid w:val="00702740"/>
    <w:rsid w:val="007028E3"/>
    <w:rsid w:val="00703407"/>
    <w:rsid w:val="0070381B"/>
    <w:rsid w:val="00706759"/>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E54"/>
    <w:rsid w:val="00717280"/>
    <w:rsid w:val="0072033C"/>
    <w:rsid w:val="00720B1B"/>
    <w:rsid w:val="00721062"/>
    <w:rsid w:val="00721D3D"/>
    <w:rsid w:val="00721E5D"/>
    <w:rsid w:val="007229D4"/>
    <w:rsid w:val="00722E35"/>
    <w:rsid w:val="007230F8"/>
    <w:rsid w:val="007233F4"/>
    <w:rsid w:val="007235E3"/>
    <w:rsid w:val="0072381D"/>
    <w:rsid w:val="00723A10"/>
    <w:rsid w:val="00724044"/>
    <w:rsid w:val="00724120"/>
    <w:rsid w:val="007243F2"/>
    <w:rsid w:val="007248D3"/>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5DC1"/>
    <w:rsid w:val="007362CC"/>
    <w:rsid w:val="0073792F"/>
    <w:rsid w:val="00740C81"/>
    <w:rsid w:val="00740DA6"/>
    <w:rsid w:val="0074197B"/>
    <w:rsid w:val="00741B4B"/>
    <w:rsid w:val="00741D1E"/>
    <w:rsid w:val="00741DD6"/>
    <w:rsid w:val="00741EE2"/>
    <w:rsid w:val="0074207F"/>
    <w:rsid w:val="00742118"/>
    <w:rsid w:val="00742367"/>
    <w:rsid w:val="00742EAA"/>
    <w:rsid w:val="00742F80"/>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8AD"/>
    <w:rsid w:val="0076504E"/>
    <w:rsid w:val="0076721D"/>
    <w:rsid w:val="0076767E"/>
    <w:rsid w:val="00767BFD"/>
    <w:rsid w:val="00767EA0"/>
    <w:rsid w:val="0077068F"/>
    <w:rsid w:val="00771EDF"/>
    <w:rsid w:val="00772530"/>
    <w:rsid w:val="00772A90"/>
    <w:rsid w:val="00772F8D"/>
    <w:rsid w:val="0077301A"/>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2811"/>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55DA"/>
    <w:rsid w:val="00796C05"/>
    <w:rsid w:val="00796F65"/>
    <w:rsid w:val="007A11C2"/>
    <w:rsid w:val="007A1781"/>
    <w:rsid w:val="007A18BB"/>
    <w:rsid w:val="007A2489"/>
    <w:rsid w:val="007A27DD"/>
    <w:rsid w:val="007A41BF"/>
    <w:rsid w:val="007A490A"/>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C61"/>
    <w:rsid w:val="007C00B9"/>
    <w:rsid w:val="007C0525"/>
    <w:rsid w:val="007C06DB"/>
    <w:rsid w:val="007C07DE"/>
    <w:rsid w:val="007C13F7"/>
    <w:rsid w:val="007C1D77"/>
    <w:rsid w:val="007C218D"/>
    <w:rsid w:val="007C2590"/>
    <w:rsid w:val="007C2D28"/>
    <w:rsid w:val="007C3E22"/>
    <w:rsid w:val="007C58C1"/>
    <w:rsid w:val="007C5B39"/>
    <w:rsid w:val="007C6218"/>
    <w:rsid w:val="007C6484"/>
    <w:rsid w:val="007C67C6"/>
    <w:rsid w:val="007C78BE"/>
    <w:rsid w:val="007C79A5"/>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4DB"/>
    <w:rsid w:val="007E194F"/>
    <w:rsid w:val="007E201B"/>
    <w:rsid w:val="007E250B"/>
    <w:rsid w:val="007E2EE9"/>
    <w:rsid w:val="007E32A3"/>
    <w:rsid w:val="007E32DA"/>
    <w:rsid w:val="007E4998"/>
    <w:rsid w:val="007E4A9C"/>
    <w:rsid w:val="007E5248"/>
    <w:rsid w:val="007E5C4F"/>
    <w:rsid w:val="007E5C92"/>
    <w:rsid w:val="007E6914"/>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2C44"/>
    <w:rsid w:val="008135E1"/>
    <w:rsid w:val="00813779"/>
    <w:rsid w:val="00813792"/>
    <w:rsid w:val="00813AA2"/>
    <w:rsid w:val="00813E26"/>
    <w:rsid w:val="00814321"/>
    <w:rsid w:val="0081481D"/>
    <w:rsid w:val="00814BE8"/>
    <w:rsid w:val="00814D94"/>
    <w:rsid w:val="00814F6E"/>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906"/>
    <w:rsid w:val="00836075"/>
    <w:rsid w:val="00836417"/>
    <w:rsid w:val="0083698A"/>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295"/>
    <w:rsid w:val="0085788B"/>
    <w:rsid w:val="00857A9E"/>
    <w:rsid w:val="00857D1F"/>
    <w:rsid w:val="00857DE2"/>
    <w:rsid w:val="0086003D"/>
    <w:rsid w:val="00860F07"/>
    <w:rsid w:val="00860F11"/>
    <w:rsid w:val="00861D63"/>
    <w:rsid w:val="0086358C"/>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678E3"/>
    <w:rsid w:val="0087110C"/>
    <w:rsid w:val="0087121C"/>
    <w:rsid w:val="00871FD2"/>
    <w:rsid w:val="00872084"/>
    <w:rsid w:val="00872827"/>
    <w:rsid w:val="00872A32"/>
    <w:rsid w:val="00873653"/>
    <w:rsid w:val="00874911"/>
    <w:rsid w:val="008754E4"/>
    <w:rsid w:val="00876EAE"/>
    <w:rsid w:val="00877305"/>
    <w:rsid w:val="00877983"/>
    <w:rsid w:val="00880106"/>
    <w:rsid w:val="00880F95"/>
    <w:rsid w:val="00881EE2"/>
    <w:rsid w:val="00882910"/>
    <w:rsid w:val="00882B44"/>
    <w:rsid w:val="008838AD"/>
    <w:rsid w:val="00885381"/>
    <w:rsid w:val="0088572B"/>
    <w:rsid w:val="00885BC9"/>
    <w:rsid w:val="008864B3"/>
    <w:rsid w:val="008865E5"/>
    <w:rsid w:val="0088682F"/>
    <w:rsid w:val="00886900"/>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4AF0"/>
    <w:rsid w:val="008B502F"/>
    <w:rsid w:val="008B54FD"/>
    <w:rsid w:val="008B5692"/>
    <w:rsid w:val="008B5F31"/>
    <w:rsid w:val="008B6CE5"/>
    <w:rsid w:val="008B6DFC"/>
    <w:rsid w:val="008B7227"/>
    <w:rsid w:val="008C02FB"/>
    <w:rsid w:val="008C04E0"/>
    <w:rsid w:val="008C09C0"/>
    <w:rsid w:val="008C191C"/>
    <w:rsid w:val="008C1DA4"/>
    <w:rsid w:val="008C2138"/>
    <w:rsid w:val="008C2608"/>
    <w:rsid w:val="008C2774"/>
    <w:rsid w:val="008C29B0"/>
    <w:rsid w:val="008C2CD5"/>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7C8"/>
    <w:rsid w:val="008E5FB9"/>
    <w:rsid w:val="008E6540"/>
    <w:rsid w:val="008E6A1C"/>
    <w:rsid w:val="008E6FBE"/>
    <w:rsid w:val="008E77D4"/>
    <w:rsid w:val="008E7ADD"/>
    <w:rsid w:val="008F091F"/>
    <w:rsid w:val="008F1548"/>
    <w:rsid w:val="008F17B2"/>
    <w:rsid w:val="008F22B3"/>
    <w:rsid w:val="008F357B"/>
    <w:rsid w:val="008F366E"/>
    <w:rsid w:val="008F3B56"/>
    <w:rsid w:val="008F44CA"/>
    <w:rsid w:val="008F49D3"/>
    <w:rsid w:val="008F5B69"/>
    <w:rsid w:val="008F6519"/>
    <w:rsid w:val="008F6F4C"/>
    <w:rsid w:val="008F7012"/>
    <w:rsid w:val="008F7ADA"/>
    <w:rsid w:val="008F7B17"/>
    <w:rsid w:val="00900042"/>
    <w:rsid w:val="0090034B"/>
    <w:rsid w:val="0090087C"/>
    <w:rsid w:val="00900D2F"/>
    <w:rsid w:val="00901121"/>
    <w:rsid w:val="00901B50"/>
    <w:rsid w:val="00902623"/>
    <w:rsid w:val="00902A67"/>
    <w:rsid w:val="00902C5E"/>
    <w:rsid w:val="0090303D"/>
    <w:rsid w:val="00904BE4"/>
    <w:rsid w:val="0090504A"/>
    <w:rsid w:val="009051F5"/>
    <w:rsid w:val="00905221"/>
    <w:rsid w:val="0090530B"/>
    <w:rsid w:val="00905664"/>
    <w:rsid w:val="00905A7C"/>
    <w:rsid w:val="00905D7E"/>
    <w:rsid w:val="00907037"/>
    <w:rsid w:val="00907259"/>
    <w:rsid w:val="00907929"/>
    <w:rsid w:val="00910577"/>
    <w:rsid w:val="00910C5D"/>
    <w:rsid w:val="0091112C"/>
    <w:rsid w:val="009113F2"/>
    <w:rsid w:val="0091160A"/>
    <w:rsid w:val="00911945"/>
    <w:rsid w:val="009128A9"/>
    <w:rsid w:val="00912A06"/>
    <w:rsid w:val="00912E04"/>
    <w:rsid w:val="00913258"/>
    <w:rsid w:val="00913851"/>
    <w:rsid w:val="00913BB0"/>
    <w:rsid w:val="0091456C"/>
    <w:rsid w:val="00914C58"/>
    <w:rsid w:val="00914D78"/>
    <w:rsid w:val="009151FC"/>
    <w:rsid w:val="009153D3"/>
    <w:rsid w:val="0091564D"/>
    <w:rsid w:val="009156DA"/>
    <w:rsid w:val="00915774"/>
    <w:rsid w:val="00916BC5"/>
    <w:rsid w:val="0091726A"/>
    <w:rsid w:val="00917C01"/>
    <w:rsid w:val="00920184"/>
    <w:rsid w:val="00920421"/>
    <w:rsid w:val="00920EA4"/>
    <w:rsid w:val="00921792"/>
    <w:rsid w:val="00921BEA"/>
    <w:rsid w:val="009227BE"/>
    <w:rsid w:val="009238FD"/>
    <w:rsid w:val="00923998"/>
    <w:rsid w:val="00923DB4"/>
    <w:rsid w:val="0092420B"/>
    <w:rsid w:val="0092430E"/>
    <w:rsid w:val="00924451"/>
    <w:rsid w:val="00925466"/>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6BA"/>
    <w:rsid w:val="0094286B"/>
    <w:rsid w:val="009432E2"/>
    <w:rsid w:val="00944668"/>
    <w:rsid w:val="00944DC6"/>
    <w:rsid w:val="00945829"/>
    <w:rsid w:val="009458B0"/>
    <w:rsid w:val="00945B52"/>
    <w:rsid w:val="00945B7A"/>
    <w:rsid w:val="00945F05"/>
    <w:rsid w:val="00945FE0"/>
    <w:rsid w:val="00946348"/>
    <w:rsid w:val="00946B10"/>
    <w:rsid w:val="00947070"/>
    <w:rsid w:val="00947224"/>
    <w:rsid w:val="00947797"/>
    <w:rsid w:val="009478A2"/>
    <w:rsid w:val="00947942"/>
    <w:rsid w:val="00950181"/>
    <w:rsid w:val="00950865"/>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728"/>
    <w:rsid w:val="009608E6"/>
    <w:rsid w:val="00960F57"/>
    <w:rsid w:val="00961669"/>
    <w:rsid w:val="00961C90"/>
    <w:rsid w:val="00962A26"/>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3772"/>
    <w:rsid w:val="0097560A"/>
    <w:rsid w:val="009759A3"/>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9E4"/>
    <w:rsid w:val="00985D7F"/>
    <w:rsid w:val="00987812"/>
    <w:rsid w:val="00990225"/>
    <w:rsid w:val="00991307"/>
    <w:rsid w:val="00991FAA"/>
    <w:rsid w:val="00992A13"/>
    <w:rsid w:val="00993DB1"/>
    <w:rsid w:val="00994AAD"/>
    <w:rsid w:val="00995150"/>
    <w:rsid w:val="00995D67"/>
    <w:rsid w:val="00997613"/>
    <w:rsid w:val="009A013B"/>
    <w:rsid w:val="009A02F4"/>
    <w:rsid w:val="009A06BF"/>
    <w:rsid w:val="009A0D17"/>
    <w:rsid w:val="009A2494"/>
    <w:rsid w:val="009A32B1"/>
    <w:rsid w:val="009A33A3"/>
    <w:rsid w:val="009A36F2"/>
    <w:rsid w:val="009A3942"/>
    <w:rsid w:val="009A4073"/>
    <w:rsid w:val="009A40C3"/>
    <w:rsid w:val="009A40D5"/>
    <w:rsid w:val="009A5268"/>
    <w:rsid w:val="009A5621"/>
    <w:rsid w:val="009A57D0"/>
    <w:rsid w:val="009A6559"/>
    <w:rsid w:val="009A68FC"/>
    <w:rsid w:val="009A6CE4"/>
    <w:rsid w:val="009A7514"/>
    <w:rsid w:val="009A7665"/>
    <w:rsid w:val="009A7E7A"/>
    <w:rsid w:val="009B0925"/>
    <w:rsid w:val="009B1584"/>
    <w:rsid w:val="009B18F0"/>
    <w:rsid w:val="009B1F4C"/>
    <w:rsid w:val="009B2203"/>
    <w:rsid w:val="009B2471"/>
    <w:rsid w:val="009B314F"/>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3EE6"/>
    <w:rsid w:val="009C5314"/>
    <w:rsid w:val="009C5AFE"/>
    <w:rsid w:val="009C6606"/>
    <w:rsid w:val="009C6CE5"/>
    <w:rsid w:val="009C6D50"/>
    <w:rsid w:val="009C72B2"/>
    <w:rsid w:val="009C7547"/>
    <w:rsid w:val="009D05EC"/>
    <w:rsid w:val="009D18D4"/>
    <w:rsid w:val="009D1FCF"/>
    <w:rsid w:val="009D2F60"/>
    <w:rsid w:val="009D3A2E"/>
    <w:rsid w:val="009D4C2E"/>
    <w:rsid w:val="009D5ADE"/>
    <w:rsid w:val="009D5BAC"/>
    <w:rsid w:val="009D5C56"/>
    <w:rsid w:val="009D6265"/>
    <w:rsid w:val="009D64BD"/>
    <w:rsid w:val="009D6B1E"/>
    <w:rsid w:val="009D6CB1"/>
    <w:rsid w:val="009E0286"/>
    <w:rsid w:val="009E153F"/>
    <w:rsid w:val="009E18C5"/>
    <w:rsid w:val="009E2B98"/>
    <w:rsid w:val="009E322A"/>
    <w:rsid w:val="009E3483"/>
    <w:rsid w:val="009E368B"/>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223"/>
    <w:rsid w:val="00A03842"/>
    <w:rsid w:val="00A04394"/>
    <w:rsid w:val="00A0464C"/>
    <w:rsid w:val="00A050BB"/>
    <w:rsid w:val="00A05128"/>
    <w:rsid w:val="00A0521B"/>
    <w:rsid w:val="00A054E0"/>
    <w:rsid w:val="00A05D91"/>
    <w:rsid w:val="00A0740B"/>
    <w:rsid w:val="00A07ED3"/>
    <w:rsid w:val="00A10162"/>
    <w:rsid w:val="00A10A81"/>
    <w:rsid w:val="00A10CA8"/>
    <w:rsid w:val="00A10D5A"/>
    <w:rsid w:val="00A11042"/>
    <w:rsid w:val="00A12579"/>
    <w:rsid w:val="00A12CDC"/>
    <w:rsid w:val="00A12E1D"/>
    <w:rsid w:val="00A133D8"/>
    <w:rsid w:val="00A13553"/>
    <w:rsid w:val="00A13F58"/>
    <w:rsid w:val="00A14382"/>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FC0"/>
    <w:rsid w:val="00A468C7"/>
    <w:rsid w:val="00A46B7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9D8"/>
    <w:rsid w:val="00A575B8"/>
    <w:rsid w:val="00A6020A"/>
    <w:rsid w:val="00A60CE7"/>
    <w:rsid w:val="00A60CF8"/>
    <w:rsid w:val="00A619BB"/>
    <w:rsid w:val="00A61C60"/>
    <w:rsid w:val="00A61ECB"/>
    <w:rsid w:val="00A63FE9"/>
    <w:rsid w:val="00A6410C"/>
    <w:rsid w:val="00A647B1"/>
    <w:rsid w:val="00A64DEF"/>
    <w:rsid w:val="00A65311"/>
    <w:rsid w:val="00A654D2"/>
    <w:rsid w:val="00A665DF"/>
    <w:rsid w:val="00A671B4"/>
    <w:rsid w:val="00A673F1"/>
    <w:rsid w:val="00A674DB"/>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5D"/>
    <w:rsid w:val="00A81ECA"/>
    <w:rsid w:val="00A82764"/>
    <w:rsid w:val="00A8311C"/>
    <w:rsid w:val="00A835D0"/>
    <w:rsid w:val="00A83821"/>
    <w:rsid w:val="00A84150"/>
    <w:rsid w:val="00A84761"/>
    <w:rsid w:val="00A84C5F"/>
    <w:rsid w:val="00A85240"/>
    <w:rsid w:val="00A85930"/>
    <w:rsid w:val="00A863F7"/>
    <w:rsid w:val="00A86604"/>
    <w:rsid w:val="00A86ACC"/>
    <w:rsid w:val="00A87519"/>
    <w:rsid w:val="00A90213"/>
    <w:rsid w:val="00A905A5"/>
    <w:rsid w:val="00A90870"/>
    <w:rsid w:val="00A9246D"/>
    <w:rsid w:val="00A92CCA"/>
    <w:rsid w:val="00A93BD0"/>
    <w:rsid w:val="00A93CC2"/>
    <w:rsid w:val="00A94D4B"/>
    <w:rsid w:val="00A956AC"/>
    <w:rsid w:val="00A95A90"/>
    <w:rsid w:val="00A974CC"/>
    <w:rsid w:val="00A97EE7"/>
    <w:rsid w:val="00A97FC3"/>
    <w:rsid w:val="00AA0A68"/>
    <w:rsid w:val="00AA1F34"/>
    <w:rsid w:val="00AA2001"/>
    <w:rsid w:val="00AA2B5C"/>
    <w:rsid w:val="00AA32D2"/>
    <w:rsid w:val="00AA33AA"/>
    <w:rsid w:val="00AA3B8B"/>
    <w:rsid w:val="00AA4016"/>
    <w:rsid w:val="00AA4C1F"/>
    <w:rsid w:val="00AA5328"/>
    <w:rsid w:val="00AA5393"/>
    <w:rsid w:val="00AA63D4"/>
    <w:rsid w:val="00AA6559"/>
    <w:rsid w:val="00AB03FD"/>
    <w:rsid w:val="00AB09B8"/>
    <w:rsid w:val="00AB199F"/>
    <w:rsid w:val="00AB1C40"/>
    <w:rsid w:val="00AB2000"/>
    <w:rsid w:val="00AB21CC"/>
    <w:rsid w:val="00AB2C06"/>
    <w:rsid w:val="00AB38CB"/>
    <w:rsid w:val="00AB3BEC"/>
    <w:rsid w:val="00AB4080"/>
    <w:rsid w:val="00AB44E4"/>
    <w:rsid w:val="00AB4AEB"/>
    <w:rsid w:val="00AB4E5F"/>
    <w:rsid w:val="00AB5352"/>
    <w:rsid w:val="00AB56AE"/>
    <w:rsid w:val="00AB62D5"/>
    <w:rsid w:val="00AB65B5"/>
    <w:rsid w:val="00AB6DCD"/>
    <w:rsid w:val="00AB6EE0"/>
    <w:rsid w:val="00AB71D6"/>
    <w:rsid w:val="00AB7D43"/>
    <w:rsid w:val="00AB7F2C"/>
    <w:rsid w:val="00AC022E"/>
    <w:rsid w:val="00AC17A2"/>
    <w:rsid w:val="00AC18C7"/>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0D57"/>
    <w:rsid w:val="00AD1119"/>
    <w:rsid w:val="00AD1315"/>
    <w:rsid w:val="00AD23EF"/>
    <w:rsid w:val="00AD2662"/>
    <w:rsid w:val="00AD307B"/>
    <w:rsid w:val="00AD36D2"/>
    <w:rsid w:val="00AD3992"/>
    <w:rsid w:val="00AD4014"/>
    <w:rsid w:val="00AD41B3"/>
    <w:rsid w:val="00AD5721"/>
    <w:rsid w:val="00AD5F7F"/>
    <w:rsid w:val="00AD69F0"/>
    <w:rsid w:val="00AD7127"/>
    <w:rsid w:val="00AD730C"/>
    <w:rsid w:val="00AE0F90"/>
    <w:rsid w:val="00AE123A"/>
    <w:rsid w:val="00AE1539"/>
    <w:rsid w:val="00AE28A7"/>
    <w:rsid w:val="00AE2A98"/>
    <w:rsid w:val="00AE2CF2"/>
    <w:rsid w:val="00AE2F19"/>
    <w:rsid w:val="00AE3012"/>
    <w:rsid w:val="00AE3297"/>
    <w:rsid w:val="00AE33A6"/>
    <w:rsid w:val="00AE3513"/>
    <w:rsid w:val="00AE3729"/>
    <w:rsid w:val="00AE3C81"/>
    <w:rsid w:val="00AE49C1"/>
    <w:rsid w:val="00AE4A3E"/>
    <w:rsid w:val="00AE4CCE"/>
    <w:rsid w:val="00AE5C6A"/>
    <w:rsid w:val="00AE7058"/>
    <w:rsid w:val="00AE7280"/>
    <w:rsid w:val="00AE7B5F"/>
    <w:rsid w:val="00AF01FA"/>
    <w:rsid w:val="00AF033A"/>
    <w:rsid w:val="00AF118E"/>
    <w:rsid w:val="00AF1658"/>
    <w:rsid w:val="00AF1699"/>
    <w:rsid w:val="00AF18D1"/>
    <w:rsid w:val="00AF1BA4"/>
    <w:rsid w:val="00AF1FD3"/>
    <w:rsid w:val="00AF2775"/>
    <w:rsid w:val="00AF2910"/>
    <w:rsid w:val="00AF34B8"/>
    <w:rsid w:val="00AF3896"/>
    <w:rsid w:val="00AF39C9"/>
    <w:rsid w:val="00AF3F97"/>
    <w:rsid w:val="00AF3FC2"/>
    <w:rsid w:val="00AF4DEC"/>
    <w:rsid w:val="00AF6B57"/>
    <w:rsid w:val="00B003FF"/>
    <w:rsid w:val="00B0098A"/>
    <w:rsid w:val="00B00A5F"/>
    <w:rsid w:val="00B00F37"/>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1AE5"/>
    <w:rsid w:val="00B120F3"/>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652"/>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531"/>
    <w:rsid w:val="00B419EA"/>
    <w:rsid w:val="00B42264"/>
    <w:rsid w:val="00B434B2"/>
    <w:rsid w:val="00B43B9E"/>
    <w:rsid w:val="00B43D45"/>
    <w:rsid w:val="00B459AF"/>
    <w:rsid w:val="00B468F2"/>
    <w:rsid w:val="00B469DE"/>
    <w:rsid w:val="00B47286"/>
    <w:rsid w:val="00B47EB4"/>
    <w:rsid w:val="00B50234"/>
    <w:rsid w:val="00B5052F"/>
    <w:rsid w:val="00B51641"/>
    <w:rsid w:val="00B51BF4"/>
    <w:rsid w:val="00B52279"/>
    <w:rsid w:val="00B522D7"/>
    <w:rsid w:val="00B527AD"/>
    <w:rsid w:val="00B52C68"/>
    <w:rsid w:val="00B5372B"/>
    <w:rsid w:val="00B542FE"/>
    <w:rsid w:val="00B54360"/>
    <w:rsid w:val="00B55A1B"/>
    <w:rsid w:val="00B561DB"/>
    <w:rsid w:val="00B5645C"/>
    <w:rsid w:val="00B56DF9"/>
    <w:rsid w:val="00B56E80"/>
    <w:rsid w:val="00B571F1"/>
    <w:rsid w:val="00B600BD"/>
    <w:rsid w:val="00B60E4E"/>
    <w:rsid w:val="00B61274"/>
    <w:rsid w:val="00B61DCE"/>
    <w:rsid w:val="00B62188"/>
    <w:rsid w:val="00B621D6"/>
    <w:rsid w:val="00B622E3"/>
    <w:rsid w:val="00B62F79"/>
    <w:rsid w:val="00B62F82"/>
    <w:rsid w:val="00B63028"/>
    <w:rsid w:val="00B6306A"/>
    <w:rsid w:val="00B635E3"/>
    <w:rsid w:val="00B64B9A"/>
    <w:rsid w:val="00B65646"/>
    <w:rsid w:val="00B662FF"/>
    <w:rsid w:val="00B665B8"/>
    <w:rsid w:val="00B665F6"/>
    <w:rsid w:val="00B66679"/>
    <w:rsid w:val="00B70145"/>
    <w:rsid w:val="00B701C9"/>
    <w:rsid w:val="00B710AD"/>
    <w:rsid w:val="00B71288"/>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575"/>
    <w:rsid w:val="00B902A5"/>
    <w:rsid w:val="00B90420"/>
    <w:rsid w:val="00B90848"/>
    <w:rsid w:val="00B91146"/>
    <w:rsid w:val="00B913E4"/>
    <w:rsid w:val="00B91DB9"/>
    <w:rsid w:val="00B91FF3"/>
    <w:rsid w:val="00B925F8"/>
    <w:rsid w:val="00B9330A"/>
    <w:rsid w:val="00B93EFE"/>
    <w:rsid w:val="00B944B9"/>
    <w:rsid w:val="00B94956"/>
    <w:rsid w:val="00B94C7F"/>
    <w:rsid w:val="00B94E93"/>
    <w:rsid w:val="00B956B5"/>
    <w:rsid w:val="00B95956"/>
    <w:rsid w:val="00B95ABC"/>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577D"/>
    <w:rsid w:val="00BC588C"/>
    <w:rsid w:val="00BC6E73"/>
    <w:rsid w:val="00BC74D3"/>
    <w:rsid w:val="00BC7AC5"/>
    <w:rsid w:val="00BD0014"/>
    <w:rsid w:val="00BD01D8"/>
    <w:rsid w:val="00BD255F"/>
    <w:rsid w:val="00BD2895"/>
    <w:rsid w:val="00BD3194"/>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6A9E"/>
    <w:rsid w:val="00BF7695"/>
    <w:rsid w:val="00BF775D"/>
    <w:rsid w:val="00BF79B4"/>
    <w:rsid w:val="00BF7C61"/>
    <w:rsid w:val="00C00366"/>
    <w:rsid w:val="00C01427"/>
    <w:rsid w:val="00C014C7"/>
    <w:rsid w:val="00C031CF"/>
    <w:rsid w:val="00C047AB"/>
    <w:rsid w:val="00C058AF"/>
    <w:rsid w:val="00C075B6"/>
    <w:rsid w:val="00C10027"/>
    <w:rsid w:val="00C124C1"/>
    <w:rsid w:val="00C128AE"/>
    <w:rsid w:val="00C12BA8"/>
    <w:rsid w:val="00C13094"/>
    <w:rsid w:val="00C136D6"/>
    <w:rsid w:val="00C13D5B"/>
    <w:rsid w:val="00C141D7"/>
    <w:rsid w:val="00C1711B"/>
    <w:rsid w:val="00C17AE2"/>
    <w:rsid w:val="00C20140"/>
    <w:rsid w:val="00C20CD6"/>
    <w:rsid w:val="00C20F27"/>
    <w:rsid w:val="00C213E0"/>
    <w:rsid w:val="00C215CF"/>
    <w:rsid w:val="00C219C3"/>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7027"/>
    <w:rsid w:val="00C373BF"/>
    <w:rsid w:val="00C37B15"/>
    <w:rsid w:val="00C37B19"/>
    <w:rsid w:val="00C41349"/>
    <w:rsid w:val="00C413CB"/>
    <w:rsid w:val="00C41558"/>
    <w:rsid w:val="00C42752"/>
    <w:rsid w:val="00C42973"/>
    <w:rsid w:val="00C43426"/>
    <w:rsid w:val="00C4443A"/>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68A1"/>
    <w:rsid w:val="00C67223"/>
    <w:rsid w:val="00C707B8"/>
    <w:rsid w:val="00C712AC"/>
    <w:rsid w:val="00C7158C"/>
    <w:rsid w:val="00C71C15"/>
    <w:rsid w:val="00C71F3D"/>
    <w:rsid w:val="00C72F53"/>
    <w:rsid w:val="00C72FF7"/>
    <w:rsid w:val="00C74035"/>
    <w:rsid w:val="00C748EA"/>
    <w:rsid w:val="00C76FB0"/>
    <w:rsid w:val="00C77818"/>
    <w:rsid w:val="00C8063F"/>
    <w:rsid w:val="00C81282"/>
    <w:rsid w:val="00C8155F"/>
    <w:rsid w:val="00C8198D"/>
    <w:rsid w:val="00C82167"/>
    <w:rsid w:val="00C827B4"/>
    <w:rsid w:val="00C831FE"/>
    <w:rsid w:val="00C83214"/>
    <w:rsid w:val="00C8329F"/>
    <w:rsid w:val="00C84E65"/>
    <w:rsid w:val="00C84F8A"/>
    <w:rsid w:val="00C85BA4"/>
    <w:rsid w:val="00C8618F"/>
    <w:rsid w:val="00C8625D"/>
    <w:rsid w:val="00C865AD"/>
    <w:rsid w:val="00C86612"/>
    <w:rsid w:val="00C87402"/>
    <w:rsid w:val="00C90372"/>
    <w:rsid w:val="00C9041F"/>
    <w:rsid w:val="00C915CA"/>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CA7"/>
    <w:rsid w:val="00CA7FB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A04"/>
    <w:rsid w:val="00CB7DDE"/>
    <w:rsid w:val="00CC0A3D"/>
    <w:rsid w:val="00CC2FF0"/>
    <w:rsid w:val="00CC313F"/>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6666"/>
    <w:rsid w:val="00CD72C5"/>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81A"/>
    <w:rsid w:val="00CE7B08"/>
    <w:rsid w:val="00CE7B7A"/>
    <w:rsid w:val="00CE7D52"/>
    <w:rsid w:val="00CF0AAA"/>
    <w:rsid w:val="00CF0AB7"/>
    <w:rsid w:val="00CF1D74"/>
    <w:rsid w:val="00CF2BE2"/>
    <w:rsid w:val="00CF371A"/>
    <w:rsid w:val="00CF3791"/>
    <w:rsid w:val="00CF37C2"/>
    <w:rsid w:val="00CF3DE4"/>
    <w:rsid w:val="00CF3DEB"/>
    <w:rsid w:val="00CF55F9"/>
    <w:rsid w:val="00CF578D"/>
    <w:rsid w:val="00CF7074"/>
    <w:rsid w:val="00CF7495"/>
    <w:rsid w:val="00CF76D6"/>
    <w:rsid w:val="00D01CF9"/>
    <w:rsid w:val="00D021E8"/>
    <w:rsid w:val="00D0334D"/>
    <w:rsid w:val="00D0374D"/>
    <w:rsid w:val="00D06312"/>
    <w:rsid w:val="00D06D7B"/>
    <w:rsid w:val="00D06DA5"/>
    <w:rsid w:val="00D07191"/>
    <w:rsid w:val="00D07319"/>
    <w:rsid w:val="00D07F1D"/>
    <w:rsid w:val="00D10558"/>
    <w:rsid w:val="00D10EE8"/>
    <w:rsid w:val="00D11140"/>
    <w:rsid w:val="00D11739"/>
    <w:rsid w:val="00D119A6"/>
    <w:rsid w:val="00D11D4D"/>
    <w:rsid w:val="00D11DB1"/>
    <w:rsid w:val="00D126DC"/>
    <w:rsid w:val="00D12B03"/>
    <w:rsid w:val="00D13E70"/>
    <w:rsid w:val="00D13EE7"/>
    <w:rsid w:val="00D147BE"/>
    <w:rsid w:val="00D148A0"/>
    <w:rsid w:val="00D15ECD"/>
    <w:rsid w:val="00D15FCD"/>
    <w:rsid w:val="00D16C58"/>
    <w:rsid w:val="00D17019"/>
    <w:rsid w:val="00D1705A"/>
    <w:rsid w:val="00D17ABA"/>
    <w:rsid w:val="00D17FC8"/>
    <w:rsid w:val="00D2008F"/>
    <w:rsid w:val="00D2015B"/>
    <w:rsid w:val="00D207E7"/>
    <w:rsid w:val="00D20B44"/>
    <w:rsid w:val="00D21168"/>
    <w:rsid w:val="00D21C3A"/>
    <w:rsid w:val="00D2224A"/>
    <w:rsid w:val="00D2385D"/>
    <w:rsid w:val="00D23FF4"/>
    <w:rsid w:val="00D2438C"/>
    <w:rsid w:val="00D2585A"/>
    <w:rsid w:val="00D25920"/>
    <w:rsid w:val="00D259B0"/>
    <w:rsid w:val="00D259C2"/>
    <w:rsid w:val="00D26C3F"/>
    <w:rsid w:val="00D27185"/>
    <w:rsid w:val="00D3028A"/>
    <w:rsid w:val="00D30E98"/>
    <w:rsid w:val="00D3125C"/>
    <w:rsid w:val="00D31ACD"/>
    <w:rsid w:val="00D32436"/>
    <w:rsid w:val="00D33488"/>
    <w:rsid w:val="00D33AB3"/>
    <w:rsid w:val="00D33F24"/>
    <w:rsid w:val="00D34160"/>
    <w:rsid w:val="00D346B8"/>
    <w:rsid w:val="00D34DCA"/>
    <w:rsid w:val="00D35AC8"/>
    <w:rsid w:val="00D360A7"/>
    <w:rsid w:val="00D36F87"/>
    <w:rsid w:val="00D37DF9"/>
    <w:rsid w:val="00D37E4E"/>
    <w:rsid w:val="00D40275"/>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FDA"/>
    <w:rsid w:val="00D774ED"/>
    <w:rsid w:val="00D776AD"/>
    <w:rsid w:val="00D777C3"/>
    <w:rsid w:val="00D7797C"/>
    <w:rsid w:val="00D77C44"/>
    <w:rsid w:val="00D77F88"/>
    <w:rsid w:val="00D8151B"/>
    <w:rsid w:val="00D81AFA"/>
    <w:rsid w:val="00D81EAA"/>
    <w:rsid w:val="00D81FE2"/>
    <w:rsid w:val="00D8259F"/>
    <w:rsid w:val="00D825F2"/>
    <w:rsid w:val="00D8285C"/>
    <w:rsid w:val="00D828B1"/>
    <w:rsid w:val="00D82A55"/>
    <w:rsid w:val="00D8305B"/>
    <w:rsid w:val="00D830F8"/>
    <w:rsid w:val="00D83D49"/>
    <w:rsid w:val="00D84181"/>
    <w:rsid w:val="00D846AD"/>
    <w:rsid w:val="00D84754"/>
    <w:rsid w:val="00D84F27"/>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19AA"/>
    <w:rsid w:val="00DA1A3A"/>
    <w:rsid w:val="00DA1FC3"/>
    <w:rsid w:val="00DA2351"/>
    <w:rsid w:val="00DA249E"/>
    <w:rsid w:val="00DA2D3D"/>
    <w:rsid w:val="00DA35D9"/>
    <w:rsid w:val="00DA3855"/>
    <w:rsid w:val="00DA39BA"/>
    <w:rsid w:val="00DA4C30"/>
    <w:rsid w:val="00DA538E"/>
    <w:rsid w:val="00DA5FB3"/>
    <w:rsid w:val="00DA6980"/>
    <w:rsid w:val="00DA6A44"/>
    <w:rsid w:val="00DA7A3C"/>
    <w:rsid w:val="00DB145E"/>
    <w:rsid w:val="00DB1A94"/>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D7F43"/>
    <w:rsid w:val="00DE0784"/>
    <w:rsid w:val="00DE0A1D"/>
    <w:rsid w:val="00DE15B2"/>
    <w:rsid w:val="00DE1A9A"/>
    <w:rsid w:val="00DE3D2C"/>
    <w:rsid w:val="00DE57D0"/>
    <w:rsid w:val="00DE5E82"/>
    <w:rsid w:val="00DE5EC5"/>
    <w:rsid w:val="00DE5FA6"/>
    <w:rsid w:val="00DE6792"/>
    <w:rsid w:val="00DE6AA1"/>
    <w:rsid w:val="00DE77A3"/>
    <w:rsid w:val="00DE7EF7"/>
    <w:rsid w:val="00DF015B"/>
    <w:rsid w:val="00DF02EC"/>
    <w:rsid w:val="00DF0316"/>
    <w:rsid w:val="00DF10FC"/>
    <w:rsid w:val="00DF1185"/>
    <w:rsid w:val="00DF1299"/>
    <w:rsid w:val="00DF1620"/>
    <w:rsid w:val="00DF1A70"/>
    <w:rsid w:val="00DF1E5F"/>
    <w:rsid w:val="00DF23A8"/>
    <w:rsid w:val="00DF2EE1"/>
    <w:rsid w:val="00DF2F27"/>
    <w:rsid w:val="00DF36B6"/>
    <w:rsid w:val="00DF4296"/>
    <w:rsid w:val="00DF4582"/>
    <w:rsid w:val="00DF5267"/>
    <w:rsid w:val="00DF53F0"/>
    <w:rsid w:val="00DF5700"/>
    <w:rsid w:val="00DF5F38"/>
    <w:rsid w:val="00DF604C"/>
    <w:rsid w:val="00DF6608"/>
    <w:rsid w:val="00DF6CCC"/>
    <w:rsid w:val="00DF6D0C"/>
    <w:rsid w:val="00DF6F64"/>
    <w:rsid w:val="00DF721E"/>
    <w:rsid w:val="00DF72F3"/>
    <w:rsid w:val="00DF7549"/>
    <w:rsid w:val="00DF78D0"/>
    <w:rsid w:val="00DF7B8A"/>
    <w:rsid w:val="00DF7C87"/>
    <w:rsid w:val="00E009B0"/>
    <w:rsid w:val="00E00A12"/>
    <w:rsid w:val="00E00B39"/>
    <w:rsid w:val="00E00C49"/>
    <w:rsid w:val="00E01C9C"/>
    <w:rsid w:val="00E01FF4"/>
    <w:rsid w:val="00E0219D"/>
    <w:rsid w:val="00E032D9"/>
    <w:rsid w:val="00E04482"/>
    <w:rsid w:val="00E04C0F"/>
    <w:rsid w:val="00E05510"/>
    <w:rsid w:val="00E0570B"/>
    <w:rsid w:val="00E05B1D"/>
    <w:rsid w:val="00E05B91"/>
    <w:rsid w:val="00E069C5"/>
    <w:rsid w:val="00E1065D"/>
    <w:rsid w:val="00E10913"/>
    <w:rsid w:val="00E10B87"/>
    <w:rsid w:val="00E121CE"/>
    <w:rsid w:val="00E12209"/>
    <w:rsid w:val="00E144C4"/>
    <w:rsid w:val="00E14585"/>
    <w:rsid w:val="00E1478B"/>
    <w:rsid w:val="00E14FAC"/>
    <w:rsid w:val="00E15007"/>
    <w:rsid w:val="00E15DC6"/>
    <w:rsid w:val="00E16277"/>
    <w:rsid w:val="00E16EC7"/>
    <w:rsid w:val="00E17DCC"/>
    <w:rsid w:val="00E219CE"/>
    <w:rsid w:val="00E21D93"/>
    <w:rsid w:val="00E22A86"/>
    <w:rsid w:val="00E22D2A"/>
    <w:rsid w:val="00E22F39"/>
    <w:rsid w:val="00E24071"/>
    <w:rsid w:val="00E24142"/>
    <w:rsid w:val="00E24DCA"/>
    <w:rsid w:val="00E24EBC"/>
    <w:rsid w:val="00E2522C"/>
    <w:rsid w:val="00E2552F"/>
    <w:rsid w:val="00E2599B"/>
    <w:rsid w:val="00E2710C"/>
    <w:rsid w:val="00E272BD"/>
    <w:rsid w:val="00E27428"/>
    <w:rsid w:val="00E27E58"/>
    <w:rsid w:val="00E305B4"/>
    <w:rsid w:val="00E314CB"/>
    <w:rsid w:val="00E31AFA"/>
    <w:rsid w:val="00E31CB7"/>
    <w:rsid w:val="00E324EE"/>
    <w:rsid w:val="00E3367B"/>
    <w:rsid w:val="00E34DB1"/>
    <w:rsid w:val="00E351D7"/>
    <w:rsid w:val="00E35339"/>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6F5F"/>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6E93"/>
    <w:rsid w:val="00E7719C"/>
    <w:rsid w:val="00E7757E"/>
    <w:rsid w:val="00E777F2"/>
    <w:rsid w:val="00E802C9"/>
    <w:rsid w:val="00E80BFB"/>
    <w:rsid w:val="00E80EC2"/>
    <w:rsid w:val="00E80F0A"/>
    <w:rsid w:val="00E81291"/>
    <w:rsid w:val="00E815D4"/>
    <w:rsid w:val="00E818FD"/>
    <w:rsid w:val="00E819BA"/>
    <w:rsid w:val="00E8291B"/>
    <w:rsid w:val="00E82E70"/>
    <w:rsid w:val="00E82F92"/>
    <w:rsid w:val="00E8395F"/>
    <w:rsid w:val="00E83ECB"/>
    <w:rsid w:val="00E8410F"/>
    <w:rsid w:val="00E849D7"/>
    <w:rsid w:val="00E85E41"/>
    <w:rsid w:val="00E85EA1"/>
    <w:rsid w:val="00E86703"/>
    <w:rsid w:val="00E86C01"/>
    <w:rsid w:val="00E900DA"/>
    <w:rsid w:val="00E90496"/>
    <w:rsid w:val="00E91044"/>
    <w:rsid w:val="00E910D3"/>
    <w:rsid w:val="00E91CBA"/>
    <w:rsid w:val="00E92097"/>
    <w:rsid w:val="00E92154"/>
    <w:rsid w:val="00E923CF"/>
    <w:rsid w:val="00E93685"/>
    <w:rsid w:val="00E93B65"/>
    <w:rsid w:val="00E93C8C"/>
    <w:rsid w:val="00E95111"/>
    <w:rsid w:val="00E95FDF"/>
    <w:rsid w:val="00E960AD"/>
    <w:rsid w:val="00E9677F"/>
    <w:rsid w:val="00E96898"/>
    <w:rsid w:val="00E97043"/>
    <w:rsid w:val="00EA0185"/>
    <w:rsid w:val="00EA05B6"/>
    <w:rsid w:val="00EA14C8"/>
    <w:rsid w:val="00EA2110"/>
    <w:rsid w:val="00EA24AF"/>
    <w:rsid w:val="00EA283A"/>
    <w:rsid w:val="00EA2C90"/>
    <w:rsid w:val="00EA2E07"/>
    <w:rsid w:val="00EA383B"/>
    <w:rsid w:val="00EA44ED"/>
    <w:rsid w:val="00EA48F3"/>
    <w:rsid w:val="00EA4D46"/>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C60"/>
    <w:rsid w:val="00ED2EB9"/>
    <w:rsid w:val="00ED3722"/>
    <w:rsid w:val="00ED3A31"/>
    <w:rsid w:val="00ED3AEF"/>
    <w:rsid w:val="00ED4469"/>
    <w:rsid w:val="00ED5424"/>
    <w:rsid w:val="00ED5F23"/>
    <w:rsid w:val="00ED6DC0"/>
    <w:rsid w:val="00ED7272"/>
    <w:rsid w:val="00ED7A7A"/>
    <w:rsid w:val="00EE0327"/>
    <w:rsid w:val="00EE038C"/>
    <w:rsid w:val="00EE064D"/>
    <w:rsid w:val="00EE105A"/>
    <w:rsid w:val="00EE1D00"/>
    <w:rsid w:val="00EE259E"/>
    <w:rsid w:val="00EE25C8"/>
    <w:rsid w:val="00EE28C5"/>
    <w:rsid w:val="00EE2F09"/>
    <w:rsid w:val="00EE47C5"/>
    <w:rsid w:val="00EE490C"/>
    <w:rsid w:val="00EE4E57"/>
    <w:rsid w:val="00EE5738"/>
    <w:rsid w:val="00EE58BD"/>
    <w:rsid w:val="00EE5DDB"/>
    <w:rsid w:val="00EE5E59"/>
    <w:rsid w:val="00EE5FA9"/>
    <w:rsid w:val="00EE73D0"/>
    <w:rsid w:val="00EE7CB0"/>
    <w:rsid w:val="00EE7CD1"/>
    <w:rsid w:val="00EF08A8"/>
    <w:rsid w:val="00EF167B"/>
    <w:rsid w:val="00EF1C90"/>
    <w:rsid w:val="00EF2496"/>
    <w:rsid w:val="00EF41A8"/>
    <w:rsid w:val="00EF44FB"/>
    <w:rsid w:val="00EF5122"/>
    <w:rsid w:val="00EF5554"/>
    <w:rsid w:val="00EF5AD8"/>
    <w:rsid w:val="00EF6B90"/>
    <w:rsid w:val="00EF70C9"/>
    <w:rsid w:val="00EF741E"/>
    <w:rsid w:val="00EF7665"/>
    <w:rsid w:val="00EF7807"/>
    <w:rsid w:val="00EF79F7"/>
    <w:rsid w:val="00F006C0"/>
    <w:rsid w:val="00F0125F"/>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B83"/>
    <w:rsid w:val="00F30BDB"/>
    <w:rsid w:val="00F30CF8"/>
    <w:rsid w:val="00F31402"/>
    <w:rsid w:val="00F318EB"/>
    <w:rsid w:val="00F31EDF"/>
    <w:rsid w:val="00F32507"/>
    <w:rsid w:val="00F32CDE"/>
    <w:rsid w:val="00F32D4C"/>
    <w:rsid w:val="00F3327E"/>
    <w:rsid w:val="00F338C3"/>
    <w:rsid w:val="00F34B14"/>
    <w:rsid w:val="00F34CF1"/>
    <w:rsid w:val="00F34E35"/>
    <w:rsid w:val="00F34F58"/>
    <w:rsid w:val="00F3572F"/>
    <w:rsid w:val="00F35DA7"/>
    <w:rsid w:val="00F36A6A"/>
    <w:rsid w:val="00F40101"/>
    <w:rsid w:val="00F404F7"/>
    <w:rsid w:val="00F40CCA"/>
    <w:rsid w:val="00F41E02"/>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46A1"/>
    <w:rsid w:val="00F74820"/>
    <w:rsid w:val="00F7506D"/>
    <w:rsid w:val="00F755DD"/>
    <w:rsid w:val="00F756DD"/>
    <w:rsid w:val="00F77F4E"/>
    <w:rsid w:val="00F80047"/>
    <w:rsid w:val="00F800C7"/>
    <w:rsid w:val="00F80361"/>
    <w:rsid w:val="00F8104D"/>
    <w:rsid w:val="00F8153F"/>
    <w:rsid w:val="00F81587"/>
    <w:rsid w:val="00F819DE"/>
    <w:rsid w:val="00F81B2A"/>
    <w:rsid w:val="00F81C12"/>
    <w:rsid w:val="00F82053"/>
    <w:rsid w:val="00F825C4"/>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7F3"/>
    <w:rsid w:val="00F91A9A"/>
    <w:rsid w:val="00F923AF"/>
    <w:rsid w:val="00F92634"/>
    <w:rsid w:val="00F933F3"/>
    <w:rsid w:val="00F93ABB"/>
    <w:rsid w:val="00F94D79"/>
    <w:rsid w:val="00F9658C"/>
    <w:rsid w:val="00F96EEB"/>
    <w:rsid w:val="00F97A7F"/>
    <w:rsid w:val="00F97CD0"/>
    <w:rsid w:val="00F97D7A"/>
    <w:rsid w:val="00FA0889"/>
    <w:rsid w:val="00FA16E7"/>
    <w:rsid w:val="00FA31C7"/>
    <w:rsid w:val="00FA472D"/>
    <w:rsid w:val="00FA4E96"/>
    <w:rsid w:val="00FA5A92"/>
    <w:rsid w:val="00FA681F"/>
    <w:rsid w:val="00FB0261"/>
    <w:rsid w:val="00FB0CBF"/>
    <w:rsid w:val="00FB18F6"/>
    <w:rsid w:val="00FB2A52"/>
    <w:rsid w:val="00FB3961"/>
    <w:rsid w:val="00FB39E0"/>
    <w:rsid w:val="00FB3F92"/>
    <w:rsid w:val="00FB52C7"/>
    <w:rsid w:val="00FB57DC"/>
    <w:rsid w:val="00FB5915"/>
    <w:rsid w:val="00FB6E19"/>
    <w:rsid w:val="00FB71F6"/>
    <w:rsid w:val="00FB74F1"/>
    <w:rsid w:val="00FB7FA4"/>
    <w:rsid w:val="00FC056A"/>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74D"/>
    <w:rsid w:val="00FD4D2A"/>
    <w:rsid w:val="00FD6071"/>
    <w:rsid w:val="00FD633B"/>
    <w:rsid w:val="00FD66ED"/>
    <w:rsid w:val="00FD6ABA"/>
    <w:rsid w:val="00FE0794"/>
    <w:rsid w:val="00FE1041"/>
    <w:rsid w:val="00FE1614"/>
    <w:rsid w:val="00FE24CB"/>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4D36"/>
    <w:rsid w:val="00FF5183"/>
    <w:rsid w:val="00FF57E4"/>
    <w:rsid w:val="00FF5E26"/>
    <w:rsid w:val="00FF5ECD"/>
    <w:rsid w:val="00FF6149"/>
    <w:rsid w:val="00FF78E5"/>
    <w:rsid w:val="012C5FAF"/>
    <w:rsid w:val="01AF3D99"/>
    <w:rsid w:val="02142550"/>
    <w:rsid w:val="022B570E"/>
    <w:rsid w:val="02511F9D"/>
    <w:rsid w:val="02910A6D"/>
    <w:rsid w:val="02AD361F"/>
    <w:rsid w:val="034B34D7"/>
    <w:rsid w:val="03786B0A"/>
    <w:rsid w:val="03A314B8"/>
    <w:rsid w:val="03D82B98"/>
    <w:rsid w:val="03F83E8B"/>
    <w:rsid w:val="04287C9D"/>
    <w:rsid w:val="05C56868"/>
    <w:rsid w:val="05DC21D2"/>
    <w:rsid w:val="067A7882"/>
    <w:rsid w:val="07962387"/>
    <w:rsid w:val="07A539BD"/>
    <w:rsid w:val="07B72767"/>
    <w:rsid w:val="07EA7273"/>
    <w:rsid w:val="08012BDD"/>
    <w:rsid w:val="08077E72"/>
    <w:rsid w:val="08882DD0"/>
    <w:rsid w:val="08CB2B13"/>
    <w:rsid w:val="08D613F6"/>
    <w:rsid w:val="09150EEC"/>
    <w:rsid w:val="09CC2AAC"/>
    <w:rsid w:val="0A1422DE"/>
    <w:rsid w:val="0A454C1D"/>
    <w:rsid w:val="0A652D3E"/>
    <w:rsid w:val="0B326F2A"/>
    <w:rsid w:val="0C1666D9"/>
    <w:rsid w:val="0C1E2888"/>
    <w:rsid w:val="0C92213C"/>
    <w:rsid w:val="0CC2027E"/>
    <w:rsid w:val="0D72706E"/>
    <w:rsid w:val="0D84032B"/>
    <w:rsid w:val="0E6A6868"/>
    <w:rsid w:val="0F157D8E"/>
    <w:rsid w:val="0F2A74C4"/>
    <w:rsid w:val="10A27F31"/>
    <w:rsid w:val="10FB7C4C"/>
    <w:rsid w:val="11135569"/>
    <w:rsid w:val="115D29C8"/>
    <w:rsid w:val="117511F0"/>
    <w:rsid w:val="11927058"/>
    <w:rsid w:val="120E171E"/>
    <w:rsid w:val="13AF4F03"/>
    <w:rsid w:val="141E6321"/>
    <w:rsid w:val="14736E66"/>
    <w:rsid w:val="147F458F"/>
    <w:rsid w:val="14C56781"/>
    <w:rsid w:val="1534169A"/>
    <w:rsid w:val="15C03E03"/>
    <w:rsid w:val="162A25EB"/>
    <w:rsid w:val="16735895"/>
    <w:rsid w:val="16FD2A55"/>
    <w:rsid w:val="17067C1A"/>
    <w:rsid w:val="17366761"/>
    <w:rsid w:val="177C01F0"/>
    <w:rsid w:val="179E3EFA"/>
    <w:rsid w:val="17CE6630"/>
    <w:rsid w:val="186B2B64"/>
    <w:rsid w:val="18AD3F21"/>
    <w:rsid w:val="190039A2"/>
    <w:rsid w:val="1AFF0AFE"/>
    <w:rsid w:val="1B4F19F8"/>
    <w:rsid w:val="1BFD6CB5"/>
    <w:rsid w:val="1ECC44FA"/>
    <w:rsid w:val="1F063325"/>
    <w:rsid w:val="1FBC5DF5"/>
    <w:rsid w:val="1FF90588"/>
    <w:rsid w:val="206A715F"/>
    <w:rsid w:val="20C3623F"/>
    <w:rsid w:val="20CE174B"/>
    <w:rsid w:val="21781212"/>
    <w:rsid w:val="21B83F86"/>
    <w:rsid w:val="22083930"/>
    <w:rsid w:val="221178A8"/>
    <w:rsid w:val="221213CF"/>
    <w:rsid w:val="22327A92"/>
    <w:rsid w:val="229A4191"/>
    <w:rsid w:val="231D53A2"/>
    <w:rsid w:val="23233603"/>
    <w:rsid w:val="23583534"/>
    <w:rsid w:val="236D5383"/>
    <w:rsid w:val="239E56BF"/>
    <w:rsid w:val="23B23ECA"/>
    <w:rsid w:val="23B7504C"/>
    <w:rsid w:val="24571307"/>
    <w:rsid w:val="24BE4D5C"/>
    <w:rsid w:val="25110A2A"/>
    <w:rsid w:val="256C0944"/>
    <w:rsid w:val="26446DE3"/>
    <w:rsid w:val="26877DFE"/>
    <w:rsid w:val="269669E7"/>
    <w:rsid w:val="26A270C1"/>
    <w:rsid w:val="26D7699F"/>
    <w:rsid w:val="27C87203"/>
    <w:rsid w:val="28251CB3"/>
    <w:rsid w:val="284E7454"/>
    <w:rsid w:val="297D7F6D"/>
    <w:rsid w:val="29D75F7F"/>
    <w:rsid w:val="2A7D4551"/>
    <w:rsid w:val="2B774624"/>
    <w:rsid w:val="2C250A37"/>
    <w:rsid w:val="2C7A72BE"/>
    <w:rsid w:val="2C8133F9"/>
    <w:rsid w:val="2C9A7D75"/>
    <w:rsid w:val="2CC17412"/>
    <w:rsid w:val="2D7C1E99"/>
    <w:rsid w:val="2D9B506F"/>
    <w:rsid w:val="2DB35A3D"/>
    <w:rsid w:val="2DD84B38"/>
    <w:rsid w:val="2E9976CE"/>
    <w:rsid w:val="2EF01DEE"/>
    <w:rsid w:val="2F401D3C"/>
    <w:rsid w:val="2F5B24E1"/>
    <w:rsid w:val="2FA95C88"/>
    <w:rsid w:val="3041370F"/>
    <w:rsid w:val="30534DD6"/>
    <w:rsid w:val="30B87FED"/>
    <w:rsid w:val="312B50A3"/>
    <w:rsid w:val="31894FD2"/>
    <w:rsid w:val="31DF3AF5"/>
    <w:rsid w:val="32453A27"/>
    <w:rsid w:val="3263064A"/>
    <w:rsid w:val="32A43132"/>
    <w:rsid w:val="32AC0C06"/>
    <w:rsid w:val="33344EF5"/>
    <w:rsid w:val="336D5A22"/>
    <w:rsid w:val="33B73715"/>
    <w:rsid w:val="3537750C"/>
    <w:rsid w:val="3537798C"/>
    <w:rsid w:val="35C13FC9"/>
    <w:rsid w:val="36372B05"/>
    <w:rsid w:val="364257B6"/>
    <w:rsid w:val="366F1A28"/>
    <w:rsid w:val="37B036A0"/>
    <w:rsid w:val="37EA5922"/>
    <w:rsid w:val="38276B93"/>
    <w:rsid w:val="382E58B8"/>
    <w:rsid w:val="38AC3431"/>
    <w:rsid w:val="392F2E16"/>
    <w:rsid w:val="39C165E2"/>
    <w:rsid w:val="39E00529"/>
    <w:rsid w:val="3A0B64A7"/>
    <w:rsid w:val="3A574DDA"/>
    <w:rsid w:val="3AD153F6"/>
    <w:rsid w:val="3AD3075A"/>
    <w:rsid w:val="3AF74C02"/>
    <w:rsid w:val="3C0059A5"/>
    <w:rsid w:val="3C134E78"/>
    <w:rsid w:val="3C845011"/>
    <w:rsid w:val="3D9A28A3"/>
    <w:rsid w:val="3DF6345D"/>
    <w:rsid w:val="3E2B5515"/>
    <w:rsid w:val="3E4D4F28"/>
    <w:rsid w:val="3ED92EC4"/>
    <w:rsid w:val="3EE13701"/>
    <w:rsid w:val="3F1A4BB3"/>
    <w:rsid w:val="40192BA6"/>
    <w:rsid w:val="405A0BD9"/>
    <w:rsid w:val="40892F5F"/>
    <w:rsid w:val="40E13E66"/>
    <w:rsid w:val="41766EA9"/>
    <w:rsid w:val="42550A18"/>
    <w:rsid w:val="427A3464"/>
    <w:rsid w:val="429D496A"/>
    <w:rsid w:val="42CD0B98"/>
    <w:rsid w:val="42F473A1"/>
    <w:rsid w:val="437217EA"/>
    <w:rsid w:val="43AB7156"/>
    <w:rsid w:val="43D7782C"/>
    <w:rsid w:val="441E62C0"/>
    <w:rsid w:val="45325D14"/>
    <w:rsid w:val="45811C7C"/>
    <w:rsid w:val="45906116"/>
    <w:rsid w:val="45931B8C"/>
    <w:rsid w:val="459C083C"/>
    <w:rsid w:val="45A71526"/>
    <w:rsid w:val="45AA21CC"/>
    <w:rsid w:val="45EF2552"/>
    <w:rsid w:val="46456C98"/>
    <w:rsid w:val="468B3EFB"/>
    <w:rsid w:val="470A6193"/>
    <w:rsid w:val="47385210"/>
    <w:rsid w:val="475510F8"/>
    <w:rsid w:val="4784794E"/>
    <w:rsid w:val="47B91986"/>
    <w:rsid w:val="47DC4F5C"/>
    <w:rsid w:val="48170FD8"/>
    <w:rsid w:val="48B40671"/>
    <w:rsid w:val="499B5738"/>
    <w:rsid w:val="499F244D"/>
    <w:rsid w:val="49B26D3A"/>
    <w:rsid w:val="49C36851"/>
    <w:rsid w:val="4A973F3F"/>
    <w:rsid w:val="4AF96BC7"/>
    <w:rsid w:val="4B545ECD"/>
    <w:rsid w:val="4B862A85"/>
    <w:rsid w:val="4C65738A"/>
    <w:rsid w:val="4CB45C47"/>
    <w:rsid w:val="4CEF36E2"/>
    <w:rsid w:val="4CEF4DC5"/>
    <w:rsid w:val="4D135D42"/>
    <w:rsid w:val="4E257655"/>
    <w:rsid w:val="4E6332C9"/>
    <w:rsid w:val="4F372380"/>
    <w:rsid w:val="4F372FFB"/>
    <w:rsid w:val="4FE04A27"/>
    <w:rsid w:val="5025116D"/>
    <w:rsid w:val="513854D9"/>
    <w:rsid w:val="52395ECD"/>
    <w:rsid w:val="52C05330"/>
    <w:rsid w:val="52C10D75"/>
    <w:rsid w:val="52C64DEA"/>
    <w:rsid w:val="53C27FF8"/>
    <w:rsid w:val="53D9593E"/>
    <w:rsid w:val="54806794"/>
    <w:rsid w:val="549E1A80"/>
    <w:rsid w:val="54C658F4"/>
    <w:rsid w:val="550C4BD7"/>
    <w:rsid w:val="554C1D56"/>
    <w:rsid w:val="55572986"/>
    <w:rsid w:val="55D83BEF"/>
    <w:rsid w:val="563A1EBF"/>
    <w:rsid w:val="565340FA"/>
    <w:rsid w:val="565B4079"/>
    <w:rsid w:val="56732036"/>
    <w:rsid w:val="569A75D6"/>
    <w:rsid w:val="56AD5F59"/>
    <w:rsid w:val="56C60774"/>
    <w:rsid w:val="57207F25"/>
    <w:rsid w:val="57B12A52"/>
    <w:rsid w:val="57B8645F"/>
    <w:rsid w:val="5A2F2CC8"/>
    <w:rsid w:val="5A403EEE"/>
    <w:rsid w:val="5AAA30EC"/>
    <w:rsid w:val="5B4014C4"/>
    <w:rsid w:val="5C10702D"/>
    <w:rsid w:val="5C152601"/>
    <w:rsid w:val="5C591F03"/>
    <w:rsid w:val="5C8A1B2F"/>
    <w:rsid w:val="5DA35E52"/>
    <w:rsid w:val="5DDC5EFC"/>
    <w:rsid w:val="5E1657D3"/>
    <w:rsid w:val="5F561B72"/>
    <w:rsid w:val="5FAD7930"/>
    <w:rsid w:val="606007BB"/>
    <w:rsid w:val="60AC7F66"/>
    <w:rsid w:val="61BF10D9"/>
    <w:rsid w:val="62AC22DC"/>
    <w:rsid w:val="63A22BFD"/>
    <w:rsid w:val="64E45EF7"/>
    <w:rsid w:val="651577E2"/>
    <w:rsid w:val="65716502"/>
    <w:rsid w:val="6691014E"/>
    <w:rsid w:val="66C87CCE"/>
    <w:rsid w:val="673426E5"/>
    <w:rsid w:val="677435B2"/>
    <w:rsid w:val="67E20542"/>
    <w:rsid w:val="67EF75F1"/>
    <w:rsid w:val="67FA4A77"/>
    <w:rsid w:val="684F4F11"/>
    <w:rsid w:val="6861207C"/>
    <w:rsid w:val="690149F4"/>
    <w:rsid w:val="69124F16"/>
    <w:rsid w:val="69946172"/>
    <w:rsid w:val="69CD5C14"/>
    <w:rsid w:val="69CF0D33"/>
    <w:rsid w:val="6AAB5AD6"/>
    <w:rsid w:val="6B9946B3"/>
    <w:rsid w:val="6BC414F2"/>
    <w:rsid w:val="6BE518DA"/>
    <w:rsid w:val="6C276F3A"/>
    <w:rsid w:val="6C7007C7"/>
    <w:rsid w:val="6DE76850"/>
    <w:rsid w:val="6E82434A"/>
    <w:rsid w:val="6EAD25F6"/>
    <w:rsid w:val="6FB20BD4"/>
    <w:rsid w:val="6FBA59BE"/>
    <w:rsid w:val="70296B3E"/>
    <w:rsid w:val="70611204"/>
    <w:rsid w:val="71235212"/>
    <w:rsid w:val="7165620F"/>
    <w:rsid w:val="717039F8"/>
    <w:rsid w:val="7182557A"/>
    <w:rsid w:val="718E0E83"/>
    <w:rsid w:val="71C641FD"/>
    <w:rsid w:val="72D30BE3"/>
    <w:rsid w:val="73E60BDA"/>
    <w:rsid w:val="743F31EF"/>
    <w:rsid w:val="74D13AD5"/>
    <w:rsid w:val="74E572E4"/>
    <w:rsid w:val="74FA2C30"/>
    <w:rsid w:val="754D5C4B"/>
    <w:rsid w:val="75D05CCE"/>
    <w:rsid w:val="76C240A7"/>
    <w:rsid w:val="76DA416A"/>
    <w:rsid w:val="7739177E"/>
    <w:rsid w:val="775246B7"/>
    <w:rsid w:val="77E85551"/>
    <w:rsid w:val="781E69D1"/>
    <w:rsid w:val="78E222F4"/>
    <w:rsid w:val="78F112AB"/>
    <w:rsid w:val="7901747F"/>
    <w:rsid w:val="795F60E6"/>
    <w:rsid w:val="796274DE"/>
    <w:rsid w:val="79F73C47"/>
    <w:rsid w:val="7A263B6B"/>
    <w:rsid w:val="7AF46346"/>
    <w:rsid w:val="7B0F5EBF"/>
    <w:rsid w:val="7B130FB9"/>
    <w:rsid w:val="7B6D6662"/>
    <w:rsid w:val="7BD71E38"/>
    <w:rsid w:val="7BF64EDE"/>
    <w:rsid w:val="7C0B180E"/>
    <w:rsid w:val="7C400C1E"/>
    <w:rsid w:val="7DD11708"/>
    <w:rsid w:val="7DEE4A4F"/>
    <w:rsid w:val="7EAE6230"/>
    <w:rsid w:val="7EBD579E"/>
    <w:rsid w:val="7EC167BD"/>
    <w:rsid w:val="7F181644"/>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autoRedefine/>
    <w:qFormat/>
    <w:uiPriority w:val="0"/>
    <w:pPr>
      <w:keepNext/>
      <w:keepLines/>
      <w:spacing w:before="580" w:after="570" w:line="578" w:lineRule="auto"/>
      <w:outlineLvl w:val="0"/>
    </w:pPr>
    <w:rPr>
      <w:rFonts w:ascii="Times New Roman" w:hAnsi="Times New Roman" w:eastAsia="宋体"/>
      <w:b/>
      <w:bCs/>
      <w:kern w:val="44"/>
      <w:sz w:val="36"/>
      <w:szCs w:val="44"/>
    </w:rPr>
  </w:style>
  <w:style w:type="paragraph" w:styleId="3">
    <w:name w:val="heading 2"/>
    <w:basedOn w:val="1"/>
    <w:next w:val="1"/>
    <w:link w:val="57"/>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8"/>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9"/>
    <w:autoRedefine/>
    <w:qFormat/>
    <w:uiPriority w:val="9"/>
    <w:pPr>
      <w:keepNext/>
      <w:keepLines/>
      <w:spacing w:line="360" w:lineRule="auto"/>
      <w:outlineLvl w:val="3"/>
    </w:pPr>
    <w:rPr>
      <w:rFonts w:ascii="Arial" w:hAnsi="Arial"/>
      <w:b/>
      <w:bCs/>
      <w:sz w:val="28"/>
      <w:szCs w:val="28"/>
    </w:rPr>
  </w:style>
  <w:style w:type="paragraph" w:styleId="6">
    <w:name w:val="heading 5"/>
    <w:basedOn w:val="1"/>
    <w:next w:val="7"/>
    <w:link w:val="60"/>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62"/>
    <w:autoRedefine/>
    <w:qFormat/>
    <w:uiPriority w:val="9"/>
    <w:pPr>
      <w:keepNext/>
      <w:keepLines/>
      <w:spacing w:before="240" w:after="64" w:line="317" w:lineRule="auto"/>
      <w:outlineLvl w:val="5"/>
    </w:pPr>
    <w:rPr>
      <w:rFonts w:ascii="Cambria" w:hAnsi="Cambria"/>
      <w:b/>
      <w:bCs/>
      <w:kern w:val="0"/>
      <w:sz w:val="24"/>
    </w:rPr>
  </w:style>
  <w:style w:type="paragraph" w:styleId="9">
    <w:name w:val="heading 7"/>
    <w:basedOn w:val="1"/>
    <w:next w:val="1"/>
    <w:link w:val="63"/>
    <w:autoRedefine/>
    <w:qFormat/>
    <w:uiPriority w:val="0"/>
    <w:pPr>
      <w:keepNext/>
      <w:keepLines/>
      <w:spacing w:before="240" w:after="64" w:line="317" w:lineRule="auto"/>
      <w:outlineLvl w:val="6"/>
    </w:pPr>
    <w:rPr>
      <w:b/>
      <w:bCs/>
      <w:kern w:val="0"/>
      <w:sz w:val="24"/>
    </w:rPr>
  </w:style>
  <w:style w:type="paragraph" w:styleId="10">
    <w:name w:val="heading 8"/>
    <w:basedOn w:val="1"/>
    <w:next w:val="1"/>
    <w:link w:val="64"/>
    <w:autoRedefine/>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65"/>
    <w:autoRedefine/>
    <w:qFormat/>
    <w:uiPriority w:val="0"/>
    <w:pPr>
      <w:keepNext/>
      <w:keepLines/>
      <w:spacing w:before="240" w:after="64" w:line="317" w:lineRule="auto"/>
      <w:outlineLvl w:val="8"/>
    </w:pPr>
    <w:rPr>
      <w:rFonts w:ascii="Cambria" w:hAnsi="Cambria"/>
      <w:kern w:val="0"/>
      <w:sz w:val="2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61"/>
    <w:autoRedefine/>
    <w:qFormat/>
    <w:uiPriority w:val="99"/>
    <w:pPr>
      <w:ind w:firstLine="420"/>
    </w:pPr>
    <w:rPr>
      <w:szCs w:val="20"/>
    </w:rPr>
  </w:style>
  <w:style w:type="paragraph" w:styleId="12">
    <w:name w:val="toc 7"/>
    <w:basedOn w:val="1"/>
    <w:next w:val="1"/>
    <w:autoRedefine/>
    <w:qFormat/>
    <w:uiPriority w:val="39"/>
    <w:pPr>
      <w:ind w:left="2520" w:leftChars="1200"/>
    </w:pPr>
    <w:rPr>
      <w:rFonts w:ascii="Calibri" w:hAnsi="Calibri" w:cs="Calibri"/>
      <w:szCs w:val="21"/>
    </w:rPr>
  </w:style>
  <w:style w:type="paragraph" w:styleId="13">
    <w:name w:val="index 8"/>
    <w:basedOn w:val="1"/>
    <w:next w:val="1"/>
    <w:autoRedefine/>
    <w:qFormat/>
    <w:uiPriority w:val="0"/>
    <w:pPr>
      <w:ind w:left="1400" w:leftChars="1400"/>
    </w:pPr>
  </w:style>
  <w:style w:type="paragraph" w:styleId="14">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autoRedefine/>
    <w:qFormat/>
    <w:uiPriority w:val="99"/>
    <w:rPr>
      <w:rFonts w:ascii="Cambria" w:hAnsi="Cambria" w:eastAsia="黑体" w:cs="Cambria"/>
      <w:sz w:val="20"/>
      <w:szCs w:val="20"/>
    </w:rPr>
  </w:style>
  <w:style w:type="paragraph" w:styleId="16">
    <w:name w:val="Document Map"/>
    <w:basedOn w:val="1"/>
    <w:link w:val="66"/>
    <w:autoRedefine/>
    <w:qFormat/>
    <w:uiPriority w:val="0"/>
    <w:pPr>
      <w:shd w:val="clear" w:color="auto" w:fill="000080"/>
    </w:pPr>
    <w:rPr>
      <w:sz w:val="24"/>
      <w:shd w:val="clear" w:color="auto" w:fill="000080"/>
    </w:rPr>
  </w:style>
  <w:style w:type="paragraph" w:styleId="17">
    <w:name w:val="annotation text"/>
    <w:basedOn w:val="1"/>
    <w:link w:val="67"/>
    <w:autoRedefine/>
    <w:qFormat/>
    <w:uiPriority w:val="99"/>
    <w:pPr>
      <w:jc w:val="left"/>
    </w:pPr>
  </w:style>
  <w:style w:type="paragraph" w:styleId="18">
    <w:name w:val="Body Text 3"/>
    <w:basedOn w:val="1"/>
    <w:link w:val="68"/>
    <w:autoRedefine/>
    <w:unhideWhenUsed/>
    <w:qFormat/>
    <w:uiPriority w:val="99"/>
    <w:pPr>
      <w:spacing w:after="120"/>
    </w:pPr>
    <w:rPr>
      <w:sz w:val="16"/>
      <w:szCs w:val="16"/>
    </w:rPr>
  </w:style>
  <w:style w:type="paragraph" w:styleId="19">
    <w:name w:val="Body Text"/>
    <w:basedOn w:val="1"/>
    <w:link w:val="69"/>
    <w:autoRedefine/>
    <w:unhideWhenUsed/>
    <w:qFormat/>
    <w:uiPriority w:val="99"/>
    <w:pPr>
      <w:spacing w:after="120"/>
    </w:pPr>
  </w:style>
  <w:style w:type="paragraph" w:styleId="20">
    <w:name w:val="Body Text Indent"/>
    <w:basedOn w:val="1"/>
    <w:link w:val="70"/>
    <w:autoRedefine/>
    <w:qFormat/>
    <w:uiPriority w:val="99"/>
    <w:pPr>
      <w:ind w:firstLine="830" w:firstLineChars="352"/>
    </w:pPr>
    <w:rPr>
      <w:rFonts w:ascii="仿宋_GB2312" w:eastAsia="仿宋_GB2312"/>
      <w:kern w:val="0"/>
      <w:sz w:val="32"/>
      <w:szCs w:val="20"/>
    </w:rPr>
  </w:style>
  <w:style w:type="paragraph" w:styleId="21">
    <w:name w:val="List 2"/>
    <w:basedOn w:val="1"/>
    <w:autoRedefine/>
    <w:unhideWhenUsed/>
    <w:qFormat/>
    <w:uiPriority w:val="99"/>
    <w:pPr>
      <w:ind w:left="100" w:leftChars="200" w:hanging="200" w:hangingChars="200"/>
      <w:contextualSpacing/>
    </w:pPr>
  </w:style>
  <w:style w:type="paragraph" w:styleId="22">
    <w:name w:val="index 4"/>
    <w:basedOn w:val="1"/>
    <w:next w:val="1"/>
    <w:autoRedefine/>
    <w:semiHidden/>
    <w:qFormat/>
    <w:uiPriority w:val="99"/>
    <w:pPr>
      <w:ind w:left="600" w:leftChars="600"/>
    </w:pPr>
    <w:rPr>
      <w:szCs w:val="21"/>
    </w:rPr>
  </w:style>
  <w:style w:type="paragraph" w:styleId="23">
    <w:name w:val="toc 5"/>
    <w:basedOn w:val="1"/>
    <w:next w:val="1"/>
    <w:autoRedefine/>
    <w:qFormat/>
    <w:uiPriority w:val="39"/>
    <w:pPr>
      <w:ind w:left="1680" w:leftChars="800"/>
    </w:pPr>
    <w:rPr>
      <w:rFonts w:ascii="Calibri" w:hAnsi="Calibri" w:cs="Calibri"/>
      <w:szCs w:val="21"/>
    </w:rPr>
  </w:style>
  <w:style w:type="paragraph" w:styleId="24">
    <w:name w:val="toc 3"/>
    <w:basedOn w:val="1"/>
    <w:next w:val="1"/>
    <w:autoRedefine/>
    <w:qFormat/>
    <w:uiPriority w:val="39"/>
    <w:pPr>
      <w:ind w:left="840" w:leftChars="400"/>
    </w:pPr>
    <w:rPr>
      <w:szCs w:val="21"/>
    </w:rPr>
  </w:style>
  <w:style w:type="paragraph" w:styleId="25">
    <w:name w:val="Plain Text"/>
    <w:basedOn w:val="1"/>
    <w:next w:val="1"/>
    <w:link w:val="71"/>
    <w:autoRedefine/>
    <w:qFormat/>
    <w:uiPriority w:val="99"/>
    <w:rPr>
      <w:rFonts w:ascii="宋体" w:hAnsi="Courier New"/>
      <w:kern w:val="0"/>
      <w:sz w:val="20"/>
      <w:szCs w:val="21"/>
    </w:rPr>
  </w:style>
  <w:style w:type="paragraph" w:styleId="26">
    <w:name w:val="toc 8"/>
    <w:basedOn w:val="1"/>
    <w:next w:val="1"/>
    <w:autoRedefine/>
    <w:qFormat/>
    <w:uiPriority w:val="39"/>
    <w:pPr>
      <w:ind w:left="2940" w:leftChars="1400"/>
    </w:pPr>
    <w:rPr>
      <w:rFonts w:ascii="Calibri" w:hAnsi="Calibri" w:cs="Calibri"/>
      <w:szCs w:val="21"/>
    </w:rPr>
  </w:style>
  <w:style w:type="paragraph" w:styleId="27">
    <w:name w:val="Date"/>
    <w:basedOn w:val="1"/>
    <w:next w:val="1"/>
    <w:link w:val="72"/>
    <w:autoRedefine/>
    <w:unhideWhenUsed/>
    <w:qFormat/>
    <w:uiPriority w:val="99"/>
    <w:pPr>
      <w:ind w:left="100" w:leftChars="2500"/>
    </w:pPr>
  </w:style>
  <w:style w:type="paragraph" w:styleId="28">
    <w:name w:val="Body Text Indent 2"/>
    <w:basedOn w:val="1"/>
    <w:link w:val="73"/>
    <w:autoRedefine/>
    <w:qFormat/>
    <w:uiPriority w:val="99"/>
    <w:pPr>
      <w:spacing w:after="120" w:line="480" w:lineRule="auto"/>
      <w:ind w:left="420" w:leftChars="200"/>
    </w:pPr>
    <w:rPr>
      <w:sz w:val="24"/>
    </w:rPr>
  </w:style>
  <w:style w:type="paragraph" w:styleId="29">
    <w:name w:val="Balloon Text"/>
    <w:basedOn w:val="1"/>
    <w:link w:val="74"/>
    <w:autoRedefine/>
    <w:qFormat/>
    <w:uiPriority w:val="0"/>
    <w:rPr>
      <w:sz w:val="18"/>
      <w:szCs w:val="18"/>
    </w:rPr>
  </w:style>
  <w:style w:type="paragraph" w:styleId="30">
    <w:name w:val="footer"/>
    <w:basedOn w:val="1"/>
    <w:next w:val="1"/>
    <w:link w:val="55"/>
    <w:autoRedefine/>
    <w:unhideWhenUsed/>
    <w:qFormat/>
    <w:uiPriority w:val="99"/>
    <w:pPr>
      <w:tabs>
        <w:tab w:val="center" w:pos="4153"/>
        <w:tab w:val="right" w:pos="8306"/>
      </w:tabs>
      <w:snapToGrid w:val="0"/>
      <w:jc w:val="left"/>
    </w:pPr>
    <w:rPr>
      <w:kern w:val="0"/>
      <w:sz w:val="18"/>
      <w:szCs w:val="18"/>
    </w:rPr>
  </w:style>
  <w:style w:type="paragraph" w:styleId="31">
    <w:name w:val="header"/>
    <w:basedOn w:val="1"/>
    <w:link w:val="75"/>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autoRedefine/>
    <w:unhideWhenUsed/>
    <w:qFormat/>
    <w:uiPriority w:val="39"/>
  </w:style>
  <w:style w:type="paragraph" w:styleId="33">
    <w:name w:val="toc 4"/>
    <w:basedOn w:val="1"/>
    <w:next w:val="1"/>
    <w:autoRedefine/>
    <w:qFormat/>
    <w:uiPriority w:val="39"/>
    <w:pPr>
      <w:ind w:left="1260" w:leftChars="600"/>
    </w:pPr>
    <w:rPr>
      <w:rFonts w:ascii="Calibri" w:hAnsi="Calibri" w:cs="Calibri"/>
      <w:szCs w:val="21"/>
    </w:rPr>
  </w:style>
  <w:style w:type="paragraph" w:styleId="34">
    <w:name w:val="Subtitle"/>
    <w:basedOn w:val="1"/>
    <w:next w:val="1"/>
    <w:link w:val="76"/>
    <w:autoRedefine/>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77"/>
    <w:autoRedefine/>
    <w:qFormat/>
    <w:uiPriority w:val="0"/>
    <w:pPr>
      <w:adjustRightInd w:val="0"/>
      <w:spacing w:line="312" w:lineRule="atLeast"/>
      <w:jc w:val="left"/>
      <w:textAlignment w:val="baseline"/>
    </w:pPr>
    <w:rPr>
      <w:kern w:val="0"/>
      <w:sz w:val="18"/>
      <w:szCs w:val="18"/>
    </w:rPr>
  </w:style>
  <w:style w:type="paragraph" w:styleId="36">
    <w:name w:val="toc 6"/>
    <w:basedOn w:val="1"/>
    <w:next w:val="1"/>
    <w:autoRedefine/>
    <w:qFormat/>
    <w:uiPriority w:val="39"/>
    <w:pPr>
      <w:ind w:left="2100" w:leftChars="1000"/>
    </w:pPr>
    <w:rPr>
      <w:rFonts w:ascii="Calibri" w:hAnsi="Calibri" w:cs="Calibri"/>
      <w:szCs w:val="21"/>
    </w:rPr>
  </w:style>
  <w:style w:type="paragraph" w:styleId="37">
    <w:name w:val="toc 2"/>
    <w:basedOn w:val="1"/>
    <w:next w:val="1"/>
    <w:autoRedefine/>
    <w:unhideWhenUsed/>
    <w:qFormat/>
    <w:uiPriority w:val="39"/>
    <w:pPr>
      <w:tabs>
        <w:tab w:val="right" w:leader="dot" w:pos="8296"/>
      </w:tabs>
      <w:ind w:left="420" w:leftChars="200"/>
    </w:pPr>
  </w:style>
  <w:style w:type="paragraph" w:styleId="38">
    <w:name w:val="toc 9"/>
    <w:basedOn w:val="1"/>
    <w:next w:val="1"/>
    <w:autoRedefine/>
    <w:qFormat/>
    <w:uiPriority w:val="39"/>
    <w:pPr>
      <w:ind w:left="3360" w:leftChars="1600"/>
    </w:pPr>
    <w:rPr>
      <w:rFonts w:ascii="Calibri" w:hAnsi="Calibri" w:cs="Calibri"/>
      <w:szCs w:val="21"/>
    </w:rPr>
  </w:style>
  <w:style w:type="paragraph" w:styleId="39">
    <w:name w:val="HTML Preformatted"/>
    <w:basedOn w:val="1"/>
    <w:link w:val="78"/>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autoRedefine/>
    <w:unhideWhenUsed/>
    <w:qFormat/>
    <w:uiPriority w:val="0"/>
    <w:rPr>
      <w:rFonts w:ascii="Calibri" w:hAnsi="Calibri"/>
      <w:kern w:val="0"/>
      <w:sz w:val="24"/>
    </w:rPr>
  </w:style>
  <w:style w:type="paragraph" w:styleId="41">
    <w:name w:val="Title"/>
    <w:basedOn w:val="1"/>
    <w:next w:val="1"/>
    <w:link w:val="79"/>
    <w:autoRedefine/>
    <w:qFormat/>
    <w:uiPriority w:val="0"/>
    <w:pPr>
      <w:spacing w:before="240" w:after="60"/>
      <w:jc w:val="center"/>
      <w:outlineLvl w:val="0"/>
    </w:pPr>
    <w:rPr>
      <w:rFonts w:ascii="Cambria" w:hAnsi="Cambria"/>
      <w:b/>
      <w:bCs/>
      <w:sz w:val="32"/>
      <w:szCs w:val="32"/>
    </w:rPr>
  </w:style>
  <w:style w:type="paragraph" w:styleId="42">
    <w:name w:val="annotation subject"/>
    <w:basedOn w:val="17"/>
    <w:next w:val="17"/>
    <w:link w:val="80"/>
    <w:autoRedefine/>
    <w:qFormat/>
    <w:uiPriority w:val="0"/>
    <w:rPr>
      <w:b/>
      <w:bCs/>
    </w:rPr>
  </w:style>
  <w:style w:type="paragraph" w:styleId="43">
    <w:name w:val="Body Text First Indent 2"/>
    <w:basedOn w:val="20"/>
    <w:autoRedefine/>
    <w:unhideWhenUsed/>
    <w:qFormat/>
    <w:uiPriority w:val="99"/>
    <w:pPr>
      <w:autoSpaceDE w:val="0"/>
      <w:ind w:firstLine="420" w:firstLineChars="200"/>
    </w:pPr>
    <w:rPr>
      <w:rFonts w:ascii="Arial" w:hAnsi="Arial" w:cs="Arial"/>
    </w:rPr>
  </w:style>
  <w:style w:type="table" w:styleId="45">
    <w:name w:val="Table Grid"/>
    <w:basedOn w:val="4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autoRedefine/>
    <w:qFormat/>
    <w:uiPriority w:val="22"/>
    <w:rPr>
      <w:b/>
      <w:bCs/>
    </w:rPr>
  </w:style>
  <w:style w:type="character" w:styleId="48">
    <w:name w:val="endnote reference"/>
    <w:autoRedefine/>
    <w:unhideWhenUsed/>
    <w:qFormat/>
    <w:uiPriority w:val="99"/>
    <w:rPr>
      <w:vertAlign w:val="superscript"/>
    </w:rPr>
  </w:style>
  <w:style w:type="character" w:styleId="49">
    <w:name w:val="page number"/>
    <w:autoRedefine/>
    <w:qFormat/>
    <w:uiPriority w:val="99"/>
  </w:style>
  <w:style w:type="character" w:styleId="50">
    <w:name w:val="FollowedHyperlink"/>
    <w:autoRedefine/>
    <w:qFormat/>
    <w:uiPriority w:val="99"/>
    <w:rPr>
      <w:color w:val="800080"/>
      <w:u w:val="single"/>
    </w:rPr>
  </w:style>
  <w:style w:type="character" w:styleId="51">
    <w:name w:val="Emphasis"/>
    <w:autoRedefine/>
    <w:qFormat/>
    <w:uiPriority w:val="99"/>
    <w:rPr>
      <w:i/>
      <w:iCs/>
    </w:rPr>
  </w:style>
  <w:style w:type="character" w:styleId="52">
    <w:name w:val="Hyperlink"/>
    <w:autoRedefine/>
    <w:unhideWhenUsed/>
    <w:qFormat/>
    <w:uiPriority w:val="99"/>
    <w:rPr>
      <w:color w:val="0000FF"/>
      <w:u w:val="single"/>
    </w:rPr>
  </w:style>
  <w:style w:type="character" w:styleId="53">
    <w:name w:val="annotation reference"/>
    <w:autoRedefine/>
    <w:qFormat/>
    <w:uiPriority w:val="0"/>
    <w:rPr>
      <w:sz w:val="21"/>
      <w:szCs w:val="21"/>
    </w:rPr>
  </w:style>
  <w:style w:type="character" w:styleId="54">
    <w:name w:val="footnote reference"/>
    <w:autoRedefine/>
    <w:unhideWhenUsed/>
    <w:qFormat/>
    <w:uiPriority w:val="0"/>
    <w:rPr>
      <w:vertAlign w:val="superscript"/>
    </w:rPr>
  </w:style>
  <w:style w:type="character" w:customStyle="1" w:styleId="55">
    <w:name w:val="页脚 Char"/>
    <w:link w:val="30"/>
    <w:autoRedefine/>
    <w:qFormat/>
    <w:uiPriority w:val="99"/>
    <w:rPr>
      <w:sz w:val="18"/>
      <w:szCs w:val="18"/>
    </w:rPr>
  </w:style>
  <w:style w:type="character" w:customStyle="1" w:styleId="56">
    <w:name w:val="标题 1 Char"/>
    <w:link w:val="2"/>
    <w:autoRedefine/>
    <w:qFormat/>
    <w:uiPriority w:val="0"/>
    <w:rPr>
      <w:rFonts w:ascii="Times New Roman" w:hAnsi="Times New Roman" w:eastAsia="宋体"/>
      <w:b/>
      <w:bCs/>
      <w:kern w:val="44"/>
      <w:sz w:val="36"/>
      <w:szCs w:val="44"/>
    </w:rPr>
  </w:style>
  <w:style w:type="character" w:customStyle="1" w:styleId="57">
    <w:name w:val="标题 2 Char1"/>
    <w:link w:val="3"/>
    <w:autoRedefine/>
    <w:qFormat/>
    <w:uiPriority w:val="9"/>
    <w:rPr>
      <w:rFonts w:ascii="Cambria" w:hAnsi="Cambria" w:eastAsia="宋体" w:cs="Times New Roman"/>
      <w:b/>
      <w:bCs/>
      <w:kern w:val="2"/>
      <w:sz w:val="32"/>
      <w:szCs w:val="32"/>
    </w:rPr>
  </w:style>
  <w:style w:type="character" w:customStyle="1" w:styleId="58">
    <w:name w:val="标题 3 Char"/>
    <w:link w:val="4"/>
    <w:autoRedefine/>
    <w:qFormat/>
    <w:uiPriority w:val="0"/>
    <w:rPr>
      <w:b/>
      <w:bCs/>
      <w:kern w:val="2"/>
      <w:sz w:val="32"/>
      <w:szCs w:val="32"/>
    </w:rPr>
  </w:style>
  <w:style w:type="character" w:customStyle="1" w:styleId="59">
    <w:name w:val="标题 4 Char"/>
    <w:link w:val="5"/>
    <w:autoRedefine/>
    <w:qFormat/>
    <w:uiPriority w:val="9"/>
    <w:rPr>
      <w:rFonts w:ascii="Arial" w:hAnsi="Arial"/>
      <w:b/>
      <w:bCs/>
      <w:kern w:val="2"/>
      <w:sz w:val="28"/>
      <w:szCs w:val="28"/>
    </w:rPr>
  </w:style>
  <w:style w:type="character" w:customStyle="1" w:styleId="60">
    <w:name w:val="标题 5 Char"/>
    <w:link w:val="6"/>
    <w:autoRedefine/>
    <w:qFormat/>
    <w:uiPriority w:val="99"/>
    <w:rPr>
      <w:rFonts w:ascii="Times New Roman" w:hAnsi="Times New Roman"/>
      <w:b/>
      <w:bCs/>
      <w:kern w:val="2"/>
      <w:sz w:val="28"/>
      <w:szCs w:val="28"/>
    </w:rPr>
  </w:style>
  <w:style w:type="character" w:customStyle="1" w:styleId="61">
    <w:name w:val="正文缩进 Char"/>
    <w:link w:val="7"/>
    <w:autoRedefine/>
    <w:qFormat/>
    <w:uiPriority w:val="99"/>
    <w:rPr>
      <w:kern w:val="2"/>
      <w:sz w:val="21"/>
    </w:rPr>
  </w:style>
  <w:style w:type="character" w:customStyle="1" w:styleId="62">
    <w:name w:val="标题 6 Char"/>
    <w:link w:val="8"/>
    <w:autoRedefine/>
    <w:qFormat/>
    <w:uiPriority w:val="9"/>
    <w:rPr>
      <w:rFonts w:ascii="Cambria" w:hAnsi="Cambria"/>
      <w:b/>
      <w:bCs/>
      <w:sz w:val="24"/>
      <w:szCs w:val="24"/>
    </w:rPr>
  </w:style>
  <w:style w:type="character" w:customStyle="1" w:styleId="63">
    <w:name w:val="标题 7 Char"/>
    <w:link w:val="9"/>
    <w:autoRedefine/>
    <w:qFormat/>
    <w:uiPriority w:val="0"/>
    <w:rPr>
      <w:b/>
      <w:bCs/>
      <w:sz w:val="24"/>
      <w:szCs w:val="24"/>
    </w:rPr>
  </w:style>
  <w:style w:type="character" w:customStyle="1" w:styleId="64">
    <w:name w:val="标题 8 Char1"/>
    <w:link w:val="10"/>
    <w:autoRedefine/>
    <w:semiHidden/>
    <w:qFormat/>
    <w:uiPriority w:val="9"/>
    <w:rPr>
      <w:rFonts w:ascii="等线 Light" w:hAnsi="等线 Light" w:eastAsia="等线 Light" w:cs="Times New Roman"/>
      <w:kern w:val="2"/>
      <w:sz w:val="24"/>
      <w:szCs w:val="24"/>
    </w:rPr>
  </w:style>
  <w:style w:type="character" w:customStyle="1" w:styleId="65">
    <w:name w:val="标题 9 Char"/>
    <w:link w:val="11"/>
    <w:autoRedefine/>
    <w:qFormat/>
    <w:uiPriority w:val="0"/>
    <w:rPr>
      <w:rFonts w:ascii="Cambria" w:hAnsi="Cambria"/>
      <w:szCs w:val="21"/>
    </w:rPr>
  </w:style>
  <w:style w:type="character" w:customStyle="1" w:styleId="66">
    <w:name w:val="文档结构图 Char"/>
    <w:link w:val="16"/>
    <w:autoRedefine/>
    <w:qFormat/>
    <w:uiPriority w:val="0"/>
    <w:rPr>
      <w:kern w:val="2"/>
      <w:sz w:val="24"/>
      <w:szCs w:val="24"/>
      <w:shd w:val="clear" w:color="auto" w:fill="000080"/>
    </w:rPr>
  </w:style>
  <w:style w:type="character" w:customStyle="1" w:styleId="67">
    <w:name w:val="批注文字 Char1"/>
    <w:link w:val="17"/>
    <w:autoRedefine/>
    <w:qFormat/>
    <w:uiPriority w:val="99"/>
    <w:rPr>
      <w:rFonts w:ascii="Times New Roman" w:hAnsi="Times New Roman"/>
      <w:kern w:val="2"/>
      <w:sz w:val="21"/>
      <w:szCs w:val="24"/>
    </w:rPr>
  </w:style>
  <w:style w:type="character" w:customStyle="1" w:styleId="68">
    <w:name w:val="正文文本 3 Char"/>
    <w:link w:val="18"/>
    <w:autoRedefine/>
    <w:semiHidden/>
    <w:qFormat/>
    <w:uiPriority w:val="99"/>
    <w:rPr>
      <w:kern w:val="2"/>
      <w:sz w:val="16"/>
      <w:szCs w:val="16"/>
    </w:rPr>
  </w:style>
  <w:style w:type="character" w:customStyle="1" w:styleId="69">
    <w:name w:val="正文文本 Char1"/>
    <w:link w:val="19"/>
    <w:autoRedefine/>
    <w:qFormat/>
    <w:uiPriority w:val="99"/>
    <w:rPr>
      <w:rFonts w:ascii="Times New Roman" w:hAnsi="Times New Roman"/>
      <w:kern w:val="2"/>
      <w:sz w:val="21"/>
      <w:szCs w:val="24"/>
    </w:rPr>
  </w:style>
  <w:style w:type="character" w:customStyle="1" w:styleId="70">
    <w:name w:val="正文文本缩进 Char"/>
    <w:link w:val="20"/>
    <w:autoRedefine/>
    <w:qFormat/>
    <w:uiPriority w:val="99"/>
    <w:rPr>
      <w:rFonts w:ascii="仿宋_GB2312" w:hAnsi="Times New Roman" w:eastAsia="仿宋_GB2312" w:cs="Times New Roman"/>
      <w:sz w:val="32"/>
      <w:szCs w:val="20"/>
    </w:rPr>
  </w:style>
  <w:style w:type="character" w:customStyle="1" w:styleId="71">
    <w:name w:val="纯文本 Char1"/>
    <w:link w:val="25"/>
    <w:autoRedefine/>
    <w:qFormat/>
    <w:uiPriority w:val="99"/>
    <w:rPr>
      <w:rFonts w:ascii="宋体" w:hAnsi="Courier New" w:eastAsia="宋体" w:cs="Courier New"/>
      <w:szCs w:val="21"/>
    </w:rPr>
  </w:style>
  <w:style w:type="character" w:customStyle="1" w:styleId="72">
    <w:name w:val="日期 Char"/>
    <w:link w:val="27"/>
    <w:autoRedefine/>
    <w:qFormat/>
    <w:uiPriority w:val="99"/>
    <w:rPr>
      <w:rFonts w:ascii="Times New Roman" w:hAnsi="Times New Roman"/>
      <w:kern w:val="2"/>
      <w:sz w:val="21"/>
      <w:szCs w:val="24"/>
    </w:rPr>
  </w:style>
  <w:style w:type="character" w:customStyle="1" w:styleId="73">
    <w:name w:val="正文文本缩进 2 Char"/>
    <w:link w:val="28"/>
    <w:autoRedefine/>
    <w:qFormat/>
    <w:uiPriority w:val="99"/>
    <w:rPr>
      <w:kern w:val="2"/>
      <w:sz w:val="24"/>
      <w:szCs w:val="24"/>
    </w:rPr>
  </w:style>
  <w:style w:type="character" w:customStyle="1" w:styleId="74">
    <w:name w:val="批注框文本 Char"/>
    <w:link w:val="29"/>
    <w:autoRedefine/>
    <w:qFormat/>
    <w:locked/>
    <w:uiPriority w:val="0"/>
    <w:rPr>
      <w:kern w:val="2"/>
      <w:sz w:val="18"/>
      <w:szCs w:val="18"/>
    </w:rPr>
  </w:style>
  <w:style w:type="character" w:customStyle="1" w:styleId="75">
    <w:name w:val="页眉 Char"/>
    <w:link w:val="31"/>
    <w:autoRedefine/>
    <w:qFormat/>
    <w:uiPriority w:val="0"/>
    <w:rPr>
      <w:sz w:val="18"/>
      <w:szCs w:val="18"/>
    </w:rPr>
  </w:style>
  <w:style w:type="character" w:customStyle="1" w:styleId="76">
    <w:name w:val="副标题 Char"/>
    <w:link w:val="34"/>
    <w:autoRedefine/>
    <w:qFormat/>
    <w:uiPriority w:val="11"/>
    <w:rPr>
      <w:rFonts w:ascii="Cambria" w:hAnsi="Cambria"/>
      <w:b/>
      <w:bCs/>
      <w:kern w:val="28"/>
      <w:sz w:val="32"/>
      <w:szCs w:val="32"/>
    </w:rPr>
  </w:style>
  <w:style w:type="character" w:customStyle="1" w:styleId="77">
    <w:name w:val="脚注文本 Char"/>
    <w:link w:val="35"/>
    <w:autoRedefine/>
    <w:semiHidden/>
    <w:qFormat/>
    <w:uiPriority w:val="0"/>
    <w:rPr>
      <w:sz w:val="18"/>
      <w:szCs w:val="18"/>
    </w:rPr>
  </w:style>
  <w:style w:type="character" w:customStyle="1" w:styleId="78">
    <w:name w:val="HTML 预设格式 Char"/>
    <w:link w:val="39"/>
    <w:autoRedefine/>
    <w:qFormat/>
    <w:uiPriority w:val="99"/>
    <w:rPr>
      <w:rFonts w:ascii="宋体" w:hAnsi="宋体"/>
      <w:sz w:val="24"/>
      <w:szCs w:val="24"/>
    </w:rPr>
  </w:style>
  <w:style w:type="character" w:customStyle="1" w:styleId="79">
    <w:name w:val="标题 Char"/>
    <w:link w:val="41"/>
    <w:autoRedefine/>
    <w:qFormat/>
    <w:uiPriority w:val="0"/>
    <w:rPr>
      <w:rFonts w:ascii="Cambria" w:hAnsi="Cambria"/>
      <w:b/>
      <w:bCs/>
      <w:kern w:val="2"/>
      <w:sz w:val="32"/>
      <w:szCs w:val="32"/>
    </w:rPr>
  </w:style>
  <w:style w:type="character" w:customStyle="1" w:styleId="80">
    <w:name w:val="批注主题 Char"/>
    <w:link w:val="42"/>
    <w:autoRedefine/>
    <w:qFormat/>
    <w:uiPriority w:val="0"/>
    <w:rPr>
      <w:rFonts w:ascii="Times New Roman" w:hAnsi="Times New Roman"/>
      <w:b/>
      <w:bCs/>
      <w:kern w:val="2"/>
      <w:sz w:val="21"/>
      <w:szCs w:val="24"/>
    </w:rPr>
  </w:style>
  <w:style w:type="character" w:customStyle="1" w:styleId="81">
    <w:name w:val="标题 1 字符1"/>
    <w:autoRedefine/>
    <w:qFormat/>
    <w:uiPriority w:val="0"/>
    <w:rPr>
      <w:b/>
      <w:bCs/>
      <w:kern w:val="44"/>
      <w:sz w:val="44"/>
      <w:szCs w:val="44"/>
    </w:rPr>
  </w:style>
  <w:style w:type="character" w:customStyle="1" w:styleId="82">
    <w:name w:val="textcontents"/>
    <w:autoRedefine/>
    <w:qFormat/>
    <w:uiPriority w:val="99"/>
  </w:style>
  <w:style w:type="character" w:customStyle="1" w:styleId="83">
    <w:name w:val="批注文字 Char"/>
    <w:autoRedefine/>
    <w:qFormat/>
    <w:uiPriority w:val="0"/>
    <w:rPr>
      <w:rFonts w:ascii="Times New Roman" w:hAnsi="Times New Roman"/>
      <w:kern w:val="2"/>
      <w:sz w:val="21"/>
      <w:szCs w:val="24"/>
    </w:rPr>
  </w:style>
  <w:style w:type="character" w:customStyle="1" w:styleId="84">
    <w:name w:val="纯文本 字符"/>
    <w:autoRedefine/>
    <w:qFormat/>
    <w:uiPriority w:val="0"/>
    <w:rPr>
      <w:rFonts w:ascii="宋体" w:hAnsi="Courier New" w:eastAsia="宋体" w:cs="Courier New"/>
      <w:szCs w:val="21"/>
    </w:rPr>
  </w:style>
  <w:style w:type="character" w:customStyle="1" w:styleId="85">
    <w:name w:val="纯文本 Char"/>
    <w:autoRedefine/>
    <w:qFormat/>
    <w:uiPriority w:val="0"/>
    <w:rPr>
      <w:rFonts w:ascii="宋体" w:hAnsi="Courier New" w:eastAsia="宋体" w:cs="Courier New"/>
      <w:szCs w:val="21"/>
    </w:rPr>
  </w:style>
  <w:style w:type="character" w:customStyle="1" w:styleId="86">
    <w:name w:val="纯文本 字符2"/>
    <w:autoRedefine/>
    <w:qFormat/>
    <w:uiPriority w:val="0"/>
    <w:rPr>
      <w:rFonts w:ascii="宋体" w:hAnsi="Courier New" w:eastAsia="宋体" w:cs="Courier New"/>
      <w:szCs w:val="21"/>
    </w:rPr>
  </w:style>
  <w:style w:type="character" w:customStyle="1" w:styleId="87">
    <w:name w:val="批注文字 字符1"/>
    <w:autoRedefine/>
    <w:qFormat/>
    <w:uiPriority w:val="0"/>
    <w:rPr>
      <w:rFonts w:ascii="Times New Roman" w:hAnsi="Times New Roman"/>
      <w:kern w:val="2"/>
      <w:sz w:val="21"/>
      <w:szCs w:val="24"/>
    </w:rPr>
  </w:style>
  <w:style w:type="character" w:customStyle="1" w:styleId="8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9">
    <w:name w:val="纯文本 字符1"/>
    <w:autoRedefine/>
    <w:qFormat/>
    <w:uiPriority w:val="0"/>
    <w:rPr>
      <w:rFonts w:ascii="宋体" w:hAnsi="Courier New"/>
    </w:rPr>
  </w:style>
  <w:style w:type="character" w:customStyle="1" w:styleId="90">
    <w:name w:val="正文文本 Char"/>
    <w:autoRedefine/>
    <w:qFormat/>
    <w:uiPriority w:val="0"/>
    <w:rPr>
      <w:rFonts w:ascii="Times New Roman" w:hAnsi="Times New Roman"/>
      <w:kern w:val="2"/>
      <w:sz w:val="21"/>
      <w:szCs w:val="24"/>
    </w:rPr>
  </w:style>
  <w:style w:type="character" w:customStyle="1" w:styleId="91">
    <w:name w:val="批注文字 字符"/>
    <w:autoRedefine/>
    <w:qFormat/>
    <w:uiPriority w:val="0"/>
    <w:rPr>
      <w:rFonts w:ascii="Times New Roman" w:hAnsi="Times New Roman"/>
      <w:kern w:val="2"/>
      <w:sz w:val="21"/>
      <w:szCs w:val="24"/>
    </w:rPr>
  </w:style>
  <w:style w:type="character" w:customStyle="1" w:styleId="92">
    <w:name w:val="标题 2 Char"/>
    <w:autoRedefine/>
    <w:qFormat/>
    <w:uiPriority w:val="0"/>
    <w:rPr>
      <w:rFonts w:ascii="Cambria" w:hAnsi="Cambria" w:eastAsia="宋体" w:cs="Times New Roman"/>
      <w:b/>
      <w:bCs/>
      <w:kern w:val="2"/>
      <w:sz w:val="32"/>
      <w:szCs w:val="32"/>
    </w:rPr>
  </w:style>
  <w:style w:type="character" w:customStyle="1" w:styleId="93">
    <w:name w:val="标题 8 Char"/>
    <w:autoRedefine/>
    <w:qFormat/>
    <w:uiPriority w:val="9"/>
    <w:rPr>
      <w:rFonts w:ascii="Arial" w:hAnsi="Arial" w:eastAsia="黑体"/>
      <w:kern w:val="2"/>
      <w:sz w:val="24"/>
      <w:szCs w:val="24"/>
    </w:rPr>
  </w:style>
  <w:style w:type="character" w:customStyle="1" w:styleId="94">
    <w:name w:val="apple-style-span"/>
    <w:autoRedefine/>
    <w:qFormat/>
    <w:uiPriority w:val="0"/>
  </w:style>
  <w:style w:type="paragraph" w:customStyle="1" w:styleId="95">
    <w:name w:val="默认段落字体 Para Char Char Char Char Char Char Char Char Char1 Char Char Char Char"/>
    <w:basedOn w:val="1"/>
    <w:autoRedefine/>
    <w:qFormat/>
    <w:uiPriority w:val="0"/>
    <w:rPr>
      <w:rFonts w:ascii="Tahoma" w:hAnsi="Tahoma"/>
      <w:sz w:val="24"/>
      <w:szCs w:val="20"/>
    </w:rPr>
  </w:style>
  <w:style w:type="paragraph" w:customStyle="1" w:styleId="96">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97">
    <w:name w:val="List Paragraph"/>
    <w:basedOn w:val="1"/>
    <w:autoRedefine/>
    <w:qFormat/>
    <w:uiPriority w:val="99"/>
    <w:pPr>
      <w:ind w:firstLine="420" w:firstLineChars="200"/>
    </w:pPr>
  </w:style>
  <w:style w:type="paragraph" w:customStyle="1" w:styleId="98">
    <w:name w:val="Table Paragraph"/>
    <w:basedOn w:val="1"/>
    <w:autoRedefine/>
    <w:qFormat/>
    <w:uiPriority w:val="1"/>
    <w:pPr>
      <w:jc w:val="left"/>
    </w:pPr>
    <w:rPr>
      <w:rFonts w:ascii="Calibri" w:hAnsi="Calibri"/>
      <w:kern w:val="0"/>
      <w:sz w:val="22"/>
      <w:szCs w:val="22"/>
      <w:lang w:eastAsia="en-US"/>
    </w:rPr>
  </w:style>
  <w:style w:type="character" w:customStyle="1" w:styleId="99">
    <w:name w:val="正文文本 字符"/>
    <w:autoRedefine/>
    <w:qFormat/>
    <w:uiPriority w:val="0"/>
    <w:rPr>
      <w:rFonts w:ascii="Times New Roman" w:hAnsi="Times New Roman"/>
      <w:kern w:val="2"/>
      <w:sz w:val="21"/>
      <w:szCs w:val="24"/>
    </w:rPr>
  </w:style>
  <w:style w:type="character" w:customStyle="1" w:styleId="100">
    <w:name w:val="批注文字 Char2"/>
    <w:autoRedefine/>
    <w:qFormat/>
    <w:uiPriority w:val="0"/>
    <w:rPr>
      <w:rFonts w:ascii="Times New Roman" w:hAnsi="Times New Roman"/>
      <w:kern w:val="2"/>
      <w:sz w:val="21"/>
      <w:szCs w:val="24"/>
    </w:rPr>
  </w:style>
  <w:style w:type="character" w:customStyle="1" w:styleId="101">
    <w:name w:val="正文2 Char Char"/>
    <w:link w:val="102"/>
    <w:autoRedefine/>
    <w:qFormat/>
    <w:uiPriority w:val="0"/>
    <w:rPr>
      <w:kern w:val="2"/>
      <w:sz w:val="24"/>
    </w:rPr>
  </w:style>
  <w:style w:type="paragraph" w:customStyle="1" w:styleId="102">
    <w:name w:val="正文2"/>
    <w:basedOn w:val="1"/>
    <w:link w:val="101"/>
    <w:autoRedefine/>
    <w:qFormat/>
    <w:uiPriority w:val="0"/>
    <w:pPr>
      <w:adjustRightInd w:val="0"/>
      <w:spacing w:before="156" w:line="360" w:lineRule="auto"/>
      <w:ind w:firstLine="510" w:firstLineChars="200"/>
    </w:pPr>
    <w:rPr>
      <w:sz w:val="24"/>
      <w:szCs w:val="20"/>
    </w:rPr>
  </w:style>
  <w:style w:type="character" w:customStyle="1" w:styleId="103">
    <w:name w:val="批注文字 Char Char"/>
    <w:autoRedefine/>
    <w:qFormat/>
    <w:uiPriority w:val="99"/>
    <w:rPr>
      <w:rFonts w:ascii="宋体" w:hAnsi="Times New Roman" w:eastAsia="宋体" w:cs="宋体"/>
      <w:sz w:val="20"/>
      <w:szCs w:val="20"/>
    </w:rPr>
  </w:style>
  <w:style w:type="character" w:customStyle="1" w:styleId="104">
    <w:name w:val="Heading 3 Char"/>
    <w:autoRedefine/>
    <w:qFormat/>
    <w:uiPriority w:val="99"/>
    <w:rPr>
      <w:b/>
      <w:bCs/>
      <w:kern w:val="2"/>
      <w:sz w:val="32"/>
      <w:szCs w:val="32"/>
    </w:rPr>
  </w:style>
  <w:style w:type="character" w:customStyle="1" w:styleId="105">
    <w:name w:val="Heading 2 Char"/>
    <w:autoRedefine/>
    <w:qFormat/>
    <w:uiPriority w:val="99"/>
    <w:rPr>
      <w:rFonts w:ascii="Arial" w:hAnsi="Arial" w:eastAsia="黑体" w:cs="Arial"/>
      <w:b/>
      <w:bCs/>
      <w:kern w:val="2"/>
      <w:sz w:val="32"/>
      <w:szCs w:val="32"/>
      <w:lang w:val="en-US" w:eastAsia="zh-CN"/>
    </w:rPr>
  </w:style>
  <w:style w:type="character" w:customStyle="1" w:styleId="106">
    <w:name w:val="Balloon Text Char"/>
    <w:autoRedefine/>
    <w:qFormat/>
    <w:uiPriority w:val="99"/>
    <w:rPr>
      <w:sz w:val="18"/>
      <w:szCs w:val="18"/>
    </w:rPr>
  </w:style>
  <w:style w:type="character" w:customStyle="1" w:styleId="107">
    <w:name w:val="文档结构图 Char1"/>
    <w:autoRedefine/>
    <w:qFormat/>
    <w:uiPriority w:val="99"/>
    <w:rPr>
      <w:rFonts w:ascii="宋体" w:hAnsi="Times New Roman" w:eastAsia="宋体" w:cs="宋体"/>
      <w:sz w:val="18"/>
      <w:szCs w:val="18"/>
    </w:rPr>
  </w:style>
  <w:style w:type="character" w:customStyle="1" w:styleId="108">
    <w:name w:val="Footnote Text Char"/>
    <w:autoRedefine/>
    <w:qFormat/>
    <w:uiPriority w:val="99"/>
    <w:rPr>
      <w:rFonts w:eastAsia="宋体"/>
      <w:sz w:val="18"/>
      <w:szCs w:val="18"/>
      <w:lang w:val="en-US" w:eastAsia="zh-CN"/>
    </w:rPr>
  </w:style>
  <w:style w:type="character" w:customStyle="1" w:styleId="109">
    <w:name w:val="Char Char21"/>
    <w:autoRedefine/>
    <w:qFormat/>
    <w:uiPriority w:val="99"/>
    <w:rPr>
      <w:rFonts w:ascii="Arial" w:hAnsi="Arial" w:eastAsia="黑体" w:cs="Arial"/>
      <w:b/>
      <w:bCs/>
      <w:sz w:val="32"/>
      <w:szCs w:val="32"/>
    </w:rPr>
  </w:style>
  <w:style w:type="character" w:customStyle="1" w:styleId="110">
    <w:name w:val="Body Text Indent Char"/>
    <w:autoRedefine/>
    <w:qFormat/>
    <w:uiPriority w:val="99"/>
    <w:rPr>
      <w:rFonts w:ascii="宋体" w:hAnsi="宋体" w:eastAsia="宋体" w:cs="宋体"/>
      <w:kern w:val="2"/>
      <w:sz w:val="21"/>
      <w:szCs w:val="21"/>
      <w:lang w:val="en-US" w:eastAsia="zh-CN"/>
    </w:rPr>
  </w:style>
  <w:style w:type="character" w:customStyle="1" w:styleId="111">
    <w:name w:val="不明显参考1"/>
    <w:autoRedefine/>
    <w:qFormat/>
    <w:uiPriority w:val="99"/>
    <w:rPr>
      <w:smallCaps/>
      <w:color w:val="auto"/>
      <w:u w:val="single"/>
    </w:rPr>
  </w:style>
  <w:style w:type="character" w:customStyle="1" w:styleId="112">
    <w:name w:val="Heading 4 Char"/>
    <w:autoRedefine/>
    <w:qFormat/>
    <w:uiPriority w:val="99"/>
    <w:rPr>
      <w:rFonts w:ascii="Arial" w:hAnsi="Arial" w:eastAsia="宋体" w:cs="Arial"/>
      <w:b/>
      <w:bCs/>
      <w:kern w:val="2"/>
      <w:sz w:val="28"/>
      <w:szCs w:val="28"/>
      <w:lang w:val="en-US" w:eastAsia="zh-CN"/>
    </w:rPr>
  </w:style>
  <w:style w:type="character" w:customStyle="1" w:styleId="113">
    <w:name w:val="Char Char20"/>
    <w:autoRedefine/>
    <w:qFormat/>
    <w:uiPriority w:val="99"/>
    <w:rPr>
      <w:rFonts w:ascii="Times New Roman" w:hAnsi="Times New Roman" w:eastAsia="宋体" w:cs="Times New Roman"/>
      <w:b/>
      <w:bCs/>
      <w:sz w:val="32"/>
      <w:szCs w:val="32"/>
    </w:rPr>
  </w:style>
  <w:style w:type="character" w:customStyle="1" w:styleId="114">
    <w:name w:val="Comment Subject Char"/>
    <w:autoRedefine/>
    <w:qFormat/>
    <w:uiPriority w:val="99"/>
    <w:rPr>
      <w:b/>
      <w:bCs/>
      <w:sz w:val="24"/>
      <w:szCs w:val="24"/>
    </w:rPr>
  </w:style>
  <w:style w:type="character" w:customStyle="1" w:styleId="115">
    <w:name w:val="Heading 1 Char"/>
    <w:autoRedefine/>
    <w:qFormat/>
    <w:uiPriority w:val="99"/>
    <w:rPr>
      <w:rFonts w:eastAsia="宋体"/>
      <w:b/>
      <w:bCs/>
      <w:kern w:val="44"/>
      <w:sz w:val="44"/>
      <w:szCs w:val="44"/>
      <w:lang w:val="en-US" w:eastAsia="zh-CN"/>
    </w:rPr>
  </w:style>
  <w:style w:type="character" w:customStyle="1" w:styleId="116">
    <w:name w:val="批注框文本 Char1"/>
    <w:autoRedefine/>
    <w:qFormat/>
    <w:uiPriority w:val="99"/>
    <w:rPr>
      <w:rFonts w:ascii="Times New Roman" w:hAnsi="Times New Roman" w:eastAsia="宋体" w:cs="Times New Roman"/>
      <w:sz w:val="18"/>
      <w:szCs w:val="18"/>
    </w:rPr>
  </w:style>
  <w:style w:type="character" w:customStyle="1" w:styleId="117">
    <w:name w:val="Char Char6"/>
    <w:autoRedefine/>
    <w:qFormat/>
    <w:uiPriority w:val="99"/>
    <w:rPr>
      <w:rFonts w:eastAsia="宋体"/>
      <w:b/>
      <w:bCs/>
      <w:kern w:val="44"/>
      <w:sz w:val="44"/>
      <w:szCs w:val="44"/>
      <w:lang w:val="en-US" w:eastAsia="zh-CN"/>
    </w:rPr>
  </w:style>
  <w:style w:type="character" w:customStyle="1" w:styleId="118">
    <w:name w:val="Char Char18"/>
    <w:autoRedefine/>
    <w:qFormat/>
    <w:uiPriority w:val="99"/>
    <w:rPr>
      <w:rFonts w:ascii="Times New Roman" w:hAnsi="Times New Roman" w:eastAsia="宋体" w:cs="Times New Roman"/>
      <w:b/>
      <w:bCs/>
      <w:sz w:val="28"/>
      <w:szCs w:val="28"/>
    </w:rPr>
  </w:style>
  <w:style w:type="character" w:customStyle="1" w:styleId="119">
    <w:name w:val="Body Text Indent 2 Char"/>
    <w:autoRedefine/>
    <w:qFormat/>
    <w:uiPriority w:val="99"/>
    <w:rPr>
      <w:rFonts w:eastAsia="宋体"/>
      <w:kern w:val="2"/>
      <w:sz w:val="24"/>
      <w:szCs w:val="24"/>
      <w:lang w:val="en-US" w:eastAsia="zh-CN"/>
    </w:rPr>
  </w:style>
  <w:style w:type="character" w:customStyle="1" w:styleId="120">
    <w:name w:val="Comment Text Char1"/>
    <w:autoRedefine/>
    <w:qFormat/>
    <w:uiPriority w:val="99"/>
    <w:rPr>
      <w:sz w:val="24"/>
      <w:szCs w:val="24"/>
    </w:rPr>
  </w:style>
  <w:style w:type="character" w:customStyle="1" w:styleId="121">
    <w:name w:val="标题5 Char Char"/>
    <w:link w:val="122"/>
    <w:autoRedefine/>
    <w:qFormat/>
    <w:locked/>
    <w:uiPriority w:val="99"/>
    <w:rPr>
      <w:rFonts w:ascii="Arial" w:hAnsi="Arial" w:cs="Arial"/>
      <w:b/>
      <w:bCs/>
      <w:sz w:val="32"/>
      <w:szCs w:val="32"/>
    </w:rPr>
  </w:style>
  <w:style w:type="paragraph" w:customStyle="1" w:styleId="122">
    <w:name w:val="标题5"/>
    <w:basedOn w:val="4"/>
    <w:link w:val="121"/>
    <w:autoRedefine/>
    <w:qFormat/>
    <w:uiPriority w:val="99"/>
    <w:pPr>
      <w:spacing w:line="413" w:lineRule="auto"/>
    </w:pPr>
    <w:rPr>
      <w:rFonts w:ascii="Arial" w:hAnsi="Arial"/>
      <w:kern w:val="0"/>
    </w:rPr>
  </w:style>
  <w:style w:type="character" w:customStyle="1" w:styleId="123">
    <w:name w:val="批注主题 Char1"/>
    <w:autoRedefine/>
    <w:qFormat/>
    <w:uiPriority w:val="99"/>
    <w:rPr>
      <w:rFonts w:ascii="Times New Roman" w:hAnsi="Times New Roman" w:eastAsia="宋体" w:cs="Times New Roman"/>
      <w:b/>
      <w:bCs/>
      <w:sz w:val="24"/>
      <w:szCs w:val="24"/>
    </w:rPr>
  </w:style>
  <w:style w:type="character" w:customStyle="1" w:styleId="124">
    <w:name w:val="Char Char24"/>
    <w:autoRedefine/>
    <w:qFormat/>
    <w:uiPriority w:val="99"/>
    <w:rPr>
      <w:rFonts w:eastAsia="宋体"/>
      <w:b/>
      <w:bCs/>
      <w:kern w:val="44"/>
      <w:sz w:val="44"/>
      <w:szCs w:val="44"/>
      <w:lang w:val="en-US" w:eastAsia="zh-CN"/>
    </w:rPr>
  </w:style>
  <w:style w:type="character" w:customStyle="1" w:styleId="125">
    <w:name w:val="Footer Char"/>
    <w:autoRedefine/>
    <w:qFormat/>
    <w:uiPriority w:val="99"/>
    <w:rPr>
      <w:rFonts w:eastAsia="宋体"/>
      <w:kern w:val="2"/>
      <w:sz w:val="18"/>
      <w:szCs w:val="18"/>
      <w:lang w:val="en-US" w:eastAsia="zh-CN"/>
    </w:rPr>
  </w:style>
  <w:style w:type="character" w:customStyle="1" w:styleId="126">
    <w:name w:val="Char Char9"/>
    <w:autoRedefine/>
    <w:qFormat/>
    <w:uiPriority w:val="99"/>
    <w:rPr>
      <w:rFonts w:eastAsia="宋体"/>
      <w:b/>
      <w:bCs/>
      <w:kern w:val="44"/>
      <w:sz w:val="44"/>
      <w:szCs w:val="44"/>
      <w:lang w:val="en-US" w:eastAsia="zh-CN"/>
    </w:rPr>
  </w:style>
  <w:style w:type="character" w:customStyle="1" w:styleId="127">
    <w:name w:val="Heading 3 Char1"/>
    <w:autoRedefine/>
    <w:qFormat/>
    <w:uiPriority w:val="99"/>
    <w:rPr>
      <w:rFonts w:eastAsia="宋体"/>
      <w:b/>
      <w:bCs/>
      <w:kern w:val="2"/>
      <w:sz w:val="32"/>
      <w:szCs w:val="32"/>
      <w:lang w:val="en-US" w:eastAsia="zh-CN"/>
    </w:rPr>
  </w:style>
  <w:style w:type="character" w:customStyle="1" w:styleId="128">
    <w:name w:val="Document Map Char"/>
    <w:autoRedefine/>
    <w:qFormat/>
    <w:uiPriority w:val="99"/>
    <w:rPr>
      <w:rFonts w:eastAsia="宋体"/>
      <w:kern w:val="2"/>
      <w:sz w:val="24"/>
      <w:szCs w:val="24"/>
      <w:lang w:val="en-US" w:eastAsia="zh-CN"/>
    </w:rPr>
  </w:style>
  <w:style w:type="character" w:customStyle="1" w:styleId="129">
    <w:name w:val="标题 Char1"/>
    <w:autoRedefine/>
    <w:qFormat/>
    <w:uiPriority w:val="99"/>
    <w:rPr>
      <w:rFonts w:ascii="Cambria" w:hAnsi="Cambria" w:eastAsia="宋体" w:cs="Cambria"/>
      <w:b/>
      <w:bCs/>
      <w:sz w:val="32"/>
      <w:szCs w:val="32"/>
    </w:rPr>
  </w:style>
  <w:style w:type="character" w:customStyle="1" w:styleId="130">
    <w:name w:val="Char Char22"/>
    <w:autoRedefine/>
    <w:qFormat/>
    <w:uiPriority w:val="99"/>
    <w:rPr>
      <w:rFonts w:ascii="Times New Roman" w:hAnsi="Times New Roman" w:eastAsia="宋体" w:cs="Times New Roman"/>
      <w:b/>
      <w:bCs/>
      <w:kern w:val="44"/>
      <w:sz w:val="44"/>
      <w:szCs w:val="44"/>
    </w:rPr>
  </w:style>
  <w:style w:type="character" w:customStyle="1" w:styleId="131">
    <w:name w:val="明显引用 Char"/>
    <w:link w:val="132"/>
    <w:autoRedefine/>
    <w:qFormat/>
    <w:locked/>
    <w:uiPriority w:val="99"/>
    <w:rPr>
      <w:b/>
      <w:bCs/>
      <w:i/>
      <w:iCs/>
      <w:color w:val="4F81BD"/>
    </w:rPr>
  </w:style>
  <w:style w:type="paragraph" w:customStyle="1" w:styleId="132">
    <w:name w:val="明显引用1"/>
    <w:basedOn w:val="1"/>
    <w:next w:val="1"/>
    <w:link w:val="131"/>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3">
    <w:name w:val="标题4 Char Char"/>
    <w:link w:val="134"/>
    <w:autoRedefine/>
    <w:qFormat/>
    <w:locked/>
    <w:uiPriority w:val="99"/>
    <w:rPr>
      <w:rFonts w:ascii="Arial" w:hAnsi="Arial" w:cs="Arial"/>
      <w:b/>
      <w:bCs/>
      <w:sz w:val="32"/>
      <w:szCs w:val="32"/>
    </w:rPr>
  </w:style>
  <w:style w:type="paragraph" w:customStyle="1" w:styleId="134">
    <w:name w:val="标题4"/>
    <w:basedOn w:val="3"/>
    <w:next w:val="22"/>
    <w:link w:val="133"/>
    <w:autoRedefine/>
    <w:qFormat/>
    <w:uiPriority w:val="99"/>
    <w:pPr>
      <w:spacing w:before="60" w:after="60" w:line="413" w:lineRule="auto"/>
    </w:pPr>
    <w:rPr>
      <w:rFonts w:ascii="Arial" w:hAnsi="Arial"/>
      <w:kern w:val="0"/>
    </w:rPr>
  </w:style>
  <w:style w:type="character" w:customStyle="1" w:styleId="135">
    <w:name w:val="Header Char"/>
    <w:autoRedefine/>
    <w:qFormat/>
    <w:uiPriority w:val="99"/>
    <w:rPr>
      <w:rFonts w:eastAsia="宋体"/>
      <w:kern w:val="2"/>
      <w:sz w:val="18"/>
      <w:szCs w:val="18"/>
      <w:lang w:val="en-US" w:eastAsia="zh-CN"/>
    </w:rPr>
  </w:style>
  <w:style w:type="character" w:customStyle="1" w:styleId="136">
    <w:name w:val="明显引用 Char1"/>
    <w:autoRedefine/>
    <w:qFormat/>
    <w:uiPriority w:val="99"/>
    <w:rPr>
      <w:rFonts w:ascii="Times New Roman" w:hAnsi="Times New Roman" w:eastAsia="宋体" w:cs="Times New Roman"/>
      <w:b/>
      <w:bCs/>
      <w:i/>
      <w:iCs/>
      <w:color w:val="4F81BD"/>
      <w:sz w:val="24"/>
      <w:szCs w:val="24"/>
    </w:rPr>
  </w:style>
  <w:style w:type="character" w:customStyle="1" w:styleId="137">
    <w:name w:val="Comment Text Char"/>
    <w:autoRedefine/>
    <w:qFormat/>
    <w:uiPriority w:val="99"/>
    <w:rPr>
      <w:sz w:val="24"/>
      <w:szCs w:val="24"/>
    </w:rPr>
  </w:style>
  <w:style w:type="character" w:customStyle="1" w:styleId="138">
    <w:name w:val="明显参考1"/>
    <w:autoRedefine/>
    <w:qFormat/>
    <w:uiPriority w:val="99"/>
    <w:rPr>
      <w:b/>
      <w:bCs/>
      <w:smallCaps/>
      <w:color w:val="auto"/>
      <w:spacing w:val="5"/>
      <w:u w:val="single"/>
    </w:rPr>
  </w:style>
  <w:style w:type="character" w:customStyle="1" w:styleId="139">
    <w:name w:val="明显强调1"/>
    <w:autoRedefine/>
    <w:qFormat/>
    <w:uiPriority w:val="99"/>
    <w:rPr>
      <w:b/>
      <w:bCs/>
      <w:i/>
      <w:iCs/>
      <w:color w:val="4F81BD"/>
    </w:rPr>
  </w:style>
  <w:style w:type="character" w:customStyle="1" w:styleId="140">
    <w:name w:val="引用 Char1"/>
    <w:autoRedefine/>
    <w:qFormat/>
    <w:uiPriority w:val="99"/>
    <w:rPr>
      <w:rFonts w:ascii="Times New Roman" w:hAnsi="Times New Roman" w:eastAsia="宋体" w:cs="Times New Roman"/>
      <w:i/>
      <w:iCs/>
      <w:color w:val="000000"/>
      <w:sz w:val="24"/>
      <w:szCs w:val="24"/>
    </w:rPr>
  </w:style>
  <w:style w:type="character" w:customStyle="1" w:styleId="141">
    <w:name w:val="引用 Char"/>
    <w:link w:val="142"/>
    <w:autoRedefine/>
    <w:qFormat/>
    <w:locked/>
    <w:uiPriority w:val="99"/>
    <w:rPr>
      <w:i/>
      <w:iCs/>
      <w:color w:val="000000"/>
    </w:rPr>
  </w:style>
  <w:style w:type="paragraph" w:customStyle="1" w:styleId="142">
    <w:name w:val="引用1"/>
    <w:basedOn w:val="1"/>
    <w:next w:val="1"/>
    <w:link w:val="141"/>
    <w:autoRedefine/>
    <w:qFormat/>
    <w:uiPriority w:val="99"/>
    <w:rPr>
      <w:i/>
      <w:iCs/>
      <w:color w:val="000000"/>
      <w:kern w:val="0"/>
      <w:sz w:val="20"/>
      <w:szCs w:val="20"/>
    </w:rPr>
  </w:style>
  <w:style w:type="character" w:customStyle="1" w:styleId="143">
    <w:name w:val="标题 Char2"/>
    <w:autoRedefine/>
    <w:qFormat/>
    <w:uiPriority w:val="99"/>
    <w:rPr>
      <w:rFonts w:ascii="Cambria" w:hAnsi="Cambria" w:eastAsia="宋体" w:cs="Cambria"/>
      <w:b/>
      <w:bCs/>
      <w:sz w:val="32"/>
      <w:szCs w:val="32"/>
    </w:rPr>
  </w:style>
  <w:style w:type="character" w:customStyle="1" w:styleId="144">
    <w:name w:val="Char Char23"/>
    <w:autoRedefine/>
    <w:qFormat/>
    <w:uiPriority w:val="99"/>
    <w:rPr>
      <w:rFonts w:eastAsia="宋体"/>
      <w:b/>
      <w:bCs/>
      <w:kern w:val="44"/>
      <w:sz w:val="44"/>
      <w:szCs w:val="44"/>
      <w:lang w:val="en-US" w:eastAsia="zh-CN"/>
    </w:rPr>
  </w:style>
  <w:style w:type="character" w:customStyle="1" w:styleId="145">
    <w:name w:val="Plain Text Char"/>
    <w:autoRedefine/>
    <w:qFormat/>
    <w:uiPriority w:val="99"/>
    <w:rPr>
      <w:rFonts w:ascii="宋体" w:hAnsi="Courier New" w:eastAsia="宋体" w:cs="宋体"/>
      <w:sz w:val="24"/>
      <w:szCs w:val="24"/>
    </w:rPr>
  </w:style>
  <w:style w:type="character" w:customStyle="1" w:styleId="146">
    <w:name w:val="Char Char91"/>
    <w:autoRedefine/>
    <w:qFormat/>
    <w:uiPriority w:val="99"/>
    <w:rPr>
      <w:rFonts w:eastAsia="宋体"/>
      <w:b/>
      <w:bCs/>
      <w:kern w:val="44"/>
      <w:sz w:val="44"/>
      <w:szCs w:val="44"/>
      <w:lang w:val="en-US" w:eastAsia="zh-CN"/>
    </w:rPr>
  </w:style>
  <w:style w:type="character" w:customStyle="1" w:styleId="147">
    <w:name w:val="Char Char181"/>
    <w:autoRedefine/>
    <w:qFormat/>
    <w:uiPriority w:val="99"/>
    <w:rPr>
      <w:b/>
      <w:bCs/>
      <w:kern w:val="44"/>
      <w:sz w:val="44"/>
      <w:szCs w:val="44"/>
    </w:rPr>
  </w:style>
  <w:style w:type="character" w:customStyle="1" w:styleId="148">
    <w:name w:val="Heading 5 Char"/>
    <w:autoRedefine/>
    <w:qFormat/>
    <w:uiPriority w:val="99"/>
    <w:rPr>
      <w:rFonts w:eastAsia="宋体"/>
      <w:b/>
      <w:bCs/>
      <w:kern w:val="2"/>
      <w:sz w:val="28"/>
      <w:szCs w:val="28"/>
      <w:lang w:val="en-US" w:eastAsia="zh-CN"/>
    </w:rPr>
  </w:style>
  <w:style w:type="character" w:customStyle="1" w:styleId="149">
    <w:name w:val="Char Char19"/>
    <w:autoRedefine/>
    <w:qFormat/>
    <w:uiPriority w:val="99"/>
    <w:rPr>
      <w:rFonts w:ascii="Arial" w:hAnsi="Arial" w:eastAsia="宋体" w:cs="Arial"/>
      <w:b/>
      <w:bCs/>
      <w:sz w:val="28"/>
      <w:szCs w:val="28"/>
    </w:rPr>
  </w:style>
  <w:style w:type="character" w:customStyle="1" w:styleId="150">
    <w:name w:val="日期 Char1"/>
    <w:autoRedefine/>
    <w:qFormat/>
    <w:uiPriority w:val="99"/>
    <w:rPr>
      <w:rFonts w:ascii="Times New Roman" w:hAnsi="Times New Roman" w:eastAsia="宋体" w:cs="Times New Roman"/>
      <w:sz w:val="24"/>
      <w:szCs w:val="24"/>
    </w:rPr>
  </w:style>
  <w:style w:type="character" w:customStyle="1" w:styleId="151">
    <w:name w:val="Date Char"/>
    <w:autoRedefine/>
    <w:qFormat/>
    <w:uiPriority w:val="99"/>
    <w:rPr>
      <w:rFonts w:eastAsia="宋体"/>
      <w:kern w:val="2"/>
      <w:sz w:val="24"/>
      <w:szCs w:val="24"/>
      <w:lang w:val="en-US" w:eastAsia="zh-CN"/>
    </w:rPr>
  </w:style>
  <w:style w:type="character" w:customStyle="1" w:styleId="152">
    <w:name w:val="Title Char"/>
    <w:autoRedefine/>
    <w:qFormat/>
    <w:uiPriority w:val="99"/>
    <w:rPr>
      <w:rFonts w:ascii="Cambria" w:hAnsi="Cambria" w:cs="Cambria"/>
      <w:b/>
      <w:bCs/>
      <w:sz w:val="32"/>
      <w:szCs w:val="32"/>
    </w:rPr>
  </w:style>
  <w:style w:type="character" w:customStyle="1" w:styleId="153">
    <w:name w:val="书籍标题1"/>
    <w:autoRedefine/>
    <w:qFormat/>
    <w:uiPriority w:val="99"/>
    <w:rPr>
      <w:b/>
      <w:bCs/>
      <w:smallCaps/>
      <w:spacing w:val="5"/>
    </w:rPr>
  </w:style>
  <w:style w:type="character" w:customStyle="1" w:styleId="154">
    <w:name w:val="不明显强调1"/>
    <w:autoRedefine/>
    <w:qFormat/>
    <w:uiPriority w:val="99"/>
    <w:rPr>
      <w:i/>
      <w:iCs/>
      <w:color w:val="808080"/>
    </w:rPr>
  </w:style>
  <w:style w:type="paragraph" w:customStyle="1" w:styleId="155">
    <w:name w:val="样式1"/>
    <w:basedOn w:val="1"/>
    <w:next w:val="5"/>
    <w:autoRedefine/>
    <w:qFormat/>
    <w:uiPriority w:val="99"/>
    <w:pPr>
      <w:spacing w:line="360" w:lineRule="auto"/>
      <w:ind w:firstLine="420" w:firstLineChars="200"/>
    </w:pPr>
    <w:rPr>
      <w:rFonts w:ascii="宋体" w:hAnsi="宋体" w:cs="宋体"/>
      <w:szCs w:val="21"/>
    </w:rPr>
  </w:style>
  <w:style w:type="paragraph" w:customStyle="1" w:styleId="156">
    <w:name w:val="Default"/>
    <w:autoRedefine/>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57">
    <w:name w:val="Char Char Char Char Char Char Char"/>
    <w:basedOn w:val="1"/>
    <w:autoRedefine/>
    <w:qFormat/>
    <w:uiPriority w:val="99"/>
    <w:pPr>
      <w:widowControl/>
      <w:spacing w:after="160" w:line="240" w:lineRule="exact"/>
      <w:jc w:val="left"/>
    </w:pPr>
    <w:rPr>
      <w:szCs w:val="21"/>
    </w:rPr>
  </w:style>
  <w:style w:type="paragraph" w:customStyle="1" w:styleId="158">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9">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0">
    <w:name w:val="TOC 标题1"/>
    <w:basedOn w:val="2"/>
    <w:next w:val="1"/>
    <w:autoRedefine/>
    <w:qFormat/>
    <w:uiPriority w:val="99"/>
    <w:pPr>
      <w:spacing w:line="576" w:lineRule="auto"/>
      <w:outlineLvl w:val="9"/>
    </w:pPr>
    <w:rPr>
      <w:rFonts w:ascii="Calibri" w:hAnsi="Calibri" w:eastAsia="黑体" w:cs="Calibri"/>
      <w:lang w:val="zh-CN"/>
    </w:rPr>
  </w:style>
  <w:style w:type="paragraph" w:customStyle="1" w:styleId="161">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162">
    <w:name w:val="p0"/>
    <w:basedOn w:val="1"/>
    <w:autoRedefine/>
    <w:qFormat/>
    <w:uiPriority w:val="0"/>
    <w:pPr>
      <w:widowControl/>
    </w:pPr>
    <w:rPr>
      <w:rFonts w:ascii="Calibri" w:hAnsi="Calibri" w:cs="Calibri"/>
      <w:kern w:val="0"/>
      <w:szCs w:val="21"/>
    </w:rPr>
  </w:style>
  <w:style w:type="paragraph" w:customStyle="1" w:styleId="163">
    <w:name w:val="Char"/>
    <w:basedOn w:val="1"/>
    <w:autoRedefine/>
    <w:qFormat/>
    <w:uiPriority w:val="99"/>
    <w:pPr>
      <w:widowControl/>
      <w:spacing w:after="160" w:line="240" w:lineRule="exact"/>
      <w:jc w:val="left"/>
    </w:pPr>
    <w:rPr>
      <w:szCs w:val="21"/>
    </w:rPr>
  </w:style>
  <w:style w:type="paragraph" w:customStyle="1" w:styleId="164">
    <w:name w:val="1"/>
    <w:basedOn w:val="1"/>
    <w:next w:val="1"/>
    <w:autoRedefine/>
    <w:qFormat/>
    <w:uiPriority w:val="99"/>
    <w:rPr>
      <w:szCs w:val="21"/>
    </w:rPr>
  </w:style>
  <w:style w:type="paragraph" w:customStyle="1" w:styleId="165">
    <w:name w:val="列出段落2"/>
    <w:basedOn w:val="1"/>
    <w:autoRedefine/>
    <w:qFormat/>
    <w:uiPriority w:val="99"/>
    <w:pPr>
      <w:ind w:firstLine="420" w:firstLineChars="200"/>
    </w:pPr>
    <w:rPr>
      <w:rFonts w:ascii="Calibri" w:hAnsi="Calibri" w:cs="Calibri"/>
      <w:szCs w:val="21"/>
    </w:rPr>
  </w:style>
  <w:style w:type="paragraph" w:customStyle="1" w:styleId="166">
    <w:name w:val="_Style 165"/>
    <w:autoRedefine/>
    <w:qFormat/>
    <w:uiPriority w:val="99"/>
    <w:rPr>
      <w:rFonts w:ascii="Times New Roman" w:hAnsi="Times New Roman" w:eastAsia="宋体" w:cs="Times New Roman"/>
      <w:kern w:val="2"/>
      <w:sz w:val="21"/>
      <w:szCs w:val="21"/>
      <w:lang w:val="en-US" w:eastAsia="zh-CN" w:bidi="ar-SA"/>
    </w:rPr>
  </w:style>
  <w:style w:type="paragraph" w:customStyle="1" w:styleId="167">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8">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69">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70">
    <w:name w:val="2-2ji"/>
    <w:basedOn w:val="3"/>
    <w:autoRedefine/>
    <w:qFormat/>
    <w:uiPriority w:val="99"/>
    <w:pPr>
      <w:spacing w:before="0" w:after="0" w:line="360" w:lineRule="auto"/>
      <w:jc w:val="center"/>
    </w:pPr>
    <w:rPr>
      <w:rFonts w:ascii="宋体" w:hAnsi="宋体" w:cs="宋体"/>
      <w:sz w:val="36"/>
      <w:szCs w:val="36"/>
      <w:lang w:val="zh-CN"/>
    </w:rPr>
  </w:style>
  <w:style w:type="paragraph" w:customStyle="1" w:styleId="17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72">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73">
    <w:name w:val="列出段落1"/>
    <w:basedOn w:val="1"/>
    <w:autoRedefine/>
    <w:qFormat/>
    <w:uiPriority w:val="99"/>
    <w:pPr>
      <w:ind w:firstLine="420" w:firstLineChars="200"/>
    </w:pPr>
    <w:rPr>
      <w:rFonts w:ascii="Calibri" w:hAnsi="Calibri" w:cs="Calibri"/>
      <w:szCs w:val="21"/>
    </w:rPr>
  </w:style>
  <w:style w:type="paragraph" w:customStyle="1" w:styleId="174">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5">
    <w:name w:val="Char1"/>
    <w:basedOn w:val="1"/>
    <w:autoRedefine/>
    <w:qFormat/>
    <w:uiPriority w:val="99"/>
    <w:pPr>
      <w:widowControl/>
      <w:spacing w:after="160" w:line="240" w:lineRule="exact"/>
      <w:jc w:val="left"/>
    </w:pPr>
    <w:rPr>
      <w:szCs w:val="21"/>
    </w:rPr>
  </w:style>
  <w:style w:type="paragraph" w:customStyle="1" w:styleId="176">
    <w:name w:val="_Style 37"/>
    <w:basedOn w:val="1"/>
    <w:next w:val="1"/>
    <w:autoRedefine/>
    <w:qFormat/>
    <w:uiPriority w:val="99"/>
    <w:rPr>
      <w:szCs w:val="21"/>
    </w:rPr>
  </w:style>
  <w:style w:type="paragraph" w:customStyle="1" w:styleId="177">
    <w:name w:val="样式 标题 3 + (中文) 黑体 小四 非加粗 段前: 7.8 磅 段后: 0 磅 行距: 固定值 20 磅"/>
    <w:basedOn w:val="4"/>
    <w:autoRedefine/>
    <w:qFormat/>
    <w:uiPriority w:val="99"/>
    <w:pPr>
      <w:spacing w:before="0" w:after="0" w:line="400" w:lineRule="exact"/>
    </w:pPr>
    <w:rPr>
      <w:rFonts w:eastAsia="黑体"/>
      <w:b w:val="0"/>
      <w:bCs w:val="0"/>
      <w:lang w:val="zh-CN"/>
    </w:rPr>
  </w:style>
  <w:style w:type="paragraph" w:styleId="178">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Body text|1"/>
    <w:basedOn w:val="1"/>
    <w:link w:val="180"/>
    <w:autoRedefine/>
    <w:qFormat/>
    <w:uiPriority w:val="0"/>
    <w:pPr>
      <w:spacing w:line="360" w:lineRule="auto"/>
      <w:ind w:firstLine="400"/>
    </w:pPr>
    <w:rPr>
      <w:rFonts w:ascii="宋体" w:hAnsi="宋体" w:cs="宋体"/>
      <w:szCs w:val="20"/>
      <w:lang w:val="zh-CN" w:bidi="zh-CN"/>
    </w:rPr>
  </w:style>
  <w:style w:type="character" w:customStyle="1" w:styleId="180">
    <w:name w:val="Body text|1_"/>
    <w:link w:val="179"/>
    <w:autoRedefine/>
    <w:qFormat/>
    <w:uiPriority w:val="0"/>
    <w:rPr>
      <w:rFonts w:ascii="宋体" w:hAnsi="宋体" w:cs="宋体"/>
      <w:kern w:val="2"/>
      <w:sz w:val="21"/>
      <w:lang w:val="zh-CN" w:bidi="zh-CN"/>
    </w:rPr>
  </w:style>
  <w:style w:type="character" w:customStyle="1" w:styleId="181">
    <w:name w:val="Body text|3_"/>
    <w:link w:val="182"/>
    <w:autoRedefine/>
    <w:qFormat/>
    <w:uiPriority w:val="0"/>
    <w:rPr>
      <w:rFonts w:ascii="宋体" w:hAnsi="宋体" w:cs="宋体"/>
      <w:lang w:val="zh-CN" w:bidi="zh-CN"/>
    </w:rPr>
  </w:style>
  <w:style w:type="paragraph" w:customStyle="1" w:styleId="182">
    <w:name w:val="Body text|3"/>
    <w:basedOn w:val="1"/>
    <w:link w:val="181"/>
    <w:autoRedefine/>
    <w:qFormat/>
    <w:uiPriority w:val="0"/>
    <w:pPr>
      <w:spacing w:after="340"/>
      <w:jc w:val="left"/>
    </w:pPr>
    <w:rPr>
      <w:rFonts w:ascii="宋体" w:hAnsi="宋体" w:cs="宋体"/>
      <w:kern w:val="0"/>
      <w:sz w:val="20"/>
      <w:szCs w:val="20"/>
      <w:lang w:val="zh-CN" w:bidi="zh-CN"/>
    </w:rPr>
  </w:style>
  <w:style w:type="character" w:customStyle="1" w:styleId="183">
    <w:name w:val="Other|1_"/>
    <w:link w:val="184"/>
    <w:autoRedefine/>
    <w:qFormat/>
    <w:uiPriority w:val="0"/>
    <w:rPr>
      <w:rFonts w:ascii="宋体" w:hAnsi="宋体" w:cs="宋体"/>
      <w:lang w:val="zh-CN" w:bidi="zh-CN"/>
    </w:rPr>
  </w:style>
  <w:style w:type="paragraph" w:customStyle="1" w:styleId="184">
    <w:name w:val="Other|1"/>
    <w:basedOn w:val="1"/>
    <w:link w:val="183"/>
    <w:autoRedefine/>
    <w:qFormat/>
    <w:uiPriority w:val="0"/>
    <w:pPr>
      <w:spacing w:line="360" w:lineRule="auto"/>
      <w:ind w:firstLine="400"/>
      <w:jc w:val="left"/>
    </w:pPr>
    <w:rPr>
      <w:rFonts w:ascii="宋体" w:hAnsi="宋体" w:cs="宋体"/>
      <w:kern w:val="0"/>
      <w:sz w:val="20"/>
      <w:szCs w:val="20"/>
      <w:lang w:val="zh-CN" w:bidi="zh-CN"/>
    </w:rPr>
  </w:style>
  <w:style w:type="character" w:customStyle="1" w:styleId="185">
    <w:name w:val="Table of contents|1_"/>
    <w:link w:val="186"/>
    <w:autoRedefine/>
    <w:qFormat/>
    <w:uiPriority w:val="0"/>
    <w:rPr>
      <w:rFonts w:ascii="宋体" w:hAnsi="宋体" w:cs="宋体"/>
      <w:lang w:val="zh-CN" w:bidi="zh-CN"/>
    </w:rPr>
  </w:style>
  <w:style w:type="paragraph" w:customStyle="1" w:styleId="186">
    <w:name w:val="Table of contents|1"/>
    <w:basedOn w:val="1"/>
    <w:link w:val="185"/>
    <w:autoRedefine/>
    <w:qFormat/>
    <w:uiPriority w:val="0"/>
    <w:pPr>
      <w:spacing w:after="100"/>
      <w:ind w:firstLine="600"/>
      <w:jc w:val="left"/>
    </w:pPr>
    <w:rPr>
      <w:rFonts w:ascii="宋体" w:hAnsi="宋体" w:cs="宋体"/>
      <w:kern w:val="0"/>
      <w:sz w:val="20"/>
      <w:szCs w:val="20"/>
      <w:lang w:val="zh-CN" w:bidi="zh-CN"/>
    </w:rPr>
  </w:style>
  <w:style w:type="character" w:customStyle="1" w:styleId="187">
    <w:name w:val="Header or footer|1_"/>
    <w:link w:val="188"/>
    <w:autoRedefine/>
    <w:qFormat/>
    <w:uiPriority w:val="0"/>
    <w:rPr>
      <w:sz w:val="17"/>
      <w:szCs w:val="17"/>
      <w:lang w:val="zh-CN" w:bidi="zh-CN"/>
    </w:rPr>
  </w:style>
  <w:style w:type="paragraph" w:customStyle="1" w:styleId="188">
    <w:name w:val="Header or footer|1"/>
    <w:basedOn w:val="1"/>
    <w:link w:val="187"/>
    <w:autoRedefine/>
    <w:qFormat/>
    <w:uiPriority w:val="0"/>
    <w:pPr>
      <w:jc w:val="center"/>
    </w:pPr>
    <w:rPr>
      <w:kern w:val="0"/>
      <w:sz w:val="17"/>
      <w:szCs w:val="17"/>
      <w:lang w:val="zh-CN" w:bidi="zh-CN"/>
    </w:rPr>
  </w:style>
  <w:style w:type="character" w:customStyle="1" w:styleId="189">
    <w:name w:val="Heading #3|1_"/>
    <w:link w:val="190"/>
    <w:autoRedefine/>
    <w:qFormat/>
    <w:uiPriority w:val="0"/>
    <w:rPr>
      <w:rFonts w:ascii="宋体" w:hAnsi="宋体" w:cs="宋体"/>
      <w:sz w:val="28"/>
      <w:szCs w:val="28"/>
      <w:lang w:val="zh-CN" w:bidi="zh-CN"/>
    </w:rPr>
  </w:style>
  <w:style w:type="paragraph" w:customStyle="1" w:styleId="190">
    <w:name w:val="Heading #3|1"/>
    <w:basedOn w:val="1"/>
    <w:link w:val="189"/>
    <w:autoRedefine/>
    <w:qFormat/>
    <w:uiPriority w:val="0"/>
    <w:pPr>
      <w:spacing w:after="570"/>
      <w:jc w:val="center"/>
      <w:outlineLvl w:val="2"/>
    </w:pPr>
    <w:rPr>
      <w:rFonts w:ascii="宋体" w:hAnsi="宋体" w:cs="宋体"/>
      <w:kern w:val="0"/>
      <w:sz w:val="28"/>
      <w:szCs w:val="28"/>
      <w:lang w:val="zh-CN" w:bidi="zh-CN"/>
    </w:rPr>
  </w:style>
  <w:style w:type="character" w:customStyle="1" w:styleId="191">
    <w:name w:val="Body text|7_"/>
    <w:link w:val="192"/>
    <w:autoRedefine/>
    <w:qFormat/>
    <w:uiPriority w:val="0"/>
    <w:rPr>
      <w:rFonts w:ascii="Courier New" w:hAnsi="Courier New" w:eastAsia="Courier New" w:cs="Courier New"/>
      <w:b/>
      <w:bCs/>
      <w:sz w:val="8"/>
      <w:szCs w:val="8"/>
      <w:lang w:val="zh-CN"/>
    </w:rPr>
  </w:style>
  <w:style w:type="paragraph" w:customStyle="1" w:styleId="192">
    <w:name w:val="Body text|7"/>
    <w:basedOn w:val="1"/>
    <w:link w:val="191"/>
    <w:autoRedefine/>
    <w:qFormat/>
    <w:uiPriority w:val="0"/>
    <w:pPr>
      <w:ind w:hanging="1760"/>
      <w:jc w:val="left"/>
    </w:pPr>
    <w:rPr>
      <w:rFonts w:ascii="Courier New" w:hAnsi="Courier New" w:eastAsia="Courier New"/>
      <w:b/>
      <w:bCs/>
      <w:kern w:val="0"/>
      <w:sz w:val="8"/>
      <w:szCs w:val="8"/>
      <w:lang w:val="zh-CN"/>
    </w:rPr>
  </w:style>
  <w:style w:type="character" w:customStyle="1" w:styleId="193">
    <w:name w:val="Body text|4_"/>
    <w:link w:val="194"/>
    <w:autoRedefine/>
    <w:qFormat/>
    <w:uiPriority w:val="0"/>
    <w:rPr>
      <w:rFonts w:ascii="宋体" w:hAnsi="宋体" w:cs="宋体"/>
      <w:b/>
      <w:bCs/>
      <w:sz w:val="17"/>
      <w:szCs w:val="17"/>
      <w:lang w:val="zh-CN" w:bidi="zh-CN"/>
    </w:rPr>
  </w:style>
  <w:style w:type="paragraph" w:customStyle="1" w:styleId="194">
    <w:name w:val="Body text|4"/>
    <w:basedOn w:val="1"/>
    <w:link w:val="193"/>
    <w:autoRedefine/>
    <w:qFormat/>
    <w:uiPriority w:val="0"/>
    <w:pPr>
      <w:spacing w:line="281" w:lineRule="exact"/>
      <w:jc w:val="center"/>
    </w:pPr>
    <w:rPr>
      <w:rFonts w:ascii="宋体" w:hAnsi="宋体" w:cs="宋体"/>
      <w:b/>
      <w:bCs/>
      <w:kern w:val="0"/>
      <w:sz w:val="17"/>
      <w:szCs w:val="17"/>
      <w:lang w:val="zh-CN" w:bidi="zh-CN"/>
    </w:rPr>
  </w:style>
  <w:style w:type="character" w:customStyle="1" w:styleId="195">
    <w:name w:val="Heading #4|1_"/>
    <w:link w:val="196"/>
    <w:autoRedefine/>
    <w:qFormat/>
    <w:uiPriority w:val="0"/>
    <w:rPr>
      <w:rFonts w:ascii="宋体" w:hAnsi="宋体" w:cs="宋体"/>
      <w:lang w:val="zh-CN" w:bidi="zh-CN"/>
    </w:rPr>
  </w:style>
  <w:style w:type="paragraph" w:customStyle="1" w:styleId="196">
    <w:name w:val="Heading #4|1"/>
    <w:basedOn w:val="1"/>
    <w:link w:val="195"/>
    <w:autoRedefine/>
    <w:qFormat/>
    <w:uiPriority w:val="0"/>
    <w:pPr>
      <w:spacing w:after="120"/>
      <w:jc w:val="left"/>
      <w:outlineLvl w:val="3"/>
    </w:pPr>
    <w:rPr>
      <w:rFonts w:ascii="宋体" w:hAnsi="宋体" w:cs="宋体"/>
      <w:kern w:val="0"/>
      <w:sz w:val="20"/>
      <w:szCs w:val="20"/>
      <w:lang w:val="zh-CN" w:bidi="zh-CN"/>
    </w:rPr>
  </w:style>
  <w:style w:type="character" w:customStyle="1" w:styleId="197">
    <w:name w:val="Body text|5_"/>
    <w:link w:val="198"/>
    <w:autoRedefine/>
    <w:qFormat/>
    <w:uiPriority w:val="0"/>
    <w:rPr>
      <w:rFonts w:ascii="宋体" w:hAnsi="宋体" w:cs="宋体"/>
      <w:sz w:val="52"/>
      <w:szCs w:val="52"/>
      <w:lang w:val="zh-CN" w:bidi="zh-CN"/>
    </w:rPr>
  </w:style>
  <w:style w:type="paragraph" w:customStyle="1" w:styleId="198">
    <w:name w:val="Body text|5"/>
    <w:basedOn w:val="1"/>
    <w:link w:val="197"/>
    <w:autoRedefine/>
    <w:qFormat/>
    <w:uiPriority w:val="0"/>
    <w:pPr>
      <w:jc w:val="center"/>
    </w:pPr>
    <w:rPr>
      <w:rFonts w:ascii="宋体" w:hAnsi="宋体" w:cs="宋体"/>
      <w:kern w:val="0"/>
      <w:sz w:val="52"/>
      <w:szCs w:val="52"/>
      <w:lang w:val="zh-CN" w:bidi="zh-CN"/>
    </w:rPr>
  </w:style>
  <w:style w:type="character" w:customStyle="1" w:styleId="199">
    <w:name w:val="Header or footer|2_"/>
    <w:link w:val="200"/>
    <w:autoRedefine/>
    <w:qFormat/>
    <w:uiPriority w:val="0"/>
    <w:rPr>
      <w:lang w:val="zh-CN" w:bidi="zh-CN"/>
    </w:rPr>
  </w:style>
  <w:style w:type="paragraph" w:customStyle="1" w:styleId="200">
    <w:name w:val="Header or footer|2"/>
    <w:basedOn w:val="1"/>
    <w:link w:val="199"/>
    <w:autoRedefine/>
    <w:qFormat/>
    <w:uiPriority w:val="0"/>
    <w:pPr>
      <w:jc w:val="left"/>
    </w:pPr>
    <w:rPr>
      <w:kern w:val="0"/>
      <w:sz w:val="20"/>
      <w:szCs w:val="20"/>
      <w:lang w:val="zh-CN" w:bidi="zh-CN"/>
    </w:rPr>
  </w:style>
  <w:style w:type="character" w:customStyle="1" w:styleId="201">
    <w:name w:val="Heading #2|1_"/>
    <w:link w:val="202"/>
    <w:autoRedefine/>
    <w:qFormat/>
    <w:uiPriority w:val="0"/>
    <w:rPr>
      <w:rFonts w:ascii="宋体" w:hAnsi="宋体" w:cs="宋体"/>
      <w:sz w:val="34"/>
      <w:szCs w:val="34"/>
      <w:lang w:val="zh-CN" w:bidi="zh-CN"/>
    </w:rPr>
  </w:style>
  <w:style w:type="paragraph" w:customStyle="1" w:styleId="202">
    <w:name w:val="Heading #2|1"/>
    <w:basedOn w:val="1"/>
    <w:link w:val="201"/>
    <w:autoRedefine/>
    <w:qFormat/>
    <w:uiPriority w:val="0"/>
    <w:pPr>
      <w:spacing w:after="900"/>
      <w:jc w:val="center"/>
      <w:outlineLvl w:val="1"/>
    </w:pPr>
    <w:rPr>
      <w:rFonts w:ascii="宋体" w:hAnsi="宋体" w:cs="宋体"/>
      <w:kern w:val="0"/>
      <w:sz w:val="34"/>
      <w:szCs w:val="34"/>
      <w:lang w:val="zh-CN" w:bidi="zh-CN"/>
    </w:rPr>
  </w:style>
  <w:style w:type="character" w:customStyle="1" w:styleId="203">
    <w:name w:val="Table caption|1_"/>
    <w:link w:val="204"/>
    <w:autoRedefine/>
    <w:qFormat/>
    <w:uiPriority w:val="0"/>
    <w:rPr>
      <w:rFonts w:ascii="宋体" w:hAnsi="宋体" w:cs="宋体"/>
      <w:lang w:val="zh-CN" w:bidi="zh-CN"/>
    </w:rPr>
  </w:style>
  <w:style w:type="paragraph" w:customStyle="1" w:styleId="204">
    <w:name w:val="Table caption|1"/>
    <w:basedOn w:val="1"/>
    <w:link w:val="203"/>
    <w:autoRedefine/>
    <w:qFormat/>
    <w:uiPriority w:val="0"/>
    <w:pPr>
      <w:jc w:val="left"/>
    </w:pPr>
    <w:rPr>
      <w:rFonts w:ascii="宋体" w:hAnsi="宋体" w:cs="宋体"/>
      <w:kern w:val="0"/>
      <w:sz w:val="20"/>
      <w:szCs w:val="20"/>
      <w:lang w:val="zh-CN" w:bidi="zh-CN"/>
    </w:rPr>
  </w:style>
  <w:style w:type="character" w:customStyle="1" w:styleId="205">
    <w:name w:val="Body text|6_"/>
    <w:link w:val="206"/>
    <w:autoRedefine/>
    <w:qFormat/>
    <w:uiPriority w:val="0"/>
    <w:rPr>
      <w:rFonts w:ascii="Arial" w:hAnsi="Arial" w:eastAsia="Arial" w:cs="Arial"/>
      <w:lang w:val="zh-CN"/>
    </w:rPr>
  </w:style>
  <w:style w:type="paragraph" w:customStyle="1" w:styleId="206">
    <w:name w:val="Body text|6"/>
    <w:basedOn w:val="1"/>
    <w:link w:val="205"/>
    <w:autoRedefine/>
    <w:qFormat/>
    <w:uiPriority w:val="0"/>
    <w:pPr>
      <w:ind w:hanging="2220"/>
      <w:jc w:val="left"/>
    </w:pPr>
    <w:rPr>
      <w:rFonts w:ascii="Arial" w:hAnsi="Arial" w:eastAsia="Arial"/>
      <w:kern w:val="0"/>
      <w:sz w:val="20"/>
      <w:szCs w:val="20"/>
      <w:lang w:val="zh-CN"/>
    </w:rPr>
  </w:style>
  <w:style w:type="character" w:customStyle="1" w:styleId="207">
    <w:name w:val="Heading #1|1_"/>
    <w:link w:val="208"/>
    <w:autoRedefine/>
    <w:qFormat/>
    <w:uiPriority w:val="0"/>
    <w:rPr>
      <w:rFonts w:ascii="宋体" w:hAnsi="宋体" w:cs="宋体"/>
      <w:sz w:val="38"/>
      <w:szCs w:val="38"/>
      <w:lang w:val="zh-CN" w:bidi="zh-CN"/>
    </w:rPr>
  </w:style>
  <w:style w:type="paragraph" w:customStyle="1" w:styleId="208">
    <w:name w:val="Heading #1|1"/>
    <w:basedOn w:val="1"/>
    <w:link w:val="207"/>
    <w:autoRedefine/>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209">
    <w:name w:val="Body text|2_"/>
    <w:link w:val="210"/>
    <w:autoRedefine/>
    <w:qFormat/>
    <w:uiPriority w:val="0"/>
    <w:rPr>
      <w:sz w:val="21"/>
    </w:rPr>
  </w:style>
  <w:style w:type="paragraph" w:customStyle="1" w:styleId="210">
    <w:name w:val="Body text|2"/>
    <w:basedOn w:val="1"/>
    <w:link w:val="209"/>
    <w:autoRedefine/>
    <w:qFormat/>
    <w:uiPriority w:val="0"/>
    <w:pPr>
      <w:spacing w:after="30"/>
      <w:ind w:firstLine="420"/>
      <w:jc w:val="left"/>
    </w:pPr>
    <w:rPr>
      <w:kern w:val="0"/>
      <w:szCs w:val="20"/>
    </w:rPr>
  </w:style>
  <w:style w:type="character" w:styleId="211">
    <w:name w:val="Placeholder Text"/>
    <w:autoRedefine/>
    <w:unhideWhenUsed/>
    <w:qFormat/>
    <w:uiPriority w:val="99"/>
    <w:rPr>
      <w:color w:val="808080"/>
    </w:rPr>
  </w:style>
  <w:style w:type="paragraph" w:customStyle="1" w:styleId="212">
    <w:name w:val="正正正正"/>
    <w:basedOn w:val="19"/>
    <w:autoRedefine/>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13">
    <w:name w:val="_Style 1"/>
    <w:basedOn w:val="1"/>
    <w:autoRedefine/>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14">
    <w:name w:val="正文1"/>
    <w:basedOn w:val="1"/>
    <w:autoRedefine/>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215">
    <w:name w:val="表格文字"/>
    <w:basedOn w:val="20"/>
    <w:autoRedefine/>
    <w:qFormat/>
    <w:uiPriority w:val="0"/>
    <w:pPr>
      <w:spacing w:before="25" w:after="25"/>
      <w:jc w:val="left"/>
    </w:pPr>
    <w:rPr>
      <w:bCs/>
      <w:spacing w:val="10"/>
      <w:sz w:val="24"/>
    </w:rPr>
  </w:style>
  <w:style w:type="paragraph" w:customStyle="1" w:styleId="216">
    <w:name w:val="List Paragraph1"/>
    <w:basedOn w:val="1"/>
    <w:autoRedefine/>
    <w:qFormat/>
    <w:uiPriority w:val="99"/>
    <w:pPr>
      <w:ind w:firstLine="420" w:firstLineChars="200"/>
    </w:pPr>
    <w:rPr>
      <w:rFonts w:ascii="Calibri" w:hAnsi="Calibri"/>
      <w:szCs w:val="21"/>
    </w:rPr>
  </w:style>
  <w:style w:type="character" w:customStyle="1" w:styleId="217">
    <w:name w:val="样式 宋体 小四 加粗 黑色"/>
    <w:autoRedefine/>
    <w:qFormat/>
    <w:uiPriority w:val="0"/>
    <w:rPr>
      <w:rFonts w:ascii="宋体" w:hAnsi="宋体"/>
      <w:b/>
      <w:bCs/>
      <w:color w:val="000000"/>
      <w:sz w:val="24"/>
    </w:rPr>
  </w:style>
  <w:style w:type="paragraph" w:customStyle="1" w:styleId="218">
    <w:name w:val="BodyText"/>
    <w:basedOn w:val="1"/>
    <w:autoRedefine/>
    <w:qFormat/>
    <w:uiPriority w:val="0"/>
    <w:pPr>
      <w:spacing w:line="380" w:lineRule="exact"/>
      <w:textAlignment w:val="baseline"/>
    </w:pPr>
    <w:rPr>
      <w:sz w:val="24"/>
    </w:rPr>
  </w:style>
  <w:style w:type="paragraph" w:customStyle="1" w:styleId="219">
    <w:name w:val="正文文本 (2)4"/>
    <w:basedOn w:val="1"/>
    <w:autoRedefine/>
    <w:qFormat/>
    <w:uiPriority w:val="0"/>
    <w:pPr>
      <w:shd w:val="clear" w:color="auto" w:fill="FFFFFF"/>
      <w:spacing w:before="300" w:line="439" w:lineRule="exact"/>
      <w:jc w:val="distribute"/>
    </w:pPr>
    <w:rPr>
      <w:rFonts w:ascii="MingLiU" w:hAnsi="MingLiU" w:eastAsia="MingLiU"/>
      <w:spacing w:val="20"/>
      <w:sz w:val="22"/>
      <w:szCs w:val="22"/>
      <w:shd w:val="clear" w:color="auto" w:fill="FFFFFF"/>
    </w:rPr>
  </w:style>
  <w:style w:type="character" w:customStyle="1" w:styleId="220">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table" w:customStyle="1" w:styleId="221">
    <w:name w:val="Table Normal"/>
    <w:autoRedefine/>
    <w:unhideWhenUsed/>
    <w:qFormat/>
    <w:uiPriority w:val="2"/>
    <w:tblPr>
      <w:tblCellMar>
        <w:top w:w="0" w:type="dxa"/>
        <w:left w:w="0" w:type="dxa"/>
        <w:bottom w:w="0" w:type="dxa"/>
        <w:right w:w="0" w:type="dxa"/>
      </w:tblCellMar>
    </w:tblPr>
  </w:style>
  <w:style w:type="paragraph" w:customStyle="1" w:styleId="222">
    <w:name w:val="正文文本 (19)"/>
    <w:basedOn w:val="1"/>
    <w:autoRedefine/>
    <w:qFormat/>
    <w:uiPriority w:val="99"/>
    <w:pPr>
      <w:shd w:val="clear" w:color="auto" w:fill="FFFFFF"/>
      <w:spacing w:line="559" w:lineRule="exact"/>
    </w:pPr>
    <w:rPr>
      <w:rFonts w:ascii="MingLiU" w:hAnsi="MingLiU" w:eastAsia="MingLiU"/>
      <w:b/>
      <w:bCs/>
      <w:spacing w:val="10"/>
    </w:rPr>
  </w:style>
  <w:style w:type="character" w:customStyle="1" w:styleId="223">
    <w:name w:val="正文文本 (19) + 间距 0 pt"/>
    <w:autoRedefine/>
    <w:qFormat/>
    <w:uiPriority w:val="99"/>
    <w:rPr>
      <w:rFonts w:ascii="MingLiU" w:hAnsi="MingLiU" w:eastAsia="MingLiU" w:cs="MingLiU"/>
      <w:b/>
      <w:bCs/>
      <w:color w:val="000000"/>
      <w:spacing w:val="0"/>
      <w:w w:val="100"/>
      <w:position w:val="0"/>
      <w:sz w:val="22"/>
      <w:szCs w:val="22"/>
      <w:u w:val="none"/>
      <w:lang w:val="zh-CN" w:eastAsia="zh-CN"/>
    </w:rPr>
  </w:style>
  <w:style w:type="character" w:customStyle="1" w:styleId="224">
    <w:name w:val="正文文本 (2) + 间距 0 pt"/>
    <w:autoRedefine/>
    <w:qFormat/>
    <w:uiPriority w:val="99"/>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225">
    <w:name w:val="首行缩进"/>
    <w:basedOn w:val="1"/>
    <w:autoRedefine/>
    <w:qFormat/>
    <w:uiPriority w:val="0"/>
    <w:pPr>
      <w:spacing w:before="100" w:beforeAutospacing="1"/>
      <w:ind w:firstLine="480" w:firstLineChars="200"/>
    </w:pPr>
    <w:rPr>
      <w:szCs w:val="21"/>
    </w:rPr>
  </w:style>
  <w:style w:type="paragraph" w:customStyle="1" w:styleId="226">
    <w:name w:val="&gt;须知前附表内容"/>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66</Pages>
  <Words>56849</Words>
  <Characters>59369</Characters>
  <Lines>829</Lines>
  <Paragraphs>233</Paragraphs>
  <TotalTime>4</TotalTime>
  <ScaleCrop>false</ScaleCrop>
  <LinksUpToDate>false</LinksUpToDate>
  <CharactersWithSpaces>60225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2024-02-09T00:37:00Z</dcterms:created>
  <dc:creator>唐冰</dc:creator>
  <cp:lastModifiedBy>Myc</cp:lastModifiedBy>
  <cp:lastPrinted>2024-02-09T00:37:00Z</cp:lastPrinted>
  <dcterms:modified xsi:type="dcterms:W3CDTF">2025-01-13T07:22:47Z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BDFD18AC5F2C4AFCB29EA9549DE534B0_13</vt:lpwstr>
  </property>
  <property fmtid="{D5CDD505-2E9C-101B-9397-08002B2CF9AE}" pid="4" name="KSOTemplateDocerSaveRecord">
    <vt:lpwstr>eyJoZGlkIjoiZjMwNjE4Nzk1YzllM2JjNzZhYTQ1NzdkNzA4YjFmYzUiLCJ1c2VySWQiOiIzMDE4OTk4MCJ9</vt:lpwstr>
  </property>
</Properties>
</file>