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E924C">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025E0FA8">
      <w:pPr>
        <w:pStyle w:val="14"/>
        <w:ind w:left="-708" w:leftChars="-337"/>
        <w:rPr>
          <w:rFonts w:cs="宋体"/>
          <w:b/>
          <w:bCs/>
          <w:sz w:val="28"/>
          <w:szCs w:val="28"/>
        </w:rPr>
      </w:pPr>
      <w:r>
        <w:rPr>
          <w:rFonts w:hint="eastAsia" w:cs="宋体"/>
          <w:b/>
          <w:bCs/>
          <w:sz w:val="28"/>
          <w:szCs w:val="28"/>
        </w:rPr>
        <w:t>一、采购清单、技术规格参数、质量标准和要求</w:t>
      </w:r>
    </w:p>
    <w:p w14:paraId="39BE9A89">
      <w:pPr>
        <w:pStyle w:val="14"/>
        <w:ind w:left="-708" w:leftChars="-337"/>
        <w:rPr>
          <w:b/>
          <w:bCs/>
        </w:rPr>
      </w:pPr>
      <w:r>
        <w:rPr>
          <w:rFonts w:hint="eastAsia" w:cs="宋体"/>
          <w:b/>
          <w:bCs/>
        </w:rPr>
        <w:t>（一）采购清单</w:t>
      </w:r>
      <w:r>
        <w:rPr>
          <w:b/>
          <w:bCs/>
        </w:rPr>
        <w:t> </w:t>
      </w:r>
    </w:p>
    <w:p w14:paraId="1572D273">
      <w:pPr>
        <w:pStyle w:val="14"/>
        <w:ind w:left="-708" w:leftChars="-337"/>
        <w:rPr>
          <w:rFonts w:hint="eastAsia" w:eastAsia="宋体"/>
          <w:b/>
          <w:bCs/>
          <w:color w:val="0000FF"/>
          <w:sz w:val="18"/>
          <w:szCs w:val="18"/>
          <w:lang w:val="en-US" w:eastAsia="zh-CN"/>
        </w:rPr>
      </w:pPr>
      <w:r>
        <w:rPr>
          <w:rFonts w:hint="eastAsia"/>
          <w:b/>
          <w:bCs/>
          <w:lang w:val="en-US" w:eastAsia="zh-CN"/>
        </w:rPr>
        <w:t xml:space="preserve">   1.  租赁车辆：</w:t>
      </w:r>
    </w:p>
    <w:tbl>
      <w:tblPr>
        <w:tblStyle w:val="10"/>
        <w:tblW w:w="9396" w:type="dxa"/>
        <w:tblInd w:w="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8"/>
        <w:gridCol w:w="884"/>
        <w:gridCol w:w="976"/>
        <w:gridCol w:w="1836"/>
        <w:gridCol w:w="2460"/>
        <w:gridCol w:w="1380"/>
        <w:gridCol w:w="1392"/>
      </w:tblGrid>
      <w:tr w14:paraId="15FA4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06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2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 型</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07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座位数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50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目的地往返</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41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车辆品牌</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C2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租赁1天上控价（元）</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C2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租赁2天上控价（元）</w:t>
            </w:r>
          </w:p>
        </w:tc>
      </w:tr>
      <w:tr w14:paraId="5FC68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47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2A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小轿车</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9A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62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91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合资或进口（丰田、别克同等以上）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60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D4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r>
      <w:tr w14:paraId="0FAAA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66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82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商务车</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D9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71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26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合资或进口（传祺、别克同等以上）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27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AC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w:t>
            </w:r>
          </w:p>
        </w:tc>
      </w:tr>
      <w:tr w14:paraId="6881C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D2B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4B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中巴车</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2E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A7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5C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88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7F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w:t>
            </w:r>
          </w:p>
        </w:tc>
      </w:tr>
      <w:tr w14:paraId="192DA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37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BB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中巴车</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30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F7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6B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44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C9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2350</w:t>
            </w:r>
          </w:p>
        </w:tc>
      </w:tr>
      <w:tr w14:paraId="12320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6B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CC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中巴车</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F5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F2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B7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75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7D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2500</w:t>
            </w:r>
          </w:p>
        </w:tc>
      </w:tr>
      <w:tr w14:paraId="4A678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4F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F1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中巴车</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D9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C1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9C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3B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4A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2600</w:t>
            </w:r>
          </w:p>
        </w:tc>
      </w:tr>
      <w:tr w14:paraId="21A63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0A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A8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中巴车</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29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CF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E2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3B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E7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2750</w:t>
            </w:r>
          </w:p>
        </w:tc>
      </w:tr>
      <w:tr w14:paraId="05B99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D030">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7547">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中巴车</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9576">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F46D">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52B4">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A90A">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1900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8307">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2850</w:t>
            </w:r>
          </w:p>
        </w:tc>
      </w:tr>
      <w:tr w14:paraId="117FC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13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81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大巴车</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17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A4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9A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56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D8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3200</w:t>
            </w:r>
          </w:p>
        </w:tc>
      </w:tr>
      <w:tr w14:paraId="680A9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AD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0F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大巴车</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53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CE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AA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0D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2D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3500</w:t>
            </w:r>
          </w:p>
        </w:tc>
      </w:tr>
      <w:tr w14:paraId="47C34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30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CB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大巴车</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00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BC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5C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71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2550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CE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3550</w:t>
            </w:r>
          </w:p>
        </w:tc>
      </w:tr>
      <w:tr w14:paraId="081AF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7B5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9D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大巴车</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69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7D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BD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9B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2650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0B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3650</w:t>
            </w:r>
          </w:p>
        </w:tc>
      </w:tr>
      <w:tr w14:paraId="61977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2B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73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大巴车</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37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34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B7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36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2700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DC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3700</w:t>
            </w:r>
          </w:p>
        </w:tc>
      </w:tr>
    </w:tbl>
    <w:p w14:paraId="2A453FCD">
      <w:pPr>
        <w:pStyle w:val="14"/>
        <w:rPr>
          <w:rFonts w:hint="default" w:ascii="宋体" w:hAnsi="宋体" w:eastAsia="宋体" w:cs="宋体"/>
          <w:i w:val="0"/>
          <w:iCs w:val="0"/>
          <w:color w:val="FF0000"/>
          <w:kern w:val="0"/>
          <w:sz w:val="24"/>
          <w:szCs w:val="22"/>
          <w:u w:val="none"/>
          <w:lang w:val="en-US" w:eastAsia="zh-CN" w:bidi="ar"/>
        </w:rPr>
      </w:pPr>
      <w:r>
        <w:rPr>
          <w:rFonts w:hint="eastAsia"/>
          <w:b/>
          <w:bCs/>
          <w:lang w:val="en-US" w:eastAsia="zh-CN"/>
        </w:rPr>
        <w:t>备注：</w:t>
      </w:r>
      <w:r>
        <w:rPr>
          <w:rFonts w:hint="eastAsia" w:ascii="宋体" w:hAnsi="宋体" w:cs="宋体"/>
          <w:i w:val="0"/>
          <w:iCs w:val="0"/>
          <w:color w:val="000000"/>
          <w:kern w:val="0"/>
          <w:sz w:val="24"/>
          <w:szCs w:val="22"/>
          <w:u w:val="none"/>
          <w:lang w:val="en-US" w:eastAsia="zh-CN" w:bidi="ar"/>
        </w:rPr>
        <w:t>（1）</w:t>
      </w:r>
      <w:r>
        <w:rPr>
          <w:rFonts w:hint="eastAsia" w:ascii="宋体" w:hAnsi="宋体" w:eastAsia="宋体" w:cs="宋体"/>
          <w:i w:val="0"/>
          <w:iCs w:val="0"/>
          <w:color w:val="000000"/>
          <w:kern w:val="0"/>
          <w:sz w:val="24"/>
          <w:szCs w:val="22"/>
          <w:u w:val="none"/>
          <w:lang w:val="en-US" w:eastAsia="zh-CN" w:bidi="ar"/>
        </w:rPr>
        <w:t>.超范围的特殊用车租赁费另行商议。目的地不同时，按距离</w:t>
      </w:r>
      <w:r>
        <w:rPr>
          <w:rFonts w:hint="eastAsia" w:ascii="宋体" w:hAnsi="宋体" w:cs="宋体"/>
          <w:i w:val="0"/>
          <w:iCs w:val="0"/>
          <w:color w:val="000000"/>
          <w:kern w:val="0"/>
          <w:sz w:val="24"/>
          <w:szCs w:val="22"/>
          <w:u w:val="none"/>
          <w:lang w:val="en-US" w:eastAsia="zh-CN" w:bidi="ar"/>
        </w:rPr>
        <w:t>、</w:t>
      </w:r>
      <w:r>
        <w:rPr>
          <w:rFonts w:hint="eastAsia" w:ascii="宋体" w:hAnsi="宋体" w:cs="宋体"/>
          <w:i w:val="0"/>
          <w:iCs w:val="0"/>
          <w:color w:val="000000" w:themeColor="text1"/>
          <w:kern w:val="0"/>
          <w:sz w:val="24"/>
          <w:szCs w:val="22"/>
          <w:u w:val="none"/>
          <w:lang w:val="en-US" w:eastAsia="zh-CN" w:bidi="ar"/>
          <w14:textFill>
            <w14:solidFill>
              <w14:schemeClr w14:val="tx1"/>
            </w14:solidFill>
          </w14:textFill>
        </w:rPr>
        <w:t>车型和座位数考虑</w:t>
      </w:r>
      <w:r>
        <w:rPr>
          <w:rFonts w:hint="eastAsia" w:ascii="宋体" w:hAnsi="宋体" w:eastAsia="宋体" w:cs="宋体"/>
          <w:i w:val="0"/>
          <w:iCs w:val="0"/>
          <w:color w:val="000000"/>
          <w:kern w:val="0"/>
          <w:sz w:val="24"/>
          <w:szCs w:val="22"/>
          <w:u w:val="none"/>
          <w:lang w:val="en-US" w:eastAsia="zh-CN" w:bidi="ar"/>
        </w:rPr>
        <w:t>增减租金。</w:t>
      </w:r>
    </w:p>
    <w:p w14:paraId="1F652C75">
      <w:pPr>
        <w:pStyle w:val="14"/>
        <w:numPr>
          <w:ilvl w:val="0"/>
          <w:numId w:val="0"/>
        </w:numPr>
        <w:rPr>
          <w:rFonts w:hint="eastAsia" w:ascii="宋体" w:hAnsi="宋体" w:eastAsia="宋体" w:cs="宋体"/>
          <w:i w:val="0"/>
          <w:iCs w:val="0"/>
          <w:color w:val="000000"/>
          <w:kern w:val="0"/>
          <w:sz w:val="24"/>
          <w:szCs w:val="22"/>
          <w:u w:val="none"/>
          <w:lang w:val="en-US" w:eastAsia="zh-CN" w:bidi="ar"/>
        </w:rPr>
      </w:pPr>
      <w:r>
        <w:rPr>
          <w:rFonts w:hint="eastAsia" w:ascii="宋体" w:hAnsi="宋体" w:cs="宋体"/>
          <w:i w:val="0"/>
          <w:iCs w:val="0"/>
          <w:color w:val="000000"/>
          <w:kern w:val="0"/>
          <w:sz w:val="24"/>
          <w:szCs w:val="22"/>
          <w:u w:val="none"/>
          <w:lang w:val="en-US" w:eastAsia="zh-CN" w:bidi="ar"/>
        </w:rPr>
        <w:t>（2）.</w:t>
      </w:r>
      <w:r>
        <w:rPr>
          <w:rFonts w:hint="eastAsia" w:ascii="宋体" w:hAnsi="宋体" w:eastAsia="宋体" w:cs="宋体"/>
          <w:i w:val="0"/>
          <w:iCs w:val="0"/>
          <w:color w:val="000000"/>
          <w:kern w:val="0"/>
          <w:sz w:val="24"/>
          <w:szCs w:val="22"/>
          <w:u w:val="none"/>
          <w:lang w:val="en-US" w:eastAsia="zh-CN" w:bidi="ar"/>
        </w:rPr>
        <w:t>按乘车人数至少每人免费赠送一瓶怡宝矿泉水。</w:t>
      </w:r>
    </w:p>
    <w:p w14:paraId="451B649D">
      <w:pPr>
        <w:pStyle w:val="14"/>
        <w:numPr>
          <w:ilvl w:val="0"/>
          <w:numId w:val="0"/>
        </w:numPr>
        <w:rPr>
          <w:rFonts w:hint="eastAsia" w:ascii="宋体" w:hAnsi="宋体" w:eastAsia="宋体" w:cs="宋体"/>
          <w:i w:val="0"/>
          <w:iCs w:val="0"/>
          <w:color w:val="auto"/>
          <w:kern w:val="0"/>
          <w:sz w:val="24"/>
          <w:szCs w:val="22"/>
          <w:u w:val="none"/>
          <w:lang w:val="en-US" w:eastAsia="zh-CN" w:bidi="ar"/>
        </w:rPr>
      </w:pPr>
    </w:p>
    <w:p w14:paraId="5ACBCA60">
      <w:pPr>
        <w:widowControl/>
        <w:numPr>
          <w:ilvl w:val="0"/>
          <w:numId w:val="1"/>
        </w:numPr>
        <w:spacing w:line="360" w:lineRule="auto"/>
        <w:ind w:left="360" w:leftChars="0" w:firstLine="0" w:firstLineChars="0"/>
        <w:jc w:val="left"/>
        <w:rPr>
          <w:rFonts w:hint="default" w:ascii="宋体" w:hAnsi="宋体" w:eastAsia="宋体" w:cs="宋体"/>
          <w:i w:val="0"/>
          <w:iCs w:val="0"/>
          <w:color w:val="000000"/>
          <w:kern w:val="0"/>
          <w:sz w:val="24"/>
          <w:szCs w:val="24"/>
          <w:u w:val="none"/>
          <w:lang w:val="en-US" w:eastAsia="zh-CN" w:bidi="ar"/>
        </w:rPr>
      </w:pPr>
      <w:r>
        <w:rPr>
          <w:rFonts w:hint="eastAsia"/>
          <w:b/>
          <w:bCs/>
          <w:color w:val="000000" w:themeColor="text1"/>
          <w:kern w:val="0"/>
          <w:sz w:val="24"/>
          <w:szCs w:val="22"/>
          <w:lang w:val="en-US" w:eastAsia="zh-CN"/>
          <w14:textFill>
            <w14:solidFill>
              <w14:schemeClr w14:val="tx1"/>
            </w14:solidFill>
          </w14:textFill>
        </w:rPr>
        <w:t>租赁司机（单独）</w:t>
      </w:r>
      <w:r>
        <w:rPr>
          <w:rFonts w:hint="eastAsia"/>
          <w:color w:val="000000" w:themeColor="text1"/>
          <w:kern w:val="0"/>
          <w:sz w:val="24"/>
          <w:szCs w:val="24"/>
          <w:lang w:val="en-US" w:eastAsia="zh-CN"/>
          <w14:textFill>
            <w14:solidFill>
              <w14:schemeClr w14:val="tx1"/>
            </w14:solidFill>
          </w14:textFill>
        </w:rPr>
        <w:t>：</w:t>
      </w:r>
      <w:r>
        <w:rPr>
          <w:rFonts w:hint="eastAsia" w:ascii="宋体" w:hAnsi="宋体" w:cs="宋体"/>
          <w:i w:val="0"/>
          <w:iCs w:val="0"/>
          <w:color w:val="auto"/>
          <w:kern w:val="0"/>
          <w:sz w:val="24"/>
          <w:szCs w:val="21"/>
          <w:u w:val="none"/>
          <w:lang w:val="en-US" w:eastAsia="zh-CN" w:bidi="ar"/>
        </w:rPr>
        <w:t>司机的驾驶证准驾级别必须与所驾车型相对应，同时须具有熟练的驾驶技术和丰富的驾驶经验，懂礼仪，服务态度良好。</w:t>
      </w:r>
      <w:r>
        <w:rPr>
          <w:rFonts w:hint="eastAsia" w:ascii="宋体" w:hAnsi="宋体" w:eastAsia="宋体" w:cs="宋体"/>
          <w:i w:val="0"/>
          <w:iCs w:val="0"/>
          <w:color w:val="000000"/>
          <w:kern w:val="0"/>
          <w:sz w:val="24"/>
          <w:szCs w:val="24"/>
          <w:u w:val="none"/>
          <w:lang w:val="en-US" w:eastAsia="zh-CN" w:bidi="ar"/>
        </w:rPr>
        <w:t>租赁</w:t>
      </w:r>
      <w:r>
        <w:rPr>
          <w:rFonts w:hint="eastAsia" w:ascii="宋体" w:hAnsi="宋体" w:cs="宋体"/>
          <w:i w:val="0"/>
          <w:iCs w:val="0"/>
          <w:color w:val="000000"/>
          <w:kern w:val="0"/>
          <w:sz w:val="24"/>
          <w:szCs w:val="24"/>
          <w:u w:val="none"/>
          <w:lang w:val="en-US" w:eastAsia="zh-CN" w:bidi="ar"/>
        </w:rPr>
        <w:t>司机</w:t>
      </w:r>
      <w:r>
        <w:rPr>
          <w:rFonts w:hint="eastAsia" w:ascii="宋体" w:hAnsi="宋体" w:eastAsia="宋体" w:cs="宋体"/>
          <w:i w:val="0"/>
          <w:iCs w:val="0"/>
          <w:color w:val="000000"/>
          <w:kern w:val="0"/>
          <w:sz w:val="24"/>
          <w:szCs w:val="24"/>
          <w:u w:val="none"/>
          <w:lang w:val="en-US" w:eastAsia="zh-CN" w:bidi="ar"/>
        </w:rPr>
        <w:t>上控价</w:t>
      </w:r>
      <w:r>
        <w:rPr>
          <w:rFonts w:hint="eastAsia" w:ascii="宋体" w:hAnsi="宋体" w:cs="宋体"/>
          <w:i w:val="0"/>
          <w:iCs w:val="0"/>
          <w:color w:val="000000"/>
          <w:kern w:val="0"/>
          <w:sz w:val="24"/>
          <w:szCs w:val="24"/>
          <w:u w:val="none"/>
          <w:lang w:val="en-US" w:eastAsia="zh-CN" w:bidi="ar"/>
        </w:rPr>
        <w:t>（来回一趟）为B牌、C牌300</w:t>
      </w:r>
      <w:r>
        <w:rPr>
          <w:rFonts w:hint="eastAsia" w:ascii="宋体" w:hAnsi="宋体" w:eastAsia="宋体" w:cs="宋体"/>
          <w:i w:val="0"/>
          <w:iCs w:val="0"/>
          <w:color w:val="000000"/>
          <w:kern w:val="0"/>
          <w:sz w:val="24"/>
          <w:szCs w:val="24"/>
          <w:u w:val="none"/>
          <w:lang w:val="en-US" w:eastAsia="zh-CN" w:bidi="ar"/>
        </w:rPr>
        <w:t>元</w:t>
      </w:r>
      <w:r>
        <w:rPr>
          <w:rFonts w:hint="eastAsia" w:ascii="宋体" w:hAnsi="宋体" w:cs="宋体"/>
          <w:i w:val="0"/>
          <w:iCs w:val="0"/>
          <w:color w:val="000000"/>
          <w:kern w:val="0"/>
          <w:sz w:val="24"/>
          <w:szCs w:val="24"/>
          <w:u w:val="none"/>
          <w:lang w:val="en-US" w:eastAsia="zh-CN" w:bidi="ar"/>
        </w:rPr>
        <w:t>/天，A1牌400元/天。</w:t>
      </w:r>
    </w:p>
    <w:p w14:paraId="57824BF0">
      <w:pPr>
        <w:widowControl/>
        <w:numPr>
          <w:ilvl w:val="0"/>
          <w:numId w:val="0"/>
        </w:numPr>
        <w:spacing w:line="360" w:lineRule="auto"/>
        <w:ind w:left="-708" w:leftChars="-337"/>
        <w:jc w:val="left"/>
        <w:rPr>
          <w:rFonts w:hint="eastAsia" w:ascii="Times New Roman" w:hAnsi="Times New Roman" w:eastAsia="宋体" w:cs="宋体"/>
          <w:b/>
          <w:bCs/>
          <w:color w:val="000000"/>
          <w:kern w:val="0"/>
          <w:sz w:val="24"/>
          <w:szCs w:val="24"/>
          <w:lang w:val="en-US" w:eastAsia="zh-CN" w:bidi="ar-SA"/>
        </w:rPr>
      </w:pPr>
      <w:r>
        <w:rPr>
          <w:rFonts w:hint="eastAsia" w:ascii="Times New Roman" w:hAnsi="Times New Roman" w:eastAsia="宋体" w:cs="宋体"/>
          <w:b/>
          <w:bCs/>
          <w:color w:val="000000"/>
          <w:kern w:val="0"/>
          <w:sz w:val="24"/>
          <w:szCs w:val="24"/>
          <w:lang w:val="en-US" w:eastAsia="zh-CN" w:bidi="ar-SA"/>
        </w:rPr>
        <w:t>（</w:t>
      </w:r>
      <w:r>
        <w:rPr>
          <w:rFonts w:hint="eastAsia" w:cs="宋体"/>
          <w:b/>
          <w:bCs/>
          <w:color w:val="000000"/>
          <w:kern w:val="0"/>
          <w:sz w:val="24"/>
          <w:szCs w:val="24"/>
          <w:lang w:val="en-US" w:eastAsia="zh-CN" w:bidi="ar-SA"/>
        </w:rPr>
        <w:t>二</w:t>
      </w:r>
      <w:r>
        <w:rPr>
          <w:rFonts w:hint="eastAsia" w:ascii="Times New Roman" w:hAnsi="Times New Roman" w:eastAsia="宋体" w:cs="宋体"/>
          <w:b/>
          <w:bCs/>
          <w:color w:val="000000"/>
          <w:kern w:val="0"/>
          <w:sz w:val="24"/>
          <w:szCs w:val="24"/>
          <w:lang w:val="en-US" w:eastAsia="zh-CN" w:bidi="ar-SA"/>
        </w:rPr>
        <w:t>）</w:t>
      </w:r>
      <w:r>
        <w:rPr>
          <w:rFonts w:hint="eastAsia" w:cs="宋体"/>
          <w:b/>
          <w:bCs/>
          <w:color w:val="000000"/>
          <w:kern w:val="0"/>
          <w:sz w:val="24"/>
          <w:szCs w:val="24"/>
          <w:lang w:val="en-US" w:eastAsia="zh-CN" w:bidi="ar-SA"/>
        </w:rPr>
        <w:t>租赁</w:t>
      </w:r>
      <w:r>
        <w:rPr>
          <w:rFonts w:hint="eastAsia" w:ascii="Times New Roman" w:hAnsi="Times New Roman" w:eastAsia="宋体" w:cs="宋体"/>
          <w:b/>
          <w:bCs/>
          <w:color w:val="000000"/>
          <w:kern w:val="0"/>
          <w:sz w:val="24"/>
          <w:szCs w:val="24"/>
          <w:lang w:val="en-US" w:eastAsia="zh-CN" w:bidi="ar-SA"/>
        </w:rPr>
        <w:t>车辆</w:t>
      </w:r>
      <w:r>
        <w:rPr>
          <w:rFonts w:hint="eastAsia" w:cs="宋体"/>
          <w:b/>
          <w:bCs/>
          <w:color w:val="000000"/>
          <w:kern w:val="0"/>
          <w:sz w:val="24"/>
          <w:szCs w:val="24"/>
          <w:lang w:val="en-US" w:eastAsia="zh-CN" w:bidi="ar-SA"/>
        </w:rPr>
        <w:t>和司机服务的</w:t>
      </w:r>
      <w:r>
        <w:rPr>
          <w:rFonts w:hint="eastAsia" w:ascii="Times New Roman" w:hAnsi="Times New Roman" w:eastAsia="宋体" w:cs="宋体"/>
          <w:b/>
          <w:bCs/>
          <w:color w:val="000000"/>
          <w:kern w:val="0"/>
          <w:sz w:val="24"/>
          <w:szCs w:val="24"/>
          <w:lang w:val="en-US" w:eastAsia="zh-CN" w:bidi="ar-SA"/>
        </w:rPr>
        <w:t>基本要求</w:t>
      </w:r>
    </w:p>
    <w:p w14:paraId="3EF6F39A">
      <w:pPr>
        <w:pStyle w:val="14"/>
        <w:ind w:left="-708" w:leftChars="-337"/>
        <w:rPr>
          <w:rFonts w:hint="eastAsia" w:cs="宋体"/>
          <w:color w:val="FF0000"/>
          <w:lang w:val="en-US" w:eastAsia="zh-CN"/>
        </w:rPr>
      </w:pPr>
      <w:r>
        <w:rPr>
          <w:rFonts w:hint="eastAsia" w:cs="宋体"/>
          <w:lang w:val="en-US" w:eastAsia="zh-CN"/>
        </w:rPr>
        <w:t>1）车辆要求为合格车辆：为交通法规准予上路的车辆，车辆必须八成新以上，使用时间≦5年。车内配置完好，车厢内清洁干净无异味、臭味，座椅及安全带等物品完好无破损，空调出风良好，能根据乘客需求调整车内温度。</w:t>
      </w:r>
      <w:r>
        <w:rPr>
          <w:rFonts w:hint="eastAsia" w:cs="宋体"/>
          <w:color w:val="000000" w:themeColor="text1"/>
          <w:sz w:val="24"/>
          <w:lang w:val="en-US" w:eastAsia="zh-CN"/>
          <w14:textFill>
            <w14:solidFill>
              <w14:schemeClr w14:val="tx1"/>
            </w14:solidFill>
          </w14:textFill>
        </w:rPr>
        <w:t>发动机嘈音小，乘客无不适感。</w:t>
      </w:r>
    </w:p>
    <w:p w14:paraId="2EEC317C">
      <w:pPr>
        <w:pStyle w:val="14"/>
        <w:ind w:left="-708" w:leftChars="-337"/>
        <w:rPr>
          <w:rFonts w:hint="eastAsia" w:cs="宋体"/>
          <w:lang w:val="en-US" w:eastAsia="zh-CN"/>
        </w:rPr>
      </w:pPr>
      <w:r>
        <w:rPr>
          <w:rFonts w:hint="eastAsia" w:cs="宋体"/>
          <w:lang w:val="en-US" w:eastAsia="zh-CN"/>
        </w:rPr>
        <w:t>2）司机要求：身体健康，具有良好的服务和良好的工作状态，驾驶技术好，</w:t>
      </w:r>
      <w:r>
        <w:rPr>
          <w:rFonts w:hint="eastAsia" w:ascii="宋体" w:hAnsi="宋体" w:cs="宋体"/>
          <w:i w:val="0"/>
          <w:iCs w:val="0"/>
          <w:color w:val="auto"/>
          <w:kern w:val="0"/>
          <w:sz w:val="24"/>
          <w:szCs w:val="21"/>
          <w:u w:val="none"/>
          <w:lang w:val="en-US" w:eastAsia="zh-CN" w:bidi="ar"/>
        </w:rPr>
        <w:t>懂礼仪，服务态度良好，</w:t>
      </w:r>
      <w:r>
        <w:rPr>
          <w:rFonts w:hint="eastAsia" w:cs="宋体"/>
          <w:lang w:val="en-US" w:eastAsia="zh-CN"/>
        </w:rPr>
        <w:t>不与乘客争执。驾驶证照合乎准驾车辆，驾驶车龄≧5年，无疲劳驾驶情形。</w:t>
      </w:r>
    </w:p>
    <w:p w14:paraId="41A1FB1C">
      <w:pPr>
        <w:pStyle w:val="14"/>
        <w:ind w:left="-708" w:leftChars="-337"/>
        <w:rPr>
          <w:rFonts w:hint="eastAsia" w:cs="宋体"/>
          <w:lang w:val="en-US" w:eastAsia="zh-CN"/>
        </w:rPr>
      </w:pPr>
      <w:r>
        <w:rPr>
          <w:rFonts w:hint="eastAsia" w:cs="宋体"/>
          <w:color w:val="000000" w:themeColor="text1"/>
          <w:sz w:val="24"/>
          <w:lang w:val="en-US" w:eastAsia="zh-CN"/>
          <w14:textFill>
            <w14:solidFill>
              <w14:schemeClr w14:val="tx1"/>
            </w14:solidFill>
          </w14:textFill>
        </w:rPr>
        <w:t>3）司机须服从工作安排，</w:t>
      </w:r>
      <w:r>
        <w:rPr>
          <w:rFonts w:hint="eastAsia" w:cs="宋体"/>
          <w:lang w:val="en-US" w:eastAsia="zh-CN"/>
        </w:rPr>
        <w:t>驾驶期间不饮酒、不迟到、不毒驾，无严重违规驾驶和重大责任事故记录等。</w:t>
      </w:r>
    </w:p>
    <w:p w14:paraId="1E5C1817">
      <w:pPr>
        <w:pStyle w:val="14"/>
        <w:ind w:left="-708" w:leftChars="-337"/>
        <w:rPr>
          <w:rFonts w:hint="default" w:cs="宋体"/>
          <w:color w:val="FF0000"/>
          <w:lang w:val="en-US" w:eastAsia="zh-CN"/>
        </w:rPr>
      </w:pPr>
    </w:p>
    <w:p w14:paraId="33E08660">
      <w:pPr>
        <w:pStyle w:val="14"/>
        <w:ind w:left="-708" w:leftChars="-337"/>
        <w:rPr>
          <w:rFonts w:hint="eastAsia" w:cs="宋体"/>
          <w:b/>
          <w:bCs/>
        </w:rPr>
      </w:pPr>
      <w:r>
        <w:rPr>
          <w:rFonts w:hint="eastAsia" w:cs="宋体"/>
          <w:b/>
          <w:bCs/>
        </w:rPr>
        <w:t>（</w:t>
      </w:r>
      <w:r>
        <w:rPr>
          <w:rFonts w:hint="eastAsia" w:cs="宋体"/>
          <w:b/>
          <w:bCs/>
          <w:lang w:eastAsia="zh-CN"/>
        </w:rPr>
        <w:t>三</w:t>
      </w:r>
      <w:r>
        <w:rPr>
          <w:rFonts w:hint="eastAsia" w:cs="宋体"/>
          <w:b/>
          <w:bCs/>
        </w:rPr>
        <w:t>）商务要求</w:t>
      </w:r>
    </w:p>
    <w:p w14:paraId="691C89AB">
      <w:pPr>
        <w:pStyle w:val="14"/>
        <w:ind w:left="-708" w:leftChars="-337"/>
        <w:rPr>
          <w:rFonts w:hint="default" w:eastAsia="宋体" w:cs="宋体"/>
          <w:b w:val="0"/>
          <w:bCs w:val="0"/>
          <w:lang w:val="en-US" w:eastAsia="zh-CN"/>
        </w:rPr>
      </w:pPr>
      <w:r>
        <w:rPr>
          <w:rFonts w:hint="eastAsia" w:cs="宋体"/>
          <w:b/>
          <w:bCs/>
          <w:lang w:val="en-US" w:eastAsia="zh-CN"/>
        </w:rPr>
        <w:t>1、投标人资格要求</w:t>
      </w:r>
    </w:p>
    <w:p w14:paraId="4A47CF4E">
      <w:pPr>
        <w:pStyle w:val="14"/>
        <w:ind w:left="-708" w:leftChars="-337"/>
        <w:rPr>
          <w:rFonts w:cs="宋体"/>
        </w:rPr>
      </w:pPr>
      <w:r>
        <w:rPr>
          <w:rFonts w:hint="eastAsia" w:cs="宋体"/>
        </w:rPr>
        <w:t>1</w:t>
      </w:r>
      <w:r>
        <w:rPr>
          <w:rFonts w:hint="eastAsia" w:cs="宋体"/>
          <w:lang w:eastAsia="zh-CN"/>
        </w:rPr>
        <w:t>）</w:t>
      </w:r>
      <w:r>
        <w:rPr>
          <w:rFonts w:hint="eastAsia" w:cs="宋体"/>
        </w:rPr>
        <w:t>投标人为独立法人，并具备统一社会信用代码。</w:t>
      </w:r>
    </w:p>
    <w:p w14:paraId="0FE849CA">
      <w:pPr>
        <w:pStyle w:val="14"/>
        <w:ind w:left="-708" w:leftChars="-337"/>
        <w:rPr>
          <w:rFonts w:cs="宋体"/>
        </w:rPr>
      </w:pPr>
      <w:r>
        <w:rPr>
          <w:rFonts w:hint="eastAsia" w:cs="宋体"/>
        </w:rPr>
        <w:t>2</w:t>
      </w:r>
      <w:r>
        <w:rPr>
          <w:rFonts w:hint="eastAsia" w:cs="宋体"/>
          <w:lang w:eastAsia="zh-CN"/>
        </w:rPr>
        <w:t>）</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14:paraId="12F13E31">
      <w:pPr>
        <w:pStyle w:val="14"/>
        <w:ind w:left="-708" w:leftChars="-337"/>
        <w:rPr>
          <w:rFonts w:hint="eastAsia" w:cs="宋体"/>
        </w:rPr>
      </w:pPr>
      <w:r>
        <w:rPr>
          <w:rFonts w:hint="eastAsia" w:cs="宋体"/>
        </w:rPr>
        <w:t>3</w:t>
      </w:r>
      <w:r>
        <w:rPr>
          <w:rFonts w:hint="eastAsia" w:cs="宋体"/>
          <w:lang w:eastAsia="zh-CN"/>
        </w:rPr>
        <w:t>）</w:t>
      </w:r>
      <w:r>
        <w:rPr>
          <w:rFonts w:hint="eastAsia" w:cs="宋体"/>
        </w:rPr>
        <w:t>被列入我院投标人黑名单（在我院招投标活动中存在2次违规行为）未满3年的投标人将被拒绝其参与本次招投标活动。</w:t>
      </w:r>
    </w:p>
    <w:p w14:paraId="190F85AF">
      <w:pPr>
        <w:pStyle w:val="14"/>
        <w:ind w:left="-708" w:leftChars="-337"/>
        <w:rPr>
          <w:rFonts w:hint="eastAsia" w:cs="宋体"/>
          <w:color w:val="auto"/>
        </w:rPr>
      </w:pPr>
      <w:r>
        <w:rPr>
          <w:rFonts w:hint="eastAsia" w:cs="宋体"/>
          <w:lang w:val="en-US" w:eastAsia="zh-CN"/>
        </w:rPr>
        <w:t>4）</w:t>
      </w:r>
      <w:r>
        <w:rPr>
          <w:rFonts w:hint="eastAsia" w:cs="宋体"/>
          <w:color w:val="auto"/>
        </w:rPr>
        <w:t>本项目不接收联合体投标。</w:t>
      </w:r>
    </w:p>
    <w:p w14:paraId="228007FF">
      <w:pPr>
        <w:pStyle w:val="14"/>
        <w:ind w:left="-708" w:leftChars="-337"/>
        <w:rPr>
          <w:rFonts w:hint="eastAsia" w:ascii="黑体" w:eastAsia="黑体"/>
          <w:b w:val="0"/>
          <w:bCs/>
          <w:color w:val="auto"/>
          <w:sz w:val="28"/>
          <w:lang w:val="en-US" w:eastAsia="zh-CN"/>
        </w:rPr>
      </w:pPr>
      <w:r>
        <w:rPr>
          <w:rFonts w:hint="eastAsia"/>
          <w:b/>
          <w:bCs/>
          <w:lang w:val="en-US" w:eastAsia="zh-CN"/>
        </w:rPr>
        <w:t>2</w:t>
      </w:r>
      <w:r>
        <w:rPr>
          <w:rFonts w:hint="eastAsia"/>
          <w:b/>
          <w:bCs/>
        </w:rPr>
        <w:t>、</w:t>
      </w:r>
      <w:r>
        <w:rPr>
          <w:rFonts w:hint="eastAsia" w:ascii="黑体" w:eastAsia="黑体"/>
          <w:b w:val="0"/>
          <w:bCs/>
          <w:color w:val="auto"/>
          <w:sz w:val="28"/>
          <w:lang w:eastAsia="zh-CN"/>
        </w:rPr>
        <w:t>双方权利义务和违约责任</w:t>
      </w:r>
    </w:p>
    <w:p w14:paraId="7E8E9C00">
      <w:pPr>
        <w:pStyle w:val="14"/>
        <w:snapToGrid/>
        <w:spacing w:beforeAutospacing="0" w:afterAutospacing="0" w:line="300" w:lineRule="auto"/>
        <w:ind w:left="0" w:leftChars="0" w:right="0" w:rightChars="0" w:firstLine="482" w:firstLineChars="0"/>
        <w:jc w:val="left"/>
        <w:rPr>
          <w:rFonts w:hint="eastAsia" w:ascii="宋体" w:hAnsi="Times New Roman" w:eastAsia="宋体" w:cs="宋体"/>
          <w:color w:val="auto"/>
          <w:sz w:val="24"/>
        </w:rPr>
      </w:pPr>
      <w:r>
        <w:rPr>
          <w:rFonts w:hint="eastAsia" w:ascii="宋体" w:cs="宋体"/>
          <w:color w:val="auto"/>
          <w:sz w:val="24"/>
          <w:lang w:val="en-US" w:eastAsia="zh-CN"/>
        </w:rPr>
        <w:t>（</w:t>
      </w:r>
      <w:r>
        <w:rPr>
          <w:rFonts w:hint="eastAsia" w:ascii="宋体" w:hAnsi="Times New Roman" w:eastAsia="宋体" w:cs="宋体"/>
          <w:color w:val="auto"/>
          <w:sz w:val="24"/>
          <w:lang w:val="en-US" w:eastAsia="zh-CN"/>
        </w:rPr>
        <w:t>1</w:t>
      </w:r>
      <w:r>
        <w:rPr>
          <w:rFonts w:hint="eastAsia" w:ascii="宋体" w:cs="宋体"/>
          <w:color w:val="auto"/>
          <w:sz w:val="24"/>
          <w:lang w:val="en-US" w:eastAsia="zh-CN"/>
        </w:rPr>
        <w:t>)</w:t>
      </w:r>
      <w:r>
        <w:rPr>
          <w:rFonts w:hint="eastAsia" w:ascii="宋体" w:hAnsi="Times New Roman" w:eastAsia="宋体" w:cs="宋体"/>
          <w:color w:val="auto"/>
          <w:sz w:val="24"/>
        </w:rPr>
        <w:t xml:space="preserve"> </w:t>
      </w:r>
      <w:r>
        <w:rPr>
          <w:rFonts w:hint="eastAsia" w:ascii="宋体" w:eastAsia="宋体" w:cs="宋体"/>
          <w:color w:val="auto"/>
          <w:sz w:val="24"/>
          <w:lang w:eastAsia="zh-CN"/>
        </w:rPr>
        <w:t>中标</w:t>
      </w:r>
      <w:r>
        <w:rPr>
          <w:rFonts w:hint="eastAsia" w:ascii="宋体" w:hAnsi="Times New Roman" w:eastAsia="宋体" w:cs="宋体"/>
          <w:color w:val="auto"/>
          <w:sz w:val="24"/>
        </w:rPr>
        <w:t>方</w:t>
      </w:r>
      <w:r>
        <w:rPr>
          <w:rFonts w:hint="eastAsia" w:ascii="宋体" w:cs="宋体"/>
          <w:color w:val="auto"/>
          <w:sz w:val="24"/>
          <w:lang w:eastAsia="zh-CN"/>
        </w:rPr>
        <w:t>必须具备《道路运输经营许可证》，</w:t>
      </w:r>
      <w:r>
        <w:rPr>
          <w:rFonts w:hint="eastAsia" w:ascii="宋体" w:hAnsi="Times New Roman" w:eastAsia="宋体" w:cs="宋体"/>
          <w:color w:val="auto"/>
          <w:sz w:val="24"/>
        </w:rPr>
        <w:t>负责对车辆投车身保险、第三者责任险、司乘座位险、附加险，且保险期限需包含租赁期限全过程。</w:t>
      </w:r>
    </w:p>
    <w:p w14:paraId="1927E1B2">
      <w:pPr>
        <w:pStyle w:val="14"/>
        <w:snapToGrid/>
        <w:spacing w:beforeAutospacing="0" w:afterAutospacing="0" w:line="300" w:lineRule="auto"/>
        <w:ind w:left="0" w:leftChars="0" w:right="0" w:rightChars="0" w:firstLine="482" w:firstLineChars="0"/>
        <w:jc w:val="left"/>
        <w:rPr>
          <w:rFonts w:hint="eastAsia" w:ascii="宋体" w:hAnsi="Times New Roman" w:eastAsia="宋体" w:cs="宋体"/>
          <w:color w:val="FF0000"/>
          <w:sz w:val="24"/>
          <w:lang w:eastAsia="zh-CN"/>
        </w:rPr>
      </w:pPr>
      <w:r>
        <w:rPr>
          <w:rFonts w:hint="eastAsia" w:ascii="宋体" w:cs="宋体"/>
          <w:color w:val="auto"/>
          <w:sz w:val="24"/>
          <w:lang w:val="en-US" w:eastAsia="zh-CN"/>
        </w:rPr>
        <w:t>（</w:t>
      </w:r>
      <w:r>
        <w:rPr>
          <w:rFonts w:hint="eastAsia" w:ascii="宋体" w:hAnsi="Times New Roman" w:eastAsia="宋体" w:cs="宋体"/>
          <w:color w:val="auto"/>
          <w:sz w:val="24"/>
          <w:lang w:val="en-US" w:eastAsia="zh-CN"/>
        </w:rPr>
        <w:t>2</w:t>
      </w:r>
      <w:r>
        <w:rPr>
          <w:rFonts w:hint="eastAsia" w:ascii="宋体" w:cs="宋体"/>
          <w:color w:val="auto"/>
          <w:sz w:val="24"/>
          <w:lang w:val="en-US" w:eastAsia="zh-CN"/>
        </w:rPr>
        <w:t>)</w:t>
      </w:r>
      <w:r>
        <w:rPr>
          <w:rFonts w:hint="eastAsia" w:ascii="宋体" w:hAnsi="Times New Roman" w:eastAsia="宋体" w:cs="宋体"/>
          <w:color w:val="auto"/>
          <w:sz w:val="24"/>
        </w:rPr>
        <w:t>租赁期内由</w:t>
      </w:r>
      <w:r>
        <w:rPr>
          <w:rFonts w:hint="eastAsia" w:ascii="宋体" w:eastAsia="宋体" w:cs="宋体"/>
          <w:color w:val="auto"/>
          <w:sz w:val="24"/>
          <w:lang w:eastAsia="zh-CN"/>
        </w:rPr>
        <w:t>中标</w:t>
      </w:r>
      <w:r>
        <w:rPr>
          <w:rFonts w:hint="eastAsia" w:ascii="宋体" w:hAnsi="Times New Roman" w:eastAsia="宋体" w:cs="宋体"/>
          <w:color w:val="auto"/>
          <w:sz w:val="24"/>
        </w:rPr>
        <w:t>方负责车辆保养、正常磨损的维修、及年审等工作和费用，油费和过路费</w:t>
      </w:r>
      <w:r>
        <w:rPr>
          <w:rFonts w:hint="eastAsia" w:ascii="宋体" w:hAnsi="Times New Roman" w:eastAsia="宋体" w:cs="宋体"/>
          <w:color w:val="auto"/>
          <w:sz w:val="24"/>
          <w:lang w:eastAsia="zh-CN"/>
        </w:rPr>
        <w:t>、停车费、司机的劳动报酬、税金</w:t>
      </w:r>
      <w:r>
        <w:rPr>
          <w:rFonts w:hint="eastAsia" w:ascii="宋体" w:cs="宋体"/>
          <w:color w:val="auto"/>
          <w:sz w:val="24"/>
          <w:lang w:eastAsia="zh-CN"/>
        </w:rPr>
        <w:t>、司机餐饮费</w:t>
      </w:r>
      <w:r>
        <w:rPr>
          <w:rFonts w:hint="eastAsia" w:ascii="宋体" w:hAnsi="Times New Roman" w:eastAsia="宋体" w:cs="宋体"/>
          <w:color w:val="auto"/>
          <w:sz w:val="24"/>
          <w:lang w:eastAsia="zh-CN"/>
        </w:rPr>
        <w:t>等由出租方</w:t>
      </w:r>
      <w:r>
        <w:rPr>
          <w:rFonts w:hint="eastAsia" w:ascii="宋体" w:hAnsi="Times New Roman" w:eastAsia="宋体" w:cs="宋体"/>
          <w:color w:val="auto"/>
          <w:sz w:val="24"/>
        </w:rPr>
        <w:t>承担</w:t>
      </w:r>
      <w:r>
        <w:rPr>
          <w:rFonts w:hint="eastAsia" w:ascii="宋体" w:eastAsia="宋体" w:cs="宋体"/>
          <w:color w:val="auto"/>
          <w:sz w:val="24"/>
          <w:lang w:eastAsia="zh-CN"/>
        </w:rPr>
        <w:t>，司机需要过夜住宿的，</w:t>
      </w:r>
      <w:r>
        <w:rPr>
          <w:rFonts w:hint="eastAsia" w:ascii="宋体" w:cs="宋体"/>
          <w:color w:val="auto"/>
          <w:sz w:val="24"/>
          <w:lang w:eastAsia="zh-CN"/>
        </w:rPr>
        <w:t>可</w:t>
      </w:r>
      <w:r>
        <w:rPr>
          <w:rFonts w:hint="eastAsia" w:ascii="宋体" w:eastAsia="宋体" w:cs="宋体"/>
          <w:color w:val="auto"/>
          <w:sz w:val="24"/>
          <w:lang w:eastAsia="zh-CN"/>
        </w:rPr>
        <w:t>由租赁方安排或承担住宿费用</w:t>
      </w:r>
      <w:r>
        <w:rPr>
          <w:rFonts w:hint="eastAsia" w:ascii="宋体" w:hAnsi="Times New Roman" w:eastAsia="宋体" w:cs="宋体"/>
          <w:color w:val="auto"/>
          <w:sz w:val="24"/>
          <w:lang w:eastAsia="zh-CN"/>
        </w:rPr>
        <w:t>。</w:t>
      </w:r>
    </w:p>
    <w:p w14:paraId="5FA312A9">
      <w:pPr>
        <w:pStyle w:val="14"/>
        <w:snapToGrid/>
        <w:spacing w:beforeAutospacing="0" w:afterAutospacing="0" w:line="300" w:lineRule="auto"/>
        <w:ind w:left="0" w:leftChars="0" w:right="0" w:rightChars="0" w:firstLine="482" w:firstLineChars="0"/>
        <w:jc w:val="left"/>
        <w:rPr>
          <w:rFonts w:hint="eastAsia" w:ascii="宋体" w:hAnsi="Times New Roman" w:eastAsia="宋体" w:cs="宋体"/>
          <w:color w:val="auto"/>
          <w:sz w:val="24"/>
        </w:rPr>
      </w:pPr>
      <w:r>
        <w:rPr>
          <w:rFonts w:hint="eastAsia" w:ascii="宋体" w:cs="宋体"/>
          <w:color w:val="auto"/>
          <w:sz w:val="24"/>
          <w:lang w:val="en-US" w:eastAsia="zh-CN"/>
        </w:rPr>
        <w:t>（</w:t>
      </w:r>
      <w:r>
        <w:rPr>
          <w:rFonts w:hint="eastAsia" w:ascii="宋体" w:hAnsi="Times New Roman" w:eastAsia="宋体" w:cs="宋体"/>
          <w:color w:val="auto"/>
          <w:sz w:val="24"/>
          <w:lang w:val="en-US" w:eastAsia="zh-CN"/>
        </w:rPr>
        <w:t>3</w:t>
      </w:r>
      <w:r>
        <w:rPr>
          <w:rFonts w:hint="eastAsia" w:ascii="宋体" w:cs="宋体"/>
          <w:color w:val="auto"/>
          <w:sz w:val="24"/>
          <w:lang w:val="en-US" w:eastAsia="zh-CN"/>
        </w:rPr>
        <w:t>)</w:t>
      </w:r>
      <w:r>
        <w:rPr>
          <w:rFonts w:hint="eastAsia" w:ascii="宋体" w:hAnsi="Times New Roman" w:eastAsia="宋体" w:cs="宋体"/>
          <w:color w:val="auto"/>
          <w:sz w:val="24"/>
        </w:rPr>
        <w:t>租赁期内由于车辆的正常磨损或机械故障所造成的停驶，</w:t>
      </w:r>
      <w:r>
        <w:rPr>
          <w:rFonts w:hint="eastAsia" w:ascii="宋体" w:eastAsia="宋体" w:cs="宋体"/>
          <w:color w:val="auto"/>
          <w:sz w:val="24"/>
          <w:lang w:eastAsia="zh-CN"/>
        </w:rPr>
        <w:t>中标</w:t>
      </w:r>
      <w:r>
        <w:rPr>
          <w:rFonts w:hint="eastAsia" w:ascii="宋体" w:hAnsi="Times New Roman" w:eastAsia="宋体" w:cs="宋体"/>
          <w:color w:val="auto"/>
          <w:sz w:val="24"/>
        </w:rPr>
        <w:t>方应</w:t>
      </w:r>
      <w:r>
        <w:rPr>
          <w:rFonts w:hint="eastAsia" w:ascii="宋体" w:hAnsi="Times New Roman" w:eastAsia="宋体" w:cs="宋体"/>
          <w:color w:val="auto"/>
          <w:sz w:val="24"/>
          <w:lang w:eastAsia="zh-CN"/>
        </w:rPr>
        <w:t>尽快</w:t>
      </w:r>
      <w:r>
        <w:rPr>
          <w:rFonts w:hint="eastAsia" w:ascii="宋体" w:hAnsi="Times New Roman" w:eastAsia="宋体" w:cs="宋体"/>
          <w:color w:val="auto"/>
          <w:sz w:val="24"/>
        </w:rPr>
        <w:t>提供同等性能的车辆供我</w:t>
      </w:r>
      <w:r>
        <w:rPr>
          <w:rFonts w:hint="eastAsia" w:ascii="宋体" w:hAnsi="Times New Roman" w:eastAsia="宋体" w:cs="宋体"/>
          <w:color w:val="auto"/>
          <w:sz w:val="24"/>
          <w:lang w:eastAsia="zh-CN"/>
        </w:rPr>
        <w:t>院</w:t>
      </w:r>
      <w:r>
        <w:rPr>
          <w:rFonts w:hint="eastAsia" w:ascii="宋体" w:hAnsi="Times New Roman" w:eastAsia="宋体" w:cs="宋体"/>
          <w:color w:val="auto"/>
          <w:sz w:val="24"/>
        </w:rPr>
        <w:t>使用</w:t>
      </w:r>
      <w:r>
        <w:rPr>
          <w:rFonts w:hint="eastAsia" w:ascii="宋体" w:hAnsi="Times New Roman" w:eastAsia="宋体" w:cs="宋体"/>
          <w:color w:val="auto"/>
          <w:sz w:val="24"/>
          <w:lang w:eastAsia="zh-CN"/>
        </w:rPr>
        <w:t>并</w:t>
      </w:r>
      <w:r>
        <w:rPr>
          <w:rFonts w:hint="eastAsia" w:ascii="宋体" w:hAnsi="Times New Roman" w:eastAsia="宋体" w:cs="宋体"/>
          <w:color w:val="auto"/>
          <w:sz w:val="24"/>
        </w:rPr>
        <w:t>减免相应的租金</w:t>
      </w:r>
      <w:r>
        <w:rPr>
          <w:rFonts w:hint="eastAsia" w:ascii="宋体" w:hAnsi="Times New Roman" w:eastAsia="宋体" w:cs="宋体"/>
          <w:color w:val="auto"/>
          <w:sz w:val="24"/>
          <w:lang w:eastAsia="zh-CN"/>
        </w:rPr>
        <w:t>，如果发生责任事故，由双方协商，责任方须适当赔偿损失</w:t>
      </w:r>
      <w:r>
        <w:rPr>
          <w:rFonts w:hint="eastAsia" w:ascii="宋体" w:hAnsi="Times New Roman" w:eastAsia="宋体" w:cs="宋体"/>
          <w:color w:val="auto"/>
          <w:sz w:val="24"/>
        </w:rPr>
        <w:t>。</w:t>
      </w:r>
    </w:p>
    <w:p w14:paraId="519CFB87">
      <w:pPr>
        <w:pStyle w:val="14"/>
        <w:snapToGrid/>
        <w:spacing w:beforeAutospacing="0" w:afterAutospacing="0" w:line="300" w:lineRule="auto"/>
        <w:ind w:left="0" w:leftChars="0" w:right="0" w:rightChars="0" w:firstLine="482" w:firstLineChars="0"/>
        <w:jc w:val="left"/>
        <w:rPr>
          <w:rFonts w:hint="eastAsia" w:ascii="宋体" w:eastAsia="宋体" w:cs="宋体"/>
          <w:color w:val="FF0000"/>
          <w:sz w:val="24"/>
          <w:lang w:val="en-US" w:eastAsia="zh-CN"/>
        </w:rPr>
      </w:pPr>
      <w:r>
        <w:rPr>
          <w:rFonts w:hint="eastAsia" w:ascii="宋体" w:cs="宋体"/>
          <w:color w:val="auto"/>
          <w:sz w:val="24"/>
          <w:lang w:val="en-US" w:eastAsia="zh-CN"/>
        </w:rPr>
        <w:t>（</w:t>
      </w:r>
      <w:r>
        <w:rPr>
          <w:rFonts w:hint="eastAsia" w:ascii="宋体" w:hAnsi="Times New Roman" w:eastAsia="宋体" w:cs="宋体"/>
          <w:color w:val="auto"/>
          <w:sz w:val="24"/>
          <w:lang w:val="en-US" w:eastAsia="zh-CN"/>
        </w:rPr>
        <w:t>4</w:t>
      </w:r>
      <w:r>
        <w:rPr>
          <w:rFonts w:hint="eastAsia" w:ascii="宋体" w:cs="宋体"/>
          <w:color w:val="auto"/>
          <w:sz w:val="24"/>
          <w:lang w:val="en-US" w:eastAsia="zh-CN"/>
        </w:rPr>
        <w:t>)</w:t>
      </w:r>
      <w:r>
        <w:rPr>
          <w:rFonts w:hint="eastAsia" w:ascii="宋体" w:eastAsia="宋体" w:cs="宋体"/>
          <w:color w:val="auto"/>
          <w:sz w:val="24"/>
          <w:lang w:eastAsia="zh-CN"/>
        </w:rPr>
        <w:t>中标</w:t>
      </w:r>
      <w:r>
        <w:rPr>
          <w:rFonts w:hint="eastAsia" w:ascii="宋体" w:hAnsi="Times New Roman" w:eastAsia="宋体" w:cs="宋体"/>
          <w:color w:val="auto"/>
          <w:sz w:val="24"/>
        </w:rPr>
        <w:t>方应在我</w:t>
      </w:r>
      <w:r>
        <w:rPr>
          <w:rFonts w:hint="eastAsia" w:ascii="宋体" w:hAnsi="Times New Roman" w:eastAsia="宋体" w:cs="宋体"/>
          <w:color w:val="auto"/>
          <w:sz w:val="24"/>
          <w:lang w:eastAsia="zh-CN"/>
        </w:rPr>
        <w:t>院</w:t>
      </w:r>
      <w:r>
        <w:rPr>
          <w:rFonts w:hint="eastAsia" w:ascii="宋体" w:hAnsi="Times New Roman" w:eastAsia="宋体" w:cs="宋体"/>
          <w:color w:val="auto"/>
          <w:sz w:val="24"/>
        </w:rPr>
        <w:t>提出租赁需求时，及时调度车辆用车需求；若不能满足的，应提前告知，</w:t>
      </w:r>
      <w:r>
        <w:rPr>
          <w:rFonts w:hint="eastAsia" w:ascii="宋体" w:cs="宋体"/>
          <w:color w:val="auto"/>
          <w:sz w:val="24"/>
          <w:lang w:eastAsia="zh-CN"/>
        </w:rPr>
        <w:t>以</w:t>
      </w:r>
      <w:r>
        <w:rPr>
          <w:rFonts w:hint="eastAsia" w:ascii="宋体" w:hAnsi="Times New Roman" w:eastAsia="宋体" w:cs="宋体"/>
          <w:color w:val="auto"/>
          <w:sz w:val="24"/>
        </w:rPr>
        <w:t>免影响工作。</w:t>
      </w:r>
      <w:r>
        <w:rPr>
          <w:rFonts w:hint="eastAsia" w:ascii="宋体" w:eastAsia="宋体" w:cs="宋体"/>
          <w:color w:val="000000" w:themeColor="text1"/>
          <w:sz w:val="24"/>
          <w:lang w:eastAsia="zh-CN"/>
          <w14:textFill>
            <w14:solidFill>
              <w14:schemeClr w14:val="tx1"/>
            </w14:solidFill>
          </w14:textFill>
        </w:rPr>
        <w:t>双方拟定租约后，如无正当理由而中止约定的，须</w:t>
      </w:r>
      <w:r>
        <w:rPr>
          <w:rFonts w:hint="eastAsia" w:ascii="宋体" w:cs="宋体"/>
          <w:color w:val="000000" w:themeColor="text1"/>
          <w:sz w:val="24"/>
          <w:lang w:eastAsia="zh-CN"/>
          <w14:textFill>
            <w14:solidFill>
              <w14:schemeClr w14:val="tx1"/>
            </w14:solidFill>
          </w14:textFill>
        </w:rPr>
        <w:t>按当次</w:t>
      </w:r>
      <w:r>
        <w:rPr>
          <w:rFonts w:hint="eastAsia" w:ascii="宋体" w:eastAsia="宋体" w:cs="宋体"/>
          <w:color w:val="000000" w:themeColor="text1"/>
          <w:sz w:val="24"/>
          <w:lang w:eastAsia="zh-CN"/>
          <w14:textFill>
            <w14:solidFill>
              <w14:schemeClr w14:val="tx1"/>
            </w14:solidFill>
          </w14:textFill>
        </w:rPr>
        <w:t>费用</w:t>
      </w:r>
      <w:r>
        <w:rPr>
          <w:rFonts w:hint="eastAsia" w:ascii="宋体" w:eastAsia="宋体" w:cs="宋体"/>
          <w:color w:val="000000" w:themeColor="text1"/>
          <w:sz w:val="24"/>
          <w:lang w:val="en-US" w:eastAsia="zh-CN"/>
          <w14:textFill>
            <w14:solidFill>
              <w14:schemeClr w14:val="tx1"/>
            </w14:solidFill>
          </w14:textFill>
        </w:rPr>
        <w:t>的10%</w:t>
      </w:r>
      <w:r>
        <w:rPr>
          <w:rFonts w:hint="eastAsia" w:ascii="宋体" w:eastAsia="宋体" w:cs="宋体"/>
          <w:color w:val="000000" w:themeColor="text1"/>
          <w:sz w:val="24"/>
          <w:lang w:eastAsia="zh-CN"/>
          <w14:textFill>
            <w14:solidFill>
              <w14:schemeClr w14:val="tx1"/>
            </w14:solidFill>
          </w14:textFill>
        </w:rPr>
        <w:t>赔偿对方</w:t>
      </w:r>
      <w:r>
        <w:rPr>
          <w:rFonts w:hint="eastAsia" w:ascii="宋体" w:eastAsia="宋体" w:cs="宋体"/>
          <w:color w:val="000000" w:themeColor="text1"/>
          <w:sz w:val="24"/>
          <w:lang w:val="en-US" w:eastAsia="zh-CN"/>
          <w14:textFill>
            <w14:solidFill>
              <w14:schemeClr w14:val="tx1"/>
            </w14:solidFill>
          </w14:textFill>
        </w:rPr>
        <w:t>损失。</w:t>
      </w:r>
    </w:p>
    <w:p w14:paraId="5797B823">
      <w:pPr>
        <w:pStyle w:val="14"/>
        <w:snapToGrid/>
        <w:spacing w:beforeAutospacing="0" w:afterAutospacing="0" w:line="300" w:lineRule="auto"/>
        <w:ind w:left="0" w:leftChars="0" w:right="0" w:rightChars="0" w:firstLine="482" w:firstLineChars="0"/>
        <w:jc w:val="left"/>
        <w:rPr>
          <w:rFonts w:hint="eastAsia" w:ascii="宋体" w:eastAsia="宋体" w:cs="宋体"/>
          <w:color w:val="auto"/>
          <w:sz w:val="24"/>
          <w:lang w:val="en-US" w:eastAsia="zh-CN"/>
        </w:rPr>
      </w:pPr>
      <w:r>
        <w:rPr>
          <w:rFonts w:hint="eastAsia" w:ascii="宋体" w:cs="宋体"/>
          <w:color w:val="auto"/>
          <w:sz w:val="24"/>
          <w:lang w:val="en-US" w:eastAsia="zh-CN"/>
        </w:rPr>
        <w:t>（</w:t>
      </w:r>
      <w:r>
        <w:rPr>
          <w:rFonts w:hint="eastAsia" w:ascii="宋体" w:eastAsia="宋体" w:cs="宋体"/>
          <w:color w:val="auto"/>
          <w:sz w:val="24"/>
          <w:lang w:val="en-US" w:eastAsia="zh-CN"/>
        </w:rPr>
        <w:t>5</w:t>
      </w:r>
      <w:r>
        <w:rPr>
          <w:rFonts w:hint="eastAsia" w:ascii="宋体" w:cs="宋体"/>
          <w:color w:val="auto"/>
          <w:sz w:val="24"/>
          <w:lang w:val="en-US" w:eastAsia="zh-CN"/>
        </w:rPr>
        <w:t>)</w:t>
      </w:r>
      <w:r>
        <w:rPr>
          <w:rFonts w:hint="eastAsia" w:ascii="宋体" w:eastAsia="宋体" w:cs="宋体"/>
          <w:color w:val="auto"/>
          <w:sz w:val="24"/>
          <w:lang w:eastAsia="zh-CN"/>
        </w:rPr>
        <w:t>乘客严禁携带易燃易爆及危险品乘车，不能有妨碍司机驾驶行为，中标</w:t>
      </w:r>
      <w:r>
        <w:rPr>
          <w:rFonts w:hint="eastAsia" w:ascii="宋体" w:hAnsi="Times New Roman" w:eastAsia="宋体" w:cs="宋体"/>
          <w:color w:val="auto"/>
          <w:sz w:val="24"/>
        </w:rPr>
        <w:t>方</w:t>
      </w:r>
      <w:r>
        <w:rPr>
          <w:rFonts w:hint="eastAsia" w:ascii="宋体" w:eastAsia="宋体" w:cs="宋体"/>
          <w:color w:val="auto"/>
          <w:sz w:val="24"/>
          <w:lang w:eastAsia="zh-CN"/>
        </w:rPr>
        <w:t>有权制止乘客违规行为，因违规行为造成损失的，由当事人负责。</w:t>
      </w:r>
    </w:p>
    <w:p w14:paraId="23C30821">
      <w:pPr>
        <w:pStyle w:val="14"/>
        <w:snapToGrid/>
        <w:spacing w:beforeAutospacing="0" w:afterAutospacing="0" w:line="300" w:lineRule="auto"/>
        <w:ind w:left="0" w:leftChars="0" w:right="0" w:rightChars="0" w:firstLine="482" w:firstLineChars="0"/>
        <w:jc w:val="left"/>
        <w:rPr>
          <w:rFonts w:hint="eastAsia" w:ascii="宋体" w:eastAsia="宋体"/>
          <w:color w:val="auto"/>
          <w:kern w:val="0"/>
          <w:sz w:val="24"/>
          <w:szCs w:val="24"/>
          <w:lang w:eastAsia="zh-CN"/>
        </w:rPr>
      </w:pPr>
      <w:r>
        <w:rPr>
          <w:rFonts w:hint="eastAsia" w:ascii="宋体" w:cs="宋体"/>
          <w:color w:val="auto"/>
          <w:sz w:val="24"/>
          <w:lang w:val="en-US" w:eastAsia="zh-CN"/>
        </w:rPr>
        <w:t>（</w:t>
      </w:r>
      <w:r>
        <w:rPr>
          <w:rFonts w:hint="eastAsia" w:ascii="宋体" w:eastAsia="宋体" w:cs="宋体"/>
          <w:color w:val="auto"/>
          <w:sz w:val="24"/>
          <w:lang w:val="en-US" w:eastAsia="zh-CN"/>
        </w:rPr>
        <w:t>6</w:t>
      </w:r>
      <w:r>
        <w:rPr>
          <w:rFonts w:hint="eastAsia" w:ascii="宋体" w:cs="宋体"/>
          <w:color w:val="auto"/>
          <w:sz w:val="24"/>
          <w:lang w:val="en-US" w:eastAsia="zh-CN"/>
        </w:rPr>
        <w:t>)</w:t>
      </w:r>
      <w:r>
        <w:rPr>
          <w:rFonts w:hint="eastAsia" w:ascii="宋体" w:eastAsia="宋体" w:cs="宋体"/>
          <w:color w:val="auto"/>
          <w:sz w:val="24"/>
          <w:lang w:val="en-US" w:eastAsia="zh-CN"/>
        </w:rPr>
        <w:t>租赁期间，中标方司机应服从</w:t>
      </w:r>
      <w:r>
        <w:rPr>
          <w:rFonts w:hint="eastAsia" w:ascii="宋体" w:cs="宋体"/>
          <w:color w:val="auto"/>
          <w:sz w:val="24"/>
          <w:lang w:val="en-US" w:eastAsia="zh-CN"/>
        </w:rPr>
        <w:t>租赁</w:t>
      </w:r>
      <w:r>
        <w:rPr>
          <w:rFonts w:hint="eastAsia" w:ascii="宋体" w:eastAsia="宋体" w:cs="宋体"/>
          <w:color w:val="auto"/>
          <w:sz w:val="24"/>
          <w:lang w:val="en-US" w:eastAsia="zh-CN"/>
        </w:rPr>
        <w:t>方工作方面的调配</w:t>
      </w:r>
      <w:r>
        <w:rPr>
          <w:rFonts w:ascii="宋体" w:eastAsia="宋体"/>
          <w:color w:val="auto"/>
          <w:kern w:val="0"/>
          <w:sz w:val="24"/>
          <w:szCs w:val="24"/>
        </w:rPr>
        <w:t xml:space="preserve"> </w:t>
      </w:r>
      <w:r>
        <w:rPr>
          <w:rFonts w:hint="eastAsia" w:ascii="宋体" w:eastAsia="宋体"/>
          <w:color w:val="auto"/>
          <w:kern w:val="0"/>
          <w:sz w:val="24"/>
          <w:szCs w:val="24"/>
          <w:lang w:eastAsia="zh-CN"/>
        </w:rPr>
        <w:t>。</w:t>
      </w:r>
    </w:p>
    <w:p w14:paraId="644770D9">
      <w:pPr>
        <w:pStyle w:val="14"/>
        <w:ind w:left="-708" w:leftChars="-337" w:firstLine="1200" w:firstLineChars="500"/>
        <w:rPr>
          <w:rFonts w:hint="eastAsia"/>
          <w:b w:val="0"/>
          <w:bCs w:val="0"/>
          <w:lang w:val="en-US" w:eastAsia="zh-CN"/>
        </w:rPr>
      </w:pPr>
      <w:r>
        <w:rPr>
          <w:rFonts w:hint="eastAsia"/>
          <w:b w:val="0"/>
          <w:bCs w:val="0"/>
          <w:lang w:val="en-US" w:eastAsia="zh-CN"/>
        </w:rPr>
        <w:t>（7）租赁司机期间，司机必须尽职尽责，尽力保证甲方人员与车辆的安全，并负责管理好车辆卫生，如发现车辆有故障或隐患，须及时报告甲方处理。属甲方的车辆，运行期间所产生的费用由甲方承担。</w:t>
      </w:r>
    </w:p>
    <w:p w14:paraId="74A12D61">
      <w:pPr>
        <w:pStyle w:val="14"/>
        <w:ind w:left="-708" w:leftChars="-337"/>
        <w:rPr>
          <w:rFonts w:hint="eastAsia"/>
          <w:b/>
          <w:bCs/>
          <w:kern w:val="0"/>
          <w:sz w:val="24"/>
          <w:szCs w:val="24"/>
          <w:lang w:val="en-US" w:eastAsia="zh-CN"/>
        </w:rPr>
      </w:pPr>
      <w:r>
        <w:rPr>
          <w:rFonts w:hint="eastAsia"/>
          <w:b/>
          <w:bCs/>
          <w:kern w:val="0"/>
          <w:sz w:val="24"/>
          <w:szCs w:val="24"/>
          <w:lang w:val="en-US" w:eastAsia="zh-CN"/>
        </w:rPr>
        <w:t>6）付款方式：</w:t>
      </w:r>
    </w:p>
    <w:p w14:paraId="36D177AD">
      <w:pPr>
        <w:widowControl/>
        <w:spacing w:line="400" w:lineRule="exact"/>
        <w:ind w:left="-710" w:leftChars="-338" w:firstLine="480" w:firstLineChars="200"/>
        <w:jc w:val="left"/>
        <w:rPr>
          <w:rFonts w:hint="eastAsia" w:cs="宋体"/>
          <w:kern w:val="0"/>
          <w:sz w:val="24"/>
          <w:szCs w:val="24"/>
          <w:lang w:eastAsia="zh-CN"/>
        </w:rPr>
      </w:pPr>
      <w:r>
        <w:rPr>
          <w:rFonts w:hint="eastAsia" w:ascii="Times New Roman" w:hAnsi="Times New Roman" w:cs="宋体"/>
          <w:kern w:val="0"/>
          <w:sz w:val="24"/>
          <w:szCs w:val="24"/>
          <w:lang w:eastAsia="zh-CN"/>
        </w:rPr>
        <w:t>按实际费用</w:t>
      </w:r>
      <w:r>
        <w:rPr>
          <w:rFonts w:hint="eastAsia" w:ascii="Times New Roman" w:hAnsi="Times New Roman" w:cs="宋体"/>
          <w:kern w:val="0"/>
          <w:sz w:val="24"/>
          <w:szCs w:val="24"/>
        </w:rPr>
        <w:t>每</w:t>
      </w:r>
      <w:r>
        <w:rPr>
          <w:rFonts w:hint="eastAsia" w:ascii="Times New Roman" w:hAnsi="Times New Roman" w:cs="宋体"/>
          <w:kern w:val="0"/>
          <w:sz w:val="24"/>
          <w:szCs w:val="24"/>
          <w:lang w:val="en-US" w:eastAsia="zh-CN"/>
        </w:rPr>
        <w:t>季</w:t>
      </w:r>
      <w:r>
        <w:rPr>
          <w:rFonts w:hint="eastAsia" w:ascii="Times New Roman" w:hAnsi="Times New Roman" w:cs="宋体"/>
          <w:kern w:val="0"/>
          <w:sz w:val="24"/>
          <w:szCs w:val="24"/>
        </w:rPr>
        <w:t>结算。乙方开具全</w:t>
      </w:r>
      <w:r>
        <w:rPr>
          <w:rFonts w:hint="eastAsia" w:cs="宋体"/>
          <w:kern w:val="0"/>
          <w:sz w:val="24"/>
          <w:szCs w:val="24"/>
        </w:rPr>
        <w:t>额发票给甲方，甲方自收到发票之日起30日内支付总合同金额的</w:t>
      </w:r>
      <w:r>
        <w:rPr>
          <w:rFonts w:hint="eastAsia" w:cs="宋体"/>
          <w:b/>
          <w:bCs/>
          <w:kern w:val="0"/>
          <w:sz w:val="24"/>
          <w:szCs w:val="24"/>
          <w:lang w:val="en-US" w:eastAsia="zh-CN"/>
        </w:rPr>
        <w:t>100</w:t>
      </w:r>
      <w:r>
        <w:rPr>
          <w:rFonts w:hint="eastAsia" w:cs="宋体"/>
          <w:b/>
          <w:bCs/>
          <w:kern w:val="0"/>
          <w:sz w:val="24"/>
          <w:szCs w:val="24"/>
        </w:rPr>
        <w:t>%</w:t>
      </w:r>
      <w:r>
        <w:rPr>
          <w:rFonts w:hint="eastAsia" w:cs="宋体"/>
          <w:kern w:val="0"/>
          <w:sz w:val="24"/>
          <w:szCs w:val="24"/>
        </w:rPr>
        <w:t>。</w:t>
      </w:r>
    </w:p>
    <w:p w14:paraId="0B9A6CF9">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14:paraId="33041307">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000000" w:themeColor="text1"/>
              <w:kern w:val="0"/>
              <w:sz w:val="24"/>
              <w:szCs w:val="24"/>
              <w:u w:val="single"/>
              <w:lang w:val="en-US" w:eastAsia="zh-CN"/>
              <w14:textFill>
                <w14:solidFill>
                  <w14:schemeClr w14:val="tx1"/>
                </w14:solidFill>
              </w14:textFill>
            </w:rPr>
            <w:t>7个</w:t>
          </w:r>
        </w:sdtContent>
      </w:sdt>
      <w:r>
        <w:rPr>
          <w:rFonts w:hint="eastAsia" w:cs="宋体"/>
          <w:kern w:val="0"/>
          <w:sz w:val="24"/>
          <w:szCs w:val="24"/>
          <w:lang w:val="en-US" w:eastAsia="zh-CN"/>
        </w:rPr>
        <w:t>工作日</w:t>
      </w:r>
      <w:r>
        <w:rPr>
          <w:rFonts w:hint="eastAsia" w:cs="宋体"/>
          <w:kern w:val="0"/>
          <w:sz w:val="24"/>
          <w:szCs w:val="24"/>
        </w:rPr>
        <w:t>内签订采购合同。</w:t>
      </w:r>
    </w:p>
    <w:p w14:paraId="36A58088">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14:paraId="565503D1">
      <w:pPr>
        <w:pStyle w:val="14"/>
      </w:pPr>
    </w:p>
    <w:p w14:paraId="76D4BECE">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14:paraId="12BF0867">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18B7A69F">
      <w:pPr>
        <w:pStyle w:val="3"/>
        <w:ind w:firstLine="1606" w:firstLineChars="500"/>
        <w:jc w:val="both"/>
        <w:rPr>
          <w:rFonts w:hint="eastAsia"/>
        </w:rPr>
      </w:pPr>
      <w:r>
        <w:rPr>
          <w:rFonts w:hint="eastAsia"/>
        </w:rPr>
        <w:t>第四章  评审程序、评审方法和评审标准</w:t>
      </w:r>
    </w:p>
    <w:p w14:paraId="7793728E">
      <w:pPr>
        <w:keepNext/>
        <w:keepLines/>
        <w:spacing w:line="360" w:lineRule="auto"/>
        <w:ind w:firstLine="640" w:firstLineChars="200"/>
        <w:jc w:val="center"/>
        <w:outlineLvl w:val="1"/>
        <w:rPr>
          <w:rFonts w:hint="eastAsia" w:ascii="宋体" w:hAnsi="宋体" w:cs="宋体"/>
          <w:bCs/>
          <w:sz w:val="32"/>
          <w:szCs w:val="32"/>
        </w:rPr>
      </w:pPr>
      <w:bookmarkStart w:id="0" w:name="_Toc24663"/>
      <w:bookmarkStart w:id="1" w:name="_Toc80205933"/>
      <w:r>
        <w:rPr>
          <w:rFonts w:hint="eastAsia" w:ascii="宋体" w:hAnsi="宋体" w:cs="宋体"/>
          <w:bCs/>
          <w:sz w:val="32"/>
          <w:szCs w:val="32"/>
        </w:rPr>
        <w:t>第一节 评审程序和评审方法</w:t>
      </w:r>
      <w:bookmarkEnd w:id="0"/>
      <w:bookmarkEnd w:id="1"/>
    </w:p>
    <w:p w14:paraId="3C66AB9D">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val="en-US" w:eastAsia="zh-CN"/>
        </w:rPr>
        <w:t xml:space="preserve">  </w:t>
      </w:r>
      <w:r>
        <w:rPr>
          <w:rFonts w:hint="eastAsia" w:cs="宋体"/>
          <w:b/>
          <w:bCs/>
          <w:kern w:val="0"/>
          <w:sz w:val="24"/>
          <w:szCs w:val="24"/>
          <w:u w:val="single"/>
          <w:lang w:eastAsia="zh-CN"/>
        </w:rPr>
        <w:t>竞争性磋商</w:t>
      </w:r>
      <w:r>
        <w:rPr>
          <w:rFonts w:hint="eastAsia" w:cs="宋体"/>
          <w:b/>
          <w:bCs/>
          <w:kern w:val="0"/>
          <w:sz w:val="24"/>
          <w:szCs w:val="24"/>
          <w:u w:val="single"/>
        </w:rPr>
        <w:t xml:space="preserve"> </w:t>
      </w:r>
      <w:r>
        <w:rPr>
          <w:rFonts w:hint="eastAsia" w:cs="宋体"/>
          <w:b/>
          <w:bCs/>
          <w:kern w:val="0"/>
          <w:sz w:val="24"/>
          <w:szCs w:val="24"/>
          <w:u w:val="single"/>
          <w:lang w:val="en-US" w:eastAsia="zh-CN"/>
        </w:rPr>
        <w:t xml:space="preserve"> </w:t>
      </w:r>
      <w:r>
        <w:rPr>
          <w:rFonts w:hint="eastAsia" w:cs="宋体"/>
          <w:kern w:val="0"/>
          <w:sz w:val="24"/>
          <w:szCs w:val="24"/>
        </w:rPr>
        <w:t>确定中标候选人。</w:t>
      </w:r>
    </w:p>
    <w:p w14:paraId="37749816">
      <w:pPr>
        <w:spacing w:line="360" w:lineRule="auto"/>
        <w:ind w:firstLine="482" w:firstLineChars="200"/>
        <w:rPr>
          <w:rFonts w:hint="eastAsia" w:ascii="宋体" w:hAnsi="宋体" w:cs="宋体"/>
          <w:b/>
          <w:bCs/>
          <w:sz w:val="24"/>
        </w:rPr>
      </w:pPr>
      <w:r>
        <w:rPr>
          <w:rFonts w:hint="eastAsia" w:ascii="宋体" w:hAnsi="宋体" w:cs="宋体"/>
          <w:b/>
          <w:bCs/>
          <w:sz w:val="24"/>
        </w:rPr>
        <w:t>1.确认磋商文件</w:t>
      </w:r>
    </w:p>
    <w:p w14:paraId="68BDE719">
      <w:pPr>
        <w:spacing w:line="360" w:lineRule="auto"/>
        <w:ind w:firstLine="420" w:firstLineChars="200"/>
        <w:rPr>
          <w:rFonts w:hint="eastAsia" w:ascii="宋体" w:hAnsi="宋体" w:cs="宋体"/>
          <w:szCs w:val="21"/>
        </w:rPr>
      </w:pPr>
      <w:r>
        <w:rPr>
          <w:rFonts w:hint="eastAsia" w:ascii="宋体" w:hAnsi="宋体" w:cs="宋体"/>
          <w:szCs w:val="21"/>
        </w:rPr>
        <w:t>由磋商小组确认磋商文件。</w:t>
      </w:r>
    </w:p>
    <w:p w14:paraId="36737597">
      <w:pPr>
        <w:spacing w:line="360" w:lineRule="auto"/>
        <w:ind w:firstLine="482" w:firstLineChars="200"/>
        <w:rPr>
          <w:rFonts w:hint="eastAsia" w:ascii="宋体" w:hAnsi="宋体" w:cs="宋体"/>
          <w:b/>
          <w:bCs/>
          <w:sz w:val="24"/>
        </w:rPr>
      </w:pPr>
      <w:r>
        <w:rPr>
          <w:rFonts w:hint="eastAsia" w:ascii="宋体" w:hAnsi="宋体" w:cs="宋体"/>
          <w:b/>
          <w:bCs/>
          <w:sz w:val="24"/>
        </w:rPr>
        <w:t>2.资格审查</w:t>
      </w:r>
    </w:p>
    <w:p w14:paraId="4E63C29E">
      <w:pPr>
        <w:snapToGrid w:val="0"/>
        <w:spacing w:line="360" w:lineRule="auto"/>
        <w:ind w:firstLine="420" w:firstLineChars="200"/>
        <w:rPr>
          <w:rFonts w:hint="eastAsia" w:ascii="宋体" w:hAnsi="宋体" w:cs="宋体"/>
          <w:szCs w:val="21"/>
        </w:rPr>
      </w:pPr>
      <w:r>
        <w:rPr>
          <w:rFonts w:hint="eastAsia" w:ascii="宋体" w:hAnsi="宋体" w:cs="宋体"/>
          <w:szCs w:val="21"/>
        </w:rPr>
        <w:t>2.1响应文件开启后，磋商小组依法对供应商的资格证明文件进行审查。</w:t>
      </w:r>
    </w:p>
    <w:p w14:paraId="1A806A96">
      <w:pPr>
        <w:snapToGrid w:val="0"/>
        <w:spacing w:line="360" w:lineRule="auto"/>
        <w:ind w:firstLine="420" w:firstLineChars="200"/>
        <w:rPr>
          <w:rFonts w:hint="eastAsia" w:ascii="宋体" w:hAnsi="宋体" w:cs="宋体"/>
          <w:szCs w:val="21"/>
        </w:rPr>
      </w:pPr>
      <w:r>
        <w:rPr>
          <w:rFonts w:hint="eastAsia" w:ascii="宋体" w:hAnsi="宋体" w:cs="宋体"/>
          <w:szCs w:val="21"/>
        </w:rPr>
        <w:t>注：采购人代表或者采购代理机构在资格审查结束前，对供应商进行信用查询。</w:t>
      </w:r>
    </w:p>
    <w:p w14:paraId="6AF798C3">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（1）查询渠道：“信用中国”网站(</w:t>
      </w:r>
      <w:r>
        <w:rPr>
          <w:rFonts w:hint="eastAsia" w:ascii="宋体" w:hAnsi="宋体" w:cs="宋体"/>
          <w:szCs w:val="21"/>
        </w:rPr>
        <w:fldChar w:fldCharType="begin"/>
      </w:r>
      <w:r>
        <w:rPr>
          <w:rFonts w:hint="eastAsia" w:ascii="宋体" w:hAnsi="宋体" w:cs="宋体"/>
          <w:szCs w:val="21"/>
        </w:rPr>
        <w:instrText xml:space="preserve"> HYPERLINK "http://www.creditchina.gov.cn" </w:instrText>
      </w:r>
      <w:r>
        <w:rPr>
          <w:rFonts w:hint="eastAsia" w:ascii="宋体" w:hAnsi="宋体" w:cs="宋体"/>
          <w:szCs w:val="21"/>
        </w:rPr>
        <w:fldChar w:fldCharType="separate"/>
      </w:r>
      <w:r>
        <w:rPr>
          <w:rFonts w:hint="eastAsia" w:ascii="宋体" w:hAnsi="宋体" w:cs="宋体"/>
          <w:szCs w:val="21"/>
        </w:rPr>
        <w:t>www.creditchina.gov.cn</w:t>
      </w:r>
      <w:r>
        <w:rPr>
          <w:rFonts w:hint="eastAsia" w:ascii="宋体" w:hAnsi="宋体" w:cs="宋体"/>
          <w:szCs w:val="21"/>
        </w:rPr>
        <w:fldChar w:fldCharType="end"/>
      </w:r>
      <w:r>
        <w:rPr>
          <w:rFonts w:hint="eastAsia" w:ascii="宋体" w:hAnsi="宋体" w:cs="宋体"/>
          <w:szCs w:val="21"/>
        </w:rPr>
        <w:t>)、中国采购与招标网(</w:t>
      </w:r>
      <w:r>
        <w:rPr>
          <w:rFonts w:hint="eastAsia" w:ascii="宋体" w:hAnsi="宋体" w:cs="宋体"/>
          <w:szCs w:val="21"/>
        </w:rPr>
        <w:fldChar w:fldCharType="begin"/>
      </w:r>
      <w:r>
        <w:rPr>
          <w:rFonts w:hint="eastAsia" w:ascii="宋体" w:hAnsi="宋体" w:cs="宋体"/>
          <w:szCs w:val="21"/>
        </w:rPr>
        <w:instrText xml:space="preserve"> HYPERLINK "http://www.ccgp.gov.cn" </w:instrText>
      </w:r>
      <w:r>
        <w:rPr>
          <w:rFonts w:hint="eastAsia" w:ascii="宋体" w:hAnsi="宋体" w:cs="宋体"/>
          <w:szCs w:val="21"/>
        </w:rPr>
        <w:fldChar w:fldCharType="separate"/>
      </w:r>
      <w:r>
        <w:rPr>
          <w:rFonts w:hint="eastAsia" w:ascii="宋体" w:hAnsi="宋体" w:cs="宋体"/>
          <w:szCs w:val="21"/>
        </w:rPr>
        <w:t>www.ccgp.gov.cn</w:t>
      </w:r>
      <w:r>
        <w:rPr>
          <w:rFonts w:hint="eastAsia" w:ascii="宋体" w:hAnsi="宋体" w:cs="宋体"/>
          <w:szCs w:val="21"/>
        </w:rPr>
        <w:fldChar w:fldCharType="end"/>
      </w:r>
      <w:r>
        <w:rPr>
          <w:rFonts w:hint="eastAsia" w:ascii="宋体" w:hAnsi="宋体" w:cs="宋体"/>
          <w:szCs w:val="21"/>
        </w:rPr>
        <w:t>)链接入口。</w:t>
      </w:r>
    </w:p>
    <w:p w14:paraId="45F7DA54">
      <w:pPr>
        <w:snapToGrid w:val="0"/>
        <w:spacing w:line="360" w:lineRule="auto"/>
        <w:ind w:firstLine="420" w:firstLineChars="200"/>
        <w:rPr>
          <w:rFonts w:hint="eastAsia" w:ascii="宋体" w:hAnsi="宋体" w:cs="宋体"/>
          <w:szCs w:val="21"/>
        </w:rPr>
      </w:pPr>
      <w:r>
        <w:rPr>
          <w:rFonts w:hint="eastAsia" w:ascii="宋体" w:hAnsi="宋体" w:cs="宋体"/>
          <w:szCs w:val="21"/>
        </w:rPr>
        <w:t>（2）信用查询截止时点：资格审查结束前。</w:t>
      </w:r>
    </w:p>
    <w:p w14:paraId="1DFD30EC">
      <w:pPr>
        <w:snapToGrid w:val="0"/>
        <w:spacing w:line="360" w:lineRule="auto"/>
        <w:ind w:firstLine="420" w:firstLineChars="200"/>
        <w:rPr>
          <w:rFonts w:hint="eastAsia" w:ascii="宋体" w:hAnsi="宋体" w:cs="宋体"/>
          <w:szCs w:val="21"/>
        </w:rPr>
      </w:pPr>
      <w:r>
        <w:rPr>
          <w:rFonts w:hint="eastAsia" w:ascii="宋体" w:hAnsi="宋体" w:cs="宋体"/>
          <w:szCs w:val="21"/>
        </w:rPr>
        <w:t>查询记录和证据留存方式：在查询网站中直接打印查询记录，截图另存为电子文档作为评审资料保存。</w:t>
      </w:r>
    </w:p>
    <w:p w14:paraId="72A3E521">
      <w:pPr>
        <w:spacing w:line="360" w:lineRule="auto"/>
        <w:ind w:firstLine="420" w:firstLineChars="200"/>
        <w:rPr>
          <w:rFonts w:hint="eastAsia" w:ascii="宋体" w:hAnsi="宋体" w:cs="宋体"/>
          <w:szCs w:val="21"/>
        </w:rPr>
      </w:pPr>
      <w:r>
        <w:rPr>
          <w:rFonts w:hint="eastAsia" w:ascii="宋体" w:hAnsi="宋体" w:cs="宋体"/>
          <w:szCs w:val="21"/>
        </w:rPr>
        <w:t>（3）信用信息使用规则：对在“信用中国”网站(www.creditchina.gov.cn) 、中国采购与招标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5939122">
      <w:pPr>
        <w:spacing w:line="360" w:lineRule="auto"/>
        <w:ind w:firstLine="420" w:firstLineChars="200"/>
        <w:rPr>
          <w:rFonts w:hint="eastAsia" w:ascii="宋体" w:hAnsi="宋体" w:cs="宋体"/>
          <w:szCs w:val="21"/>
        </w:rPr>
      </w:pPr>
      <w:r>
        <w:rPr>
          <w:rFonts w:hint="eastAsia" w:ascii="宋体" w:hAnsi="宋体" w:cs="宋体"/>
          <w:szCs w:val="21"/>
        </w:rPr>
        <w:t>2.2资格审查标准为本磋商文件中载明对供应商资格要求的条件。资格审查采用合格制，凡符合磋商文件规定的供应商资格要求的响应文件均通过资格审查。</w:t>
      </w:r>
    </w:p>
    <w:p w14:paraId="0B9A8063">
      <w:pPr>
        <w:spacing w:line="360" w:lineRule="auto"/>
        <w:ind w:firstLine="420" w:firstLineChars="200"/>
        <w:rPr>
          <w:rFonts w:hint="eastAsia" w:ascii="宋体" w:hAnsi="宋体" w:cs="宋体"/>
          <w:szCs w:val="21"/>
        </w:rPr>
      </w:pPr>
      <w:r>
        <w:rPr>
          <w:rFonts w:hint="eastAsia" w:ascii="宋体" w:hAnsi="宋体" w:cs="宋体"/>
          <w:szCs w:val="21"/>
        </w:rPr>
        <w:t>2.3供应商有下列情形之一的，资格审查不通过，其响应文件按无效响应处理：</w:t>
      </w:r>
    </w:p>
    <w:p w14:paraId="18E4BB41">
      <w:pPr>
        <w:snapToGrid w:val="0"/>
        <w:spacing w:line="360" w:lineRule="auto"/>
        <w:ind w:firstLine="420" w:firstLineChars="200"/>
        <w:rPr>
          <w:rFonts w:hint="eastAsia" w:ascii="宋体" w:hAnsi="宋体" w:cs="宋体"/>
          <w:szCs w:val="21"/>
        </w:rPr>
      </w:pPr>
      <w:r>
        <w:rPr>
          <w:rFonts w:hint="eastAsia" w:ascii="宋体" w:hAnsi="宋体" w:cs="宋体"/>
          <w:szCs w:val="21"/>
        </w:rPr>
        <w:t>（1）不具备磋商文件中规定的资格要求的；</w:t>
      </w:r>
    </w:p>
    <w:p w14:paraId="346F03C6">
      <w:pPr>
        <w:spacing w:line="360" w:lineRule="auto"/>
        <w:ind w:firstLine="420" w:firstLineChars="200"/>
        <w:rPr>
          <w:rFonts w:hint="eastAsia" w:ascii="宋体" w:hAnsi="宋体" w:cs="宋体"/>
          <w:szCs w:val="21"/>
        </w:rPr>
      </w:pPr>
      <w:r>
        <w:rPr>
          <w:rFonts w:hint="eastAsia" w:ascii="宋体" w:hAnsi="宋体" w:cs="宋体"/>
          <w:szCs w:val="21"/>
        </w:rPr>
        <w:t>（2）响应文件未提供任一项“供应商须知前附表”资格证明文件规定的“必须提供”的文件资料的；</w:t>
      </w:r>
    </w:p>
    <w:p w14:paraId="02E1FF79">
      <w:pPr>
        <w:spacing w:line="360" w:lineRule="auto"/>
        <w:ind w:firstLine="420" w:firstLineChars="200"/>
        <w:rPr>
          <w:rFonts w:hint="eastAsia" w:ascii="宋体" w:hAnsi="宋体" w:cs="宋体"/>
          <w:szCs w:val="21"/>
        </w:rPr>
      </w:pPr>
      <w:r>
        <w:rPr>
          <w:rFonts w:hint="eastAsia" w:ascii="宋体" w:hAnsi="宋体" w:cs="宋体"/>
          <w:szCs w:val="21"/>
        </w:rPr>
        <w:t>（3）响应文件提供的资格证明文件出现任一项不符合“供应商须知前附表”资格证明文件规定的“必须提供”的文件资料要求或者无效的。</w:t>
      </w:r>
    </w:p>
    <w:p w14:paraId="3DE108F2">
      <w:pPr>
        <w:spacing w:line="360" w:lineRule="auto"/>
        <w:ind w:firstLine="420" w:firstLineChars="200"/>
        <w:rPr>
          <w:rFonts w:hint="eastAsia" w:ascii="宋体" w:hAnsi="宋体" w:cs="宋体"/>
          <w:szCs w:val="21"/>
        </w:rPr>
      </w:pPr>
      <w:bookmarkStart w:id="2" w:name="_Hlk68601553"/>
      <w:r>
        <w:rPr>
          <w:rFonts w:hint="eastAsia" w:ascii="宋体" w:hAnsi="宋体" w:cs="宋体"/>
          <w:szCs w:val="21"/>
        </w:rPr>
        <w:t>（4）同一合同项下的不同供应商，单位负责人为同一人或者存在直接控股、管理关系的；为本项目提供过整体设计、规范编制或者项目管理、监理、检测等服务的。</w:t>
      </w:r>
      <w:bookmarkEnd w:id="2"/>
    </w:p>
    <w:p w14:paraId="17BB0EFA">
      <w:pPr>
        <w:spacing w:line="360" w:lineRule="auto"/>
        <w:ind w:firstLine="420" w:firstLineChars="200"/>
        <w:rPr>
          <w:rFonts w:hint="eastAsia" w:ascii="宋体" w:hAnsi="宋体" w:cs="宋体"/>
          <w:szCs w:val="21"/>
        </w:rPr>
      </w:pPr>
      <w:r>
        <w:rPr>
          <w:rFonts w:hint="eastAsia" w:ascii="宋体" w:hAnsi="宋体" w:cs="宋体"/>
          <w:szCs w:val="21"/>
        </w:rPr>
        <w:t>2.4通过资格审查的合格供应商不足3家的，不得进入符合性审查环节，采购人或者采购代理机构应当重新开展采购活动。</w:t>
      </w:r>
    </w:p>
    <w:p w14:paraId="6835AC8F">
      <w:pPr>
        <w:spacing w:line="360" w:lineRule="auto"/>
        <w:ind w:firstLine="482" w:firstLineChars="200"/>
        <w:rPr>
          <w:rFonts w:hint="eastAsia" w:ascii="宋体" w:hAnsi="宋体" w:cs="宋体"/>
          <w:b/>
          <w:bCs/>
          <w:sz w:val="24"/>
        </w:rPr>
      </w:pPr>
      <w:r>
        <w:rPr>
          <w:rFonts w:hint="eastAsia" w:ascii="宋体" w:hAnsi="宋体" w:cs="宋体"/>
          <w:b/>
          <w:bCs/>
          <w:sz w:val="24"/>
        </w:rPr>
        <w:t>3.符合性审查</w:t>
      </w:r>
    </w:p>
    <w:p w14:paraId="15A2D3B9">
      <w:pPr>
        <w:spacing w:line="360" w:lineRule="auto"/>
        <w:ind w:firstLine="420" w:firstLineChars="200"/>
        <w:rPr>
          <w:rFonts w:hint="eastAsia" w:ascii="宋体" w:hAnsi="宋体" w:cs="宋体"/>
          <w:szCs w:val="21"/>
        </w:rPr>
      </w:pPr>
      <w:bookmarkStart w:id="3" w:name="_Hlk42528882"/>
      <w:r>
        <w:rPr>
          <w:rFonts w:hint="eastAsia" w:ascii="宋体" w:hAnsi="宋体" w:cs="宋体"/>
          <w:szCs w:val="21"/>
        </w:rPr>
        <w:t>3.1由磋商小组对通过资格审查的合格供应商的响应文件的响应报价、商务、技术等实质性要求进行符合性审查，以确定其是否满足磋商文件的实质性要求。</w:t>
      </w:r>
    </w:p>
    <w:bookmarkEnd w:id="3"/>
    <w:p w14:paraId="01E96561">
      <w:pPr>
        <w:spacing w:line="360" w:lineRule="auto"/>
        <w:ind w:firstLine="420" w:firstLineChars="200"/>
        <w:rPr>
          <w:rFonts w:hint="eastAsia" w:ascii="宋体" w:hAnsi="宋体" w:cs="宋体"/>
          <w:szCs w:val="21"/>
        </w:rPr>
      </w:pPr>
      <w:r>
        <w:rPr>
          <w:rFonts w:hint="eastAsia" w:ascii="宋体" w:hAnsi="宋体" w:cs="宋体"/>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70ECB30">
      <w:pPr>
        <w:spacing w:line="360" w:lineRule="auto"/>
        <w:ind w:firstLine="420" w:firstLineChars="200"/>
        <w:rPr>
          <w:rFonts w:hint="eastAsia" w:ascii="宋体" w:hAnsi="宋体" w:cs="宋体"/>
          <w:spacing w:val="-6"/>
          <w:szCs w:val="21"/>
        </w:rPr>
      </w:pPr>
      <w:r>
        <w:rPr>
          <w:rFonts w:hint="eastAsia" w:ascii="宋体" w:hAnsi="宋体" w:cs="宋体"/>
          <w:szCs w:val="21"/>
        </w:rPr>
        <w:t>3.3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cs="宋体"/>
          <w:bCs/>
          <w:szCs w:val="21"/>
        </w:rPr>
        <w:t>若委托代理人不是响应文件中授权的委托代理人时，必须同时出示有效的法定代表人授权委托书原件</w:t>
      </w:r>
      <w:r>
        <w:rPr>
          <w:rFonts w:hint="eastAsia" w:ascii="宋体" w:hAnsi="宋体" w:cs="宋体"/>
          <w:spacing w:val="-6"/>
          <w:szCs w:val="21"/>
        </w:rPr>
        <w:t>。供应商为自然人的，必须由本人签字并附身份证明。</w:t>
      </w:r>
    </w:p>
    <w:p w14:paraId="3518F20A">
      <w:pPr>
        <w:spacing w:line="360" w:lineRule="auto"/>
        <w:ind w:firstLine="396" w:firstLineChars="200"/>
        <w:rPr>
          <w:rFonts w:hint="eastAsia" w:ascii="宋体" w:hAnsi="宋体" w:cs="宋体"/>
          <w:szCs w:val="21"/>
        </w:rPr>
      </w:pPr>
      <w:r>
        <w:rPr>
          <w:rFonts w:hint="eastAsia" w:ascii="宋体" w:hAnsi="宋体" w:cs="宋体"/>
          <w:spacing w:val="-6"/>
          <w:szCs w:val="21"/>
        </w:rPr>
        <w:t>3.4</w:t>
      </w:r>
      <w:r>
        <w:rPr>
          <w:rFonts w:hint="eastAsia" w:ascii="宋体" w:hAnsi="宋体" w:cs="宋体"/>
          <w:szCs w:val="21"/>
        </w:rPr>
        <w:t xml:space="preserve">首次响应文件报价出现前后不一致的，按照下列规定修正： </w:t>
      </w:r>
    </w:p>
    <w:p w14:paraId="2BBB12B4">
      <w:pPr>
        <w:spacing w:line="360" w:lineRule="auto"/>
        <w:ind w:firstLine="42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14:paraId="64D4E419">
      <w:pPr>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14:paraId="1A66B33C">
      <w:pPr>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14:paraId="27C550EB">
      <w:pPr>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14:paraId="68827A0E">
      <w:pPr>
        <w:spacing w:line="360" w:lineRule="auto"/>
        <w:ind w:firstLine="42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5B171847">
      <w:pPr>
        <w:spacing w:line="360" w:lineRule="auto"/>
        <w:ind w:firstLine="420" w:firstLineChars="200"/>
        <w:rPr>
          <w:rFonts w:hint="eastAsia" w:ascii="宋体" w:hAnsi="宋体" w:cs="宋体"/>
          <w:szCs w:val="21"/>
        </w:rPr>
      </w:pPr>
      <w:r>
        <w:rPr>
          <w:rFonts w:hint="eastAsia" w:ascii="宋体" w:hAnsi="宋体" w:cs="宋体"/>
          <w:szCs w:val="21"/>
        </w:rPr>
        <w:t>3.5商务技术、报价评审</w:t>
      </w:r>
    </w:p>
    <w:p w14:paraId="22685B0B">
      <w:pPr>
        <w:spacing w:line="360" w:lineRule="auto"/>
        <w:ind w:firstLine="420" w:firstLineChars="200"/>
        <w:rPr>
          <w:rFonts w:hint="eastAsia" w:ascii="宋体" w:hAnsi="宋体" w:cs="宋体"/>
          <w:szCs w:val="21"/>
        </w:rPr>
      </w:pPr>
      <w:r>
        <w:rPr>
          <w:rFonts w:hint="eastAsia" w:ascii="宋体" w:hAnsi="宋体" w:cs="宋体"/>
          <w:szCs w:val="21"/>
        </w:rPr>
        <w:t>在评审时，如发现下列情形之一的，将被视为响应文件无效处理：</w:t>
      </w:r>
    </w:p>
    <w:p w14:paraId="08062941">
      <w:pPr>
        <w:spacing w:line="360" w:lineRule="auto"/>
        <w:ind w:firstLine="420" w:firstLineChars="200"/>
        <w:rPr>
          <w:rFonts w:hint="eastAsia" w:ascii="宋体" w:hAnsi="宋体" w:cs="宋体"/>
          <w:szCs w:val="21"/>
        </w:rPr>
      </w:pPr>
      <w:r>
        <w:rPr>
          <w:rFonts w:hint="eastAsia" w:ascii="宋体" w:hAnsi="宋体" w:cs="宋体"/>
          <w:szCs w:val="21"/>
        </w:rPr>
        <w:t>（1）商务技术评审</w:t>
      </w:r>
    </w:p>
    <w:p w14:paraId="7E781F75">
      <w:pPr>
        <w:spacing w:line="360" w:lineRule="auto"/>
        <w:ind w:firstLine="420" w:firstLineChars="200"/>
        <w:rPr>
          <w:rFonts w:hint="eastAsia" w:ascii="宋体" w:hAnsi="宋体" w:cs="宋体"/>
          <w:szCs w:val="21"/>
        </w:rPr>
      </w:pPr>
      <w:r>
        <w:rPr>
          <w:rFonts w:hint="eastAsia" w:ascii="宋体" w:hAnsi="宋体" w:cs="宋体"/>
          <w:szCs w:val="21"/>
        </w:rPr>
        <w:t>1）响应文件未按磋商文件要求签署、盖章；</w:t>
      </w:r>
    </w:p>
    <w:p w14:paraId="5CB764B8">
      <w:pPr>
        <w:spacing w:line="360" w:lineRule="auto"/>
        <w:ind w:firstLine="420" w:firstLineChars="200"/>
        <w:rPr>
          <w:rFonts w:hint="eastAsia"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14:paraId="2C2E586E">
      <w:pPr>
        <w:spacing w:line="360" w:lineRule="auto"/>
        <w:ind w:firstLine="420" w:firstLineChars="200"/>
        <w:rPr>
          <w:rFonts w:hint="eastAsia"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03674C0">
      <w:pPr>
        <w:spacing w:line="360" w:lineRule="auto"/>
        <w:ind w:firstLine="420" w:firstLineChars="200"/>
        <w:rPr>
          <w:rFonts w:hint="eastAsia" w:ascii="宋体" w:hAnsi="宋体" w:cs="宋体"/>
          <w:szCs w:val="21"/>
        </w:rPr>
      </w:pPr>
      <w:r>
        <w:rPr>
          <w:rFonts w:hint="eastAsia" w:ascii="宋体" w:hAnsi="宋体" w:cs="宋体"/>
          <w:szCs w:val="21"/>
        </w:rPr>
        <w:t>4）商务条款中标“▲”的条款发生负偏离的或者允许负偏离的条款数超过“供应商须知前附表”规定项数的或者标明实质性的要求发生负偏离；</w:t>
      </w:r>
    </w:p>
    <w:p w14:paraId="24987DDF">
      <w:pPr>
        <w:spacing w:line="360" w:lineRule="auto"/>
        <w:ind w:firstLine="420" w:firstLineChars="200"/>
        <w:rPr>
          <w:rFonts w:hint="eastAsia" w:ascii="宋体" w:hAnsi="宋体" w:cs="宋体"/>
          <w:szCs w:val="21"/>
        </w:rPr>
      </w:pPr>
      <w:r>
        <w:rPr>
          <w:rFonts w:hint="eastAsia" w:ascii="宋体" w:hAnsi="宋体" w:cs="宋体"/>
          <w:szCs w:val="21"/>
        </w:rPr>
        <w:t>5）未对竞标有效期作出响应或者响应文件承诺的竞标有效期不满足磋商文件要求；</w:t>
      </w:r>
    </w:p>
    <w:p w14:paraId="33545AD6">
      <w:pPr>
        <w:spacing w:line="360" w:lineRule="auto"/>
        <w:ind w:firstLine="420" w:firstLineChars="200"/>
        <w:rPr>
          <w:rFonts w:hint="eastAsia" w:ascii="宋体" w:hAnsi="宋体" w:cs="宋体"/>
          <w:szCs w:val="21"/>
        </w:rPr>
      </w:pPr>
      <w:r>
        <w:rPr>
          <w:rFonts w:hint="eastAsia" w:ascii="宋体" w:hAnsi="宋体" w:cs="宋体"/>
          <w:szCs w:val="21"/>
        </w:rPr>
        <w:t>6）响应文件的实质性内容未使用中文表述、使用计量单位不符合磋商文件要求；</w:t>
      </w:r>
    </w:p>
    <w:p w14:paraId="15D5CF2A">
      <w:pPr>
        <w:spacing w:line="360" w:lineRule="auto"/>
        <w:ind w:firstLine="420" w:firstLineChars="200"/>
        <w:rPr>
          <w:rFonts w:hint="eastAsia" w:ascii="宋体" w:hAnsi="宋体" w:cs="宋体"/>
          <w:szCs w:val="21"/>
        </w:rPr>
      </w:pPr>
      <w:r>
        <w:rPr>
          <w:rFonts w:hint="eastAsia" w:ascii="宋体" w:hAnsi="宋体" w:cs="宋体"/>
          <w:szCs w:val="21"/>
        </w:rPr>
        <w:t>7）响应文件中的文件资料因填写不齐全或者内容虚假或者出现其他情形而导致被磋商小组认定无效；</w:t>
      </w:r>
    </w:p>
    <w:p w14:paraId="58DB82D0">
      <w:pPr>
        <w:spacing w:line="360" w:lineRule="auto"/>
        <w:ind w:firstLine="420" w:firstLineChars="200"/>
        <w:rPr>
          <w:rFonts w:hint="eastAsia" w:ascii="宋体" w:hAnsi="宋体" w:cs="宋体"/>
          <w:szCs w:val="21"/>
        </w:rPr>
      </w:pPr>
      <w:r>
        <w:rPr>
          <w:rFonts w:hint="eastAsia" w:ascii="宋体" w:hAnsi="宋体" w:cs="宋体"/>
          <w:szCs w:val="21"/>
        </w:rPr>
        <w:t>8）响应文件含有采购人不能接受的附加条件；</w:t>
      </w:r>
    </w:p>
    <w:p w14:paraId="759C2548">
      <w:pPr>
        <w:spacing w:line="360" w:lineRule="auto"/>
        <w:ind w:firstLine="420" w:firstLineChars="200"/>
        <w:rPr>
          <w:rFonts w:hint="eastAsia" w:ascii="宋体" w:hAnsi="宋体" w:cs="宋体"/>
          <w:szCs w:val="21"/>
        </w:rPr>
      </w:pPr>
      <w:r>
        <w:rPr>
          <w:rFonts w:hint="eastAsia" w:ascii="宋体" w:hAnsi="宋体" w:cs="宋体"/>
          <w:szCs w:val="21"/>
        </w:rPr>
        <w:t>9）属于“供应商须知正文”第7.5条情形；</w:t>
      </w:r>
    </w:p>
    <w:p w14:paraId="4BB64509">
      <w:pPr>
        <w:spacing w:line="360" w:lineRule="auto"/>
        <w:ind w:firstLine="420" w:firstLineChars="200"/>
        <w:rPr>
          <w:rFonts w:hint="eastAsia" w:ascii="宋体" w:hAnsi="宋体" w:cs="宋体"/>
          <w:szCs w:val="21"/>
        </w:rPr>
      </w:pPr>
      <w:r>
        <w:rPr>
          <w:rFonts w:hint="eastAsia" w:ascii="宋体" w:hAnsi="宋体" w:cs="宋体"/>
          <w:szCs w:val="21"/>
        </w:rPr>
        <w:t>10）技术需求允许负偏离的条款数超过“供应商须知前附表”规定项数；</w:t>
      </w:r>
    </w:p>
    <w:p w14:paraId="38DAE6AF">
      <w:pPr>
        <w:spacing w:line="360" w:lineRule="auto"/>
        <w:ind w:firstLine="420" w:firstLineChars="200"/>
        <w:rPr>
          <w:rFonts w:hint="eastAsia" w:ascii="宋体" w:hAnsi="宋体" w:cs="宋体"/>
          <w:szCs w:val="21"/>
        </w:rPr>
      </w:pPr>
      <w:r>
        <w:rPr>
          <w:rFonts w:hint="eastAsia" w:ascii="宋体" w:hAnsi="宋体" w:cs="宋体"/>
          <w:szCs w:val="21"/>
        </w:rPr>
        <w:t>11）虚假竞标，或者出现其他情形而导致被磋商小组认定无效；</w:t>
      </w:r>
    </w:p>
    <w:p w14:paraId="4A510156">
      <w:pPr>
        <w:spacing w:line="360" w:lineRule="auto"/>
        <w:ind w:firstLine="420" w:firstLineChars="200"/>
        <w:rPr>
          <w:rFonts w:hint="eastAsia" w:ascii="宋体" w:hAnsi="宋体" w:cs="宋体"/>
          <w:szCs w:val="21"/>
        </w:rPr>
      </w:pPr>
      <w:r>
        <w:rPr>
          <w:rFonts w:hint="eastAsia" w:ascii="宋体" w:hAnsi="宋体" w:cs="宋体"/>
          <w:szCs w:val="21"/>
        </w:rPr>
        <w:t>12）竞标技术方案不明确，磋商文件未允许但响应文件中存在一个或者一个以上备选（替代）竞标方案；</w:t>
      </w:r>
    </w:p>
    <w:p w14:paraId="59BD61E7">
      <w:pPr>
        <w:spacing w:line="360" w:lineRule="auto"/>
        <w:ind w:firstLine="420" w:firstLineChars="200"/>
        <w:rPr>
          <w:rFonts w:hint="eastAsia" w:ascii="宋体" w:hAnsi="宋体" w:cs="宋体"/>
          <w:szCs w:val="21"/>
        </w:rPr>
      </w:pPr>
      <w:r>
        <w:rPr>
          <w:rFonts w:hint="eastAsia" w:ascii="宋体" w:hAnsi="宋体" w:cs="宋体"/>
          <w:szCs w:val="21"/>
        </w:rPr>
        <w:t>13）响应文件标注的项目名称或者项目编号与竞争性磋商文件标注的项目名称或者项目编号不一致的；</w:t>
      </w:r>
    </w:p>
    <w:p w14:paraId="05894E9D">
      <w:pPr>
        <w:spacing w:line="360" w:lineRule="auto"/>
        <w:ind w:firstLine="420" w:firstLineChars="200"/>
        <w:rPr>
          <w:rFonts w:hint="eastAsia" w:ascii="宋体" w:hAnsi="宋体" w:cs="宋体"/>
          <w:szCs w:val="21"/>
        </w:rPr>
      </w:pPr>
      <w:r>
        <w:rPr>
          <w:rFonts w:hint="eastAsia" w:ascii="宋体" w:hAnsi="宋体" w:cs="宋体"/>
          <w:szCs w:val="21"/>
        </w:rPr>
        <w:t>14）未响应磋商文件实质性要求；</w:t>
      </w:r>
    </w:p>
    <w:p w14:paraId="217EADDC">
      <w:pPr>
        <w:spacing w:line="360" w:lineRule="auto"/>
        <w:ind w:firstLine="420" w:firstLineChars="200"/>
        <w:rPr>
          <w:rFonts w:hint="eastAsia" w:ascii="宋体" w:hAnsi="宋体" w:cs="宋体"/>
          <w:szCs w:val="21"/>
        </w:rPr>
      </w:pPr>
      <w:r>
        <w:rPr>
          <w:rFonts w:hint="eastAsia" w:ascii="宋体" w:hAnsi="宋体" w:cs="宋体"/>
          <w:szCs w:val="21"/>
        </w:rPr>
        <w:t>15）法律、法规和磋商文件规定的其他无效情形。</w:t>
      </w:r>
    </w:p>
    <w:p w14:paraId="19797CCE">
      <w:pPr>
        <w:spacing w:line="360" w:lineRule="auto"/>
        <w:ind w:firstLine="420" w:firstLineChars="200"/>
        <w:rPr>
          <w:rFonts w:hint="eastAsia" w:ascii="宋体" w:hAnsi="宋体" w:cs="宋体"/>
          <w:szCs w:val="21"/>
        </w:rPr>
      </w:pPr>
      <w:r>
        <w:rPr>
          <w:rFonts w:hint="eastAsia" w:ascii="宋体" w:hAnsi="宋体" w:cs="宋体"/>
          <w:szCs w:val="21"/>
        </w:rPr>
        <w:t>（2）报价评审</w:t>
      </w:r>
    </w:p>
    <w:p w14:paraId="02EB4AF8">
      <w:pPr>
        <w:spacing w:line="360" w:lineRule="auto"/>
        <w:ind w:firstLine="420" w:firstLineChars="200"/>
        <w:rPr>
          <w:rFonts w:hint="eastAsia" w:ascii="宋体" w:hAnsi="宋体" w:cs="宋体"/>
          <w:szCs w:val="21"/>
        </w:rPr>
      </w:pPr>
      <w:r>
        <w:rPr>
          <w:rFonts w:hint="eastAsia" w:ascii="宋体" w:hAnsi="宋体" w:cs="宋体"/>
          <w:szCs w:val="21"/>
        </w:rPr>
        <w:t>1) 响应文件未提供“供应商须知前附表” 报价文件中规定的“响应报价表”；</w:t>
      </w:r>
    </w:p>
    <w:p w14:paraId="41988026">
      <w:pPr>
        <w:spacing w:line="360" w:lineRule="auto"/>
        <w:ind w:firstLine="420" w:firstLineChars="200"/>
        <w:rPr>
          <w:rFonts w:hint="eastAsia" w:ascii="宋体" w:hAnsi="宋体" w:cs="宋体"/>
          <w:szCs w:val="21"/>
        </w:rPr>
      </w:pPr>
      <w:r>
        <w:rPr>
          <w:rFonts w:hint="eastAsia" w:ascii="宋体" w:hAnsi="宋体" w:cs="宋体"/>
          <w:szCs w:val="21"/>
        </w:rPr>
        <w:t>2）未采用人民币报价或者未按照磋商文件标明的币种报价；</w:t>
      </w:r>
    </w:p>
    <w:p w14:paraId="7305E716">
      <w:pPr>
        <w:spacing w:line="360" w:lineRule="auto"/>
        <w:ind w:firstLine="420" w:firstLineChars="200"/>
        <w:rPr>
          <w:rFonts w:hint="eastAsia"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573BF00D">
      <w:pPr>
        <w:spacing w:line="360" w:lineRule="auto"/>
        <w:ind w:firstLine="420" w:firstLineChars="200"/>
        <w:rPr>
          <w:rFonts w:hint="eastAsia" w:ascii="宋体" w:hAnsi="宋体" w:cs="宋体"/>
          <w:szCs w:val="21"/>
        </w:rPr>
      </w:pPr>
      <w:r>
        <w:rPr>
          <w:rFonts w:hint="eastAsia" w:ascii="宋体" w:hAnsi="宋体" w:cs="宋体"/>
          <w:szCs w:val="21"/>
        </w:rPr>
        <w:t>4）响应报价（包含首次报价、最后报价）超过所竞标分标规定的采购预算金额或者最高限价的（如本项目公布了最高限价）；</w:t>
      </w:r>
      <w:bookmarkStart w:id="4" w:name="_Hlk42596405"/>
      <w:r>
        <w:rPr>
          <w:rFonts w:hint="eastAsia" w:ascii="宋体" w:hAnsi="宋体" w:cs="宋体"/>
          <w:szCs w:val="21"/>
        </w:rPr>
        <w:t>响应报价（包含首次报价、最后报价）</w:t>
      </w:r>
      <w:bookmarkEnd w:id="4"/>
      <w:bookmarkStart w:id="5" w:name="_Hlk42596276"/>
      <w:r>
        <w:rPr>
          <w:rFonts w:hint="eastAsia" w:ascii="宋体" w:hAnsi="宋体" w:cs="宋体"/>
          <w:szCs w:val="21"/>
        </w:rPr>
        <w:t>超过磋商文件分项采购预算金额或者最高限价的</w:t>
      </w:r>
      <w:bookmarkEnd w:id="5"/>
      <w:r>
        <w:rPr>
          <w:rFonts w:hint="eastAsia" w:ascii="宋体" w:hAnsi="宋体" w:cs="宋体"/>
          <w:szCs w:val="21"/>
        </w:rPr>
        <w:t>（如本项目公布了最高限价）；</w:t>
      </w:r>
    </w:p>
    <w:p w14:paraId="2D2EE217">
      <w:pPr>
        <w:spacing w:line="360" w:lineRule="auto"/>
        <w:ind w:firstLine="420" w:firstLineChars="200"/>
        <w:rPr>
          <w:rFonts w:hint="eastAsia" w:ascii="宋体" w:hAnsi="宋体" w:cs="宋体"/>
          <w:szCs w:val="21"/>
        </w:rPr>
      </w:pPr>
      <w:r>
        <w:rPr>
          <w:rFonts w:hint="eastAsia" w:ascii="宋体" w:hAnsi="宋体" w:cs="宋体"/>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056610C6">
      <w:pPr>
        <w:spacing w:line="360" w:lineRule="auto"/>
        <w:ind w:firstLine="420" w:firstLineChars="200"/>
        <w:rPr>
          <w:rFonts w:hint="eastAsia" w:ascii="宋体" w:hAnsi="宋体" w:cs="宋体"/>
          <w:szCs w:val="21"/>
        </w:rPr>
      </w:pPr>
      <w:r>
        <w:rPr>
          <w:rFonts w:hint="eastAsia" w:ascii="宋体" w:hAnsi="宋体" w:cs="宋体"/>
          <w:szCs w:val="21"/>
        </w:rPr>
        <w:t>6）响应文件响应的标的数量及单位与竞争性磋商采购文件要求实质性不一致的。</w:t>
      </w:r>
    </w:p>
    <w:p w14:paraId="43C19154">
      <w:pPr>
        <w:spacing w:line="360" w:lineRule="auto"/>
        <w:ind w:firstLine="420" w:firstLineChars="200"/>
        <w:rPr>
          <w:rFonts w:hint="eastAsia" w:ascii="宋体" w:hAnsi="宋体" w:cs="宋体"/>
          <w:szCs w:val="21"/>
        </w:rPr>
      </w:pPr>
      <w:r>
        <w:rPr>
          <w:rFonts w:hint="eastAsia" w:ascii="宋体" w:hAnsi="宋体" w:cs="宋体"/>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210998C6">
      <w:pPr>
        <w:spacing w:line="360" w:lineRule="auto"/>
        <w:ind w:firstLine="420" w:firstLineChars="200"/>
        <w:rPr>
          <w:rFonts w:hint="eastAsia" w:ascii="宋体" w:hAnsi="宋体" w:cs="宋体"/>
          <w:szCs w:val="21"/>
        </w:rPr>
      </w:pPr>
      <w:r>
        <w:rPr>
          <w:rFonts w:hint="eastAsia" w:ascii="宋体" w:hAnsi="宋体" w:cs="宋体"/>
          <w:szCs w:val="21"/>
        </w:rPr>
        <w:t>3.7通过符合性审查的合格供应商不足3家的，不得进入磋商环节，应当重新开展采购活动。</w:t>
      </w:r>
    </w:p>
    <w:p w14:paraId="1D63B9C1">
      <w:pPr>
        <w:spacing w:line="360" w:lineRule="auto"/>
        <w:ind w:firstLine="482" w:firstLineChars="200"/>
        <w:rPr>
          <w:rFonts w:hint="eastAsia" w:ascii="宋体" w:hAnsi="宋体" w:cs="宋体"/>
          <w:b/>
          <w:bCs/>
          <w:sz w:val="24"/>
        </w:rPr>
      </w:pPr>
      <w:r>
        <w:rPr>
          <w:rFonts w:hint="eastAsia" w:ascii="宋体" w:hAnsi="宋体" w:cs="宋体"/>
          <w:b/>
          <w:bCs/>
          <w:sz w:val="24"/>
        </w:rPr>
        <w:t>4.磋商程序</w:t>
      </w:r>
    </w:p>
    <w:p w14:paraId="1F421542">
      <w:pPr>
        <w:spacing w:line="360" w:lineRule="auto"/>
        <w:ind w:firstLine="420" w:firstLineChars="200"/>
        <w:rPr>
          <w:rFonts w:hint="eastAsia" w:ascii="宋体" w:hAnsi="宋体" w:cs="宋体"/>
          <w:b/>
          <w:kern w:val="0"/>
          <w:szCs w:val="21"/>
        </w:rPr>
      </w:pPr>
      <w:r>
        <w:rPr>
          <w:rFonts w:hint="eastAsia" w:ascii="宋体" w:hAnsi="宋体" w:cs="宋体"/>
          <w:kern w:val="0"/>
          <w:szCs w:val="21"/>
        </w:rPr>
        <w:t>4.1磋商小组按照“供应商须知前附表”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w:t>
      </w:r>
      <w:r>
        <w:rPr>
          <w:rFonts w:hint="eastAsia" w:ascii="宋体" w:hAnsi="宋体" w:cs="宋体"/>
          <w:kern w:val="0"/>
          <w:szCs w:val="21"/>
        </w:rPr>
        <w:t>磋商</w:t>
      </w:r>
      <w:r>
        <w:rPr>
          <w:rFonts w:hint="eastAsia" w:ascii="宋体" w:hAnsi="宋体" w:cs="宋体"/>
          <w:szCs w:val="21"/>
        </w:rPr>
        <w:t>，并给予所有参加</w:t>
      </w:r>
      <w:r>
        <w:rPr>
          <w:rFonts w:hint="eastAsia" w:ascii="宋体" w:hAnsi="宋体" w:cs="宋体"/>
          <w:kern w:val="0"/>
          <w:szCs w:val="21"/>
        </w:rPr>
        <w:t>磋商</w:t>
      </w:r>
      <w:r>
        <w:rPr>
          <w:rFonts w:hint="eastAsia" w:ascii="宋体" w:hAnsi="宋体" w:cs="宋体"/>
          <w:szCs w:val="21"/>
        </w:rPr>
        <w:t>的供应商平等的</w:t>
      </w:r>
      <w:r>
        <w:rPr>
          <w:rFonts w:hint="eastAsia" w:ascii="宋体" w:hAnsi="宋体" w:cs="宋体"/>
          <w:kern w:val="0"/>
          <w:szCs w:val="21"/>
        </w:rPr>
        <w:t>磋商</w:t>
      </w:r>
      <w:r>
        <w:rPr>
          <w:rFonts w:hint="eastAsia" w:ascii="宋体" w:hAnsi="宋体" w:cs="宋体"/>
          <w:szCs w:val="21"/>
        </w:rPr>
        <w:t>机会。符合</w:t>
      </w:r>
      <w:r>
        <w:rPr>
          <w:rFonts w:hint="eastAsia" w:ascii="宋体" w:hAnsi="宋体" w:cs="宋体"/>
          <w:kern w:val="0"/>
          <w:szCs w:val="21"/>
        </w:rPr>
        <w:t>磋商</w:t>
      </w:r>
      <w:r>
        <w:rPr>
          <w:rFonts w:hint="eastAsia" w:ascii="宋体" w:hAnsi="宋体" w:cs="宋体"/>
          <w:szCs w:val="21"/>
        </w:rPr>
        <w:t>资格的供应商必须在接到</w:t>
      </w:r>
      <w:r>
        <w:rPr>
          <w:rFonts w:hint="eastAsia" w:ascii="宋体" w:hAnsi="宋体" w:cs="宋体"/>
          <w:kern w:val="0"/>
          <w:szCs w:val="21"/>
        </w:rPr>
        <w:t>磋商</w:t>
      </w:r>
      <w:r>
        <w:rPr>
          <w:rFonts w:hint="eastAsia" w:ascii="宋体" w:hAnsi="宋体" w:cs="宋体"/>
          <w:szCs w:val="21"/>
        </w:rPr>
        <w:t>通知后规定时间内参加</w:t>
      </w:r>
      <w:r>
        <w:rPr>
          <w:rFonts w:hint="eastAsia" w:ascii="宋体" w:hAnsi="宋体" w:cs="宋体"/>
          <w:kern w:val="0"/>
          <w:szCs w:val="21"/>
        </w:rPr>
        <w:t>磋商</w:t>
      </w:r>
      <w:r>
        <w:rPr>
          <w:rFonts w:hint="eastAsia" w:ascii="宋体" w:hAnsi="宋体" w:cs="宋体"/>
          <w:szCs w:val="21"/>
        </w:rPr>
        <w:t>，未在规定时间内参加磋商的视同放弃参加磋商权利，</w:t>
      </w:r>
      <w:r>
        <w:rPr>
          <w:rFonts w:hint="eastAsia" w:ascii="宋体" w:hAnsi="宋体" w:cs="宋体"/>
          <w:b/>
          <w:szCs w:val="21"/>
        </w:rPr>
        <w:t>其响应文件按无效响应处理。</w:t>
      </w:r>
    </w:p>
    <w:p w14:paraId="45E985BB">
      <w:pPr>
        <w:spacing w:line="360" w:lineRule="auto"/>
        <w:ind w:firstLine="420" w:firstLineChars="200"/>
        <w:rPr>
          <w:rFonts w:hint="eastAsia" w:ascii="宋体" w:hAnsi="宋体" w:cs="宋体"/>
          <w:szCs w:val="21"/>
        </w:rPr>
      </w:pPr>
      <w:r>
        <w:rPr>
          <w:rFonts w:hint="eastAsia" w:ascii="宋体" w:hAnsi="宋体" w:cs="宋体"/>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0DBADE4">
      <w:pPr>
        <w:spacing w:line="360" w:lineRule="auto"/>
        <w:ind w:firstLine="420" w:firstLineChars="200"/>
        <w:rPr>
          <w:rFonts w:hint="eastAsia" w:ascii="宋体" w:hAnsi="宋体" w:cs="宋体"/>
          <w:szCs w:val="21"/>
        </w:rPr>
      </w:pPr>
      <w:r>
        <w:rPr>
          <w:rFonts w:hint="eastAsia" w:ascii="宋体" w:hAnsi="宋体" w:cs="宋体"/>
          <w:szCs w:val="21"/>
        </w:rPr>
        <w:t>4.3对磋商文件作出的实质性变动是磋商文件的有效组成部分，由磋商小组及时以书面形式同时通知所有参加磋商的供应商。</w:t>
      </w:r>
    </w:p>
    <w:p w14:paraId="281D1F81">
      <w:pPr>
        <w:spacing w:line="360" w:lineRule="auto"/>
        <w:ind w:firstLine="420" w:firstLineChars="200"/>
        <w:rPr>
          <w:rFonts w:hint="eastAsia" w:ascii="宋体" w:hAnsi="宋体" w:cs="宋体"/>
          <w:szCs w:val="21"/>
        </w:rPr>
      </w:pPr>
      <w:r>
        <w:rPr>
          <w:rFonts w:hint="eastAsia" w:ascii="宋体" w:hAnsi="宋体" w:cs="宋体"/>
          <w:szCs w:val="21"/>
        </w:rPr>
        <w:t>4.4供应商必须按照磋商文件的变动情况和磋商小组的要求重新提交响应文件，并由其法定代表人或者授权代表签字或者加盖公章。由委托代理人签字的，</w:t>
      </w:r>
      <w:r>
        <w:rPr>
          <w:rFonts w:hint="eastAsia" w:ascii="宋体" w:hAnsi="宋体" w:cs="宋体"/>
          <w:bCs/>
          <w:szCs w:val="21"/>
        </w:rPr>
        <w:t>若委托代理人不是响应文件中授权的委托代理人时，必须同时出示有效的法定代表人授权委托书原件</w:t>
      </w:r>
      <w:r>
        <w:rPr>
          <w:rFonts w:hint="eastAsia" w:ascii="宋体" w:hAnsi="宋体" w:cs="宋体"/>
          <w:szCs w:val="21"/>
        </w:rPr>
        <w:t>。供应商为自然人的，必须由本人签字并附身份证明。参加磋商的供应商未在规定时间内重新提交响应文件的，视同</w:t>
      </w:r>
      <w:bookmarkStart w:id="6" w:name="_Hlk55814495"/>
      <w:r>
        <w:rPr>
          <w:rFonts w:hint="eastAsia" w:ascii="宋体" w:hAnsi="宋体" w:cs="宋体"/>
          <w:szCs w:val="21"/>
        </w:rPr>
        <w:t>退出磋商</w:t>
      </w:r>
      <w:bookmarkEnd w:id="6"/>
      <w:r>
        <w:rPr>
          <w:rFonts w:hint="eastAsia" w:ascii="宋体" w:hAnsi="宋体" w:cs="宋体"/>
          <w:szCs w:val="21"/>
        </w:rPr>
        <w:t>，其响应文件作无效处理。</w:t>
      </w:r>
    </w:p>
    <w:p w14:paraId="0BEDB81A">
      <w:pPr>
        <w:spacing w:line="360" w:lineRule="auto"/>
        <w:ind w:firstLine="420" w:firstLineChars="200"/>
        <w:rPr>
          <w:rFonts w:hint="eastAsia" w:ascii="宋体" w:hAnsi="宋体" w:cs="宋体"/>
          <w:szCs w:val="21"/>
        </w:rPr>
      </w:pPr>
      <w:r>
        <w:rPr>
          <w:rFonts w:hint="eastAsia" w:ascii="宋体" w:hAnsi="宋体" w:cs="宋体"/>
          <w:szCs w:val="21"/>
        </w:rPr>
        <w:t>4.5磋商中，</w:t>
      </w:r>
      <w:r>
        <w:rPr>
          <w:rFonts w:hint="eastAsia" w:ascii="宋体" w:hAnsi="宋体" w:cs="宋体"/>
          <w:spacing w:val="-6"/>
          <w:szCs w:val="21"/>
        </w:rPr>
        <w:t>磋商的任何一方不得透露与磋商有关的其他供应商的技术资料、价格和其他信息。</w:t>
      </w:r>
    </w:p>
    <w:p w14:paraId="23F80157">
      <w:pPr>
        <w:widowControl/>
        <w:tabs>
          <w:tab w:val="left" w:pos="540"/>
        </w:tabs>
        <w:spacing w:line="360" w:lineRule="auto"/>
        <w:ind w:firstLine="420" w:firstLineChars="200"/>
        <w:jc w:val="left"/>
        <w:rPr>
          <w:rFonts w:hint="eastAsia" w:ascii="宋体" w:hAnsi="宋体" w:cs="宋体"/>
          <w:szCs w:val="21"/>
        </w:rPr>
      </w:pPr>
      <w:r>
        <w:rPr>
          <w:rFonts w:hint="eastAsia" w:ascii="宋体" w:hAnsi="宋体" w:cs="宋体"/>
          <w:szCs w:val="21"/>
        </w:rPr>
        <w:t>4.6磋商小组应对磋商过程和重要磋商内容进行记录，作为评标报告一部分，磋商小组在记录上签字确认。</w:t>
      </w:r>
      <w:r>
        <w:rPr>
          <w:rFonts w:hint="eastAsia" w:ascii="宋体" w:hAnsi="宋体" w:cs="宋体"/>
          <w:b/>
        </w:rPr>
        <w:t>主要内容包括：</w:t>
      </w:r>
    </w:p>
    <w:p w14:paraId="51772493">
      <w:pPr>
        <w:adjustRightInd w:val="0"/>
        <w:spacing w:line="360" w:lineRule="auto"/>
        <w:ind w:firstLine="396" w:firstLineChars="200"/>
        <w:rPr>
          <w:rFonts w:hint="eastAsia" w:ascii="宋体" w:hAnsi="宋体" w:cs="宋体"/>
          <w:spacing w:val="-6"/>
          <w:szCs w:val="21"/>
        </w:rPr>
      </w:pPr>
      <w:r>
        <w:rPr>
          <w:rFonts w:hint="eastAsia" w:ascii="宋体" w:hAnsi="宋体" w:cs="宋体"/>
          <w:spacing w:val="-6"/>
          <w:szCs w:val="21"/>
        </w:rPr>
        <w:t>（1）按照相关规定进行公示的，公示情况说明；</w:t>
      </w:r>
    </w:p>
    <w:p w14:paraId="66678258">
      <w:pPr>
        <w:adjustRightInd w:val="0"/>
        <w:spacing w:line="360" w:lineRule="auto"/>
        <w:ind w:firstLine="396" w:firstLineChars="200"/>
        <w:rPr>
          <w:rFonts w:hint="eastAsia" w:ascii="宋体" w:hAnsi="宋体" w:cs="宋体"/>
          <w:spacing w:val="-6"/>
          <w:szCs w:val="21"/>
        </w:rPr>
      </w:pPr>
      <w:r>
        <w:rPr>
          <w:rFonts w:hint="eastAsia" w:ascii="宋体" w:hAnsi="宋体" w:cs="宋体"/>
          <w:spacing w:val="-6"/>
          <w:szCs w:val="21"/>
        </w:rPr>
        <w:t>（2）磋商日期和地点，磋商人员名单；</w:t>
      </w:r>
    </w:p>
    <w:p w14:paraId="771C19D5">
      <w:pPr>
        <w:adjustRightInd w:val="0"/>
        <w:spacing w:line="360" w:lineRule="auto"/>
        <w:ind w:firstLine="396" w:firstLineChars="200"/>
        <w:rPr>
          <w:rFonts w:hint="eastAsia" w:ascii="宋体" w:hAnsi="宋体" w:cs="宋体"/>
          <w:spacing w:val="-6"/>
          <w:szCs w:val="21"/>
        </w:rPr>
      </w:pPr>
      <w:r>
        <w:rPr>
          <w:rFonts w:hint="eastAsia" w:ascii="宋体" w:hAnsi="宋体" w:cs="宋体"/>
          <w:spacing w:val="-6"/>
          <w:szCs w:val="21"/>
        </w:rPr>
        <w:t>（3）合同主要条款及价格商定情况。</w:t>
      </w:r>
    </w:p>
    <w:p w14:paraId="756BD091">
      <w:pPr>
        <w:widowControl/>
        <w:tabs>
          <w:tab w:val="left" w:pos="540"/>
        </w:tabs>
        <w:spacing w:line="360" w:lineRule="auto"/>
        <w:ind w:firstLine="420" w:firstLineChars="200"/>
        <w:jc w:val="left"/>
        <w:rPr>
          <w:rFonts w:hint="eastAsia" w:ascii="宋体" w:hAnsi="宋体" w:cs="宋体"/>
          <w:szCs w:val="21"/>
        </w:rPr>
      </w:pPr>
      <w:r>
        <w:rPr>
          <w:rFonts w:hint="eastAsia" w:ascii="宋体" w:hAnsi="宋体" w:cs="宋体"/>
          <w:szCs w:val="21"/>
        </w:rPr>
        <w:t>4.7磋商过程中重新提交的响应文件，供应商可以在开启前补充、修改。</w:t>
      </w:r>
    </w:p>
    <w:p w14:paraId="31106CC4">
      <w:pPr>
        <w:spacing w:line="360" w:lineRule="auto"/>
        <w:ind w:firstLine="420" w:firstLineChars="200"/>
        <w:rPr>
          <w:rFonts w:hint="eastAsia" w:ascii="宋体" w:hAnsi="宋体" w:cs="宋体"/>
          <w:szCs w:val="21"/>
        </w:rPr>
      </w:pPr>
      <w:r>
        <w:rPr>
          <w:rFonts w:hint="eastAsia" w:ascii="宋体" w:hAnsi="宋体" w:cs="宋体"/>
          <w:szCs w:val="21"/>
        </w:rPr>
        <w:t>4.8对磋商过程提交的响应文件进行有效性、完整性和响应程度审查，通过审查的合格供应商不足3家的，采购人或者采购代理机构应当重新开展采购活动。</w:t>
      </w:r>
    </w:p>
    <w:p w14:paraId="41C6C755">
      <w:pPr>
        <w:spacing w:line="360" w:lineRule="auto"/>
        <w:ind w:firstLine="482" w:firstLineChars="200"/>
        <w:rPr>
          <w:rFonts w:hint="eastAsia" w:ascii="宋体" w:hAnsi="宋体" w:cs="宋体"/>
          <w:szCs w:val="21"/>
        </w:rPr>
      </w:pPr>
      <w:r>
        <w:rPr>
          <w:rFonts w:hint="eastAsia" w:ascii="宋体" w:hAnsi="宋体" w:cs="宋体"/>
          <w:b/>
          <w:bCs/>
          <w:sz w:val="24"/>
        </w:rPr>
        <w:t>5.最后报价</w:t>
      </w:r>
    </w:p>
    <w:p w14:paraId="35A46E29">
      <w:pPr>
        <w:spacing w:line="360" w:lineRule="auto"/>
        <w:ind w:firstLine="420" w:firstLineChars="200"/>
        <w:rPr>
          <w:rFonts w:hint="eastAsia" w:ascii="宋体" w:hAnsi="宋体" w:cs="宋体"/>
          <w:szCs w:val="21"/>
        </w:rPr>
      </w:pPr>
      <w:r>
        <w:rPr>
          <w:rFonts w:hint="eastAsia" w:ascii="宋体" w:hAnsi="宋体" w:cs="宋体"/>
          <w:szCs w:val="21"/>
        </w:rPr>
        <w:t>5.1磋商文件能够详细列明采购标的的技术、服务要求的，磋商结束后，由磋商小组要求所有继续参加磋商的供应商在规定时间内密封提交最后报价，提交最后报价的供应商不得少于3家，若</w:t>
      </w:r>
      <w:r>
        <w:rPr>
          <w:rFonts w:hint="eastAsia" w:ascii="宋体" w:hAnsi="宋体" w:cs="宋体"/>
        </w:rPr>
        <w:t>符合《政府采购竞争性磋商采购方式管理暂行办法》第三条第四项</w:t>
      </w:r>
      <w:r>
        <w:rPr>
          <w:rFonts w:hint="eastAsia" w:ascii="宋体" w:hAnsi="宋体" w:cs="宋体"/>
          <w:bCs/>
        </w:rPr>
        <w:t>“市场竞争不充分的科研项目，以及需要扶持的科技成果转化项目”情形</w:t>
      </w:r>
      <w:r>
        <w:rPr>
          <w:rFonts w:hint="eastAsia" w:ascii="宋体" w:hAnsi="宋体" w:cs="宋体"/>
        </w:rPr>
        <w:t>的，提交最后报价的服务商可以为2家，</w:t>
      </w:r>
      <w:r>
        <w:rPr>
          <w:rFonts w:hint="eastAsia" w:ascii="宋体" w:hAnsi="宋体" w:cs="宋体"/>
          <w:szCs w:val="21"/>
        </w:rPr>
        <w:t>否则必须重新采购。</w:t>
      </w:r>
    </w:p>
    <w:p w14:paraId="23CC1E45">
      <w:pPr>
        <w:spacing w:line="360" w:lineRule="auto"/>
        <w:ind w:firstLine="420" w:firstLineChars="200"/>
        <w:rPr>
          <w:rFonts w:hint="eastAsia" w:ascii="宋体" w:hAnsi="宋体" w:cs="宋体"/>
          <w:szCs w:val="21"/>
        </w:rPr>
      </w:pPr>
      <w:r>
        <w:rPr>
          <w:rFonts w:hint="eastAsia" w:ascii="宋体" w:hAnsi="宋体" w:cs="宋体"/>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5200390E">
      <w:pPr>
        <w:spacing w:line="360" w:lineRule="auto"/>
        <w:ind w:firstLine="420" w:firstLineChars="200"/>
        <w:rPr>
          <w:rFonts w:hint="eastAsia" w:ascii="宋体" w:hAnsi="宋体" w:cs="宋体"/>
          <w:szCs w:val="21"/>
        </w:rPr>
      </w:pPr>
      <w:r>
        <w:rPr>
          <w:rFonts w:hint="eastAsia" w:ascii="宋体" w:hAnsi="宋体" w:cs="宋体"/>
          <w:szCs w:val="21"/>
        </w:rPr>
        <w:t>5.3 最后报价是供应商响应文件的有效组成部分。</w:t>
      </w:r>
    </w:p>
    <w:p w14:paraId="7DF72206">
      <w:pPr>
        <w:spacing w:line="360" w:lineRule="auto"/>
        <w:ind w:firstLine="420" w:firstLineChars="200"/>
        <w:rPr>
          <w:rFonts w:hint="eastAsia" w:ascii="宋体" w:hAnsi="宋体" w:cs="宋体"/>
          <w:szCs w:val="21"/>
        </w:rPr>
      </w:pPr>
      <w:r>
        <w:rPr>
          <w:rFonts w:hint="eastAsia" w:ascii="宋体" w:hAnsi="宋体" w:cs="宋体"/>
          <w:szCs w:val="21"/>
        </w:rPr>
        <w:t>5.4已经提交响应文件的供应商，在提交最后报价之前，可以根据磋商情况退出磋商，退出磋商的供应商的响应文件按无效响应处理。</w:t>
      </w:r>
    </w:p>
    <w:p w14:paraId="1042DE86">
      <w:pPr>
        <w:spacing w:line="360" w:lineRule="auto"/>
        <w:ind w:firstLine="420" w:firstLineChars="200"/>
        <w:rPr>
          <w:rFonts w:hint="eastAsia" w:ascii="宋体" w:hAnsi="宋体" w:cs="宋体"/>
          <w:b w:val="0"/>
          <w:bCs/>
          <w:szCs w:val="21"/>
        </w:rPr>
      </w:pPr>
      <w:r>
        <w:rPr>
          <w:rFonts w:hint="eastAsia" w:ascii="宋体" w:hAnsi="宋体" w:cs="宋体"/>
          <w:szCs w:val="21"/>
        </w:rPr>
        <w:t>5.5供应商未在规定时间内提交最后报价的</w:t>
      </w:r>
      <w:r>
        <w:rPr>
          <w:rFonts w:hint="eastAsia" w:ascii="宋体" w:hAnsi="宋体" w:cs="宋体"/>
          <w:b w:val="0"/>
          <w:bCs/>
          <w:szCs w:val="21"/>
        </w:rPr>
        <w:t>，视同放弃报价权利退出磋商。</w:t>
      </w:r>
    </w:p>
    <w:p w14:paraId="2FB18B50">
      <w:pPr>
        <w:spacing w:line="360" w:lineRule="auto"/>
        <w:ind w:firstLine="420" w:firstLineChars="200"/>
        <w:rPr>
          <w:rFonts w:hint="eastAsia" w:ascii="宋体" w:hAnsi="宋体" w:cs="宋体"/>
          <w:szCs w:val="21"/>
        </w:rPr>
      </w:pPr>
      <w:r>
        <w:rPr>
          <w:rFonts w:hint="eastAsia" w:ascii="宋体" w:hAnsi="宋体" w:cs="宋体"/>
          <w:szCs w:val="21"/>
        </w:rPr>
        <w:t xml:space="preserve">5.6最终响应文件的报价出现前后不一致的，按照本章第3.4条的规定修正。 </w:t>
      </w:r>
    </w:p>
    <w:p w14:paraId="21D3F295">
      <w:pPr>
        <w:spacing w:line="360" w:lineRule="auto"/>
        <w:ind w:firstLine="420" w:firstLineChars="200"/>
        <w:rPr>
          <w:rFonts w:ascii="宋体" w:hAnsi="宋体" w:cs="宋体"/>
          <w:szCs w:val="21"/>
        </w:rPr>
      </w:pPr>
      <w:r>
        <w:rPr>
          <w:rFonts w:hint="eastAsia" w:ascii="宋体" w:hAnsi="宋体" w:cs="宋体"/>
          <w:szCs w:val="21"/>
        </w:rPr>
        <w:t>5.7修正后的报价出现下列情形的，按无效响应处理：</w:t>
      </w:r>
    </w:p>
    <w:p w14:paraId="4F3028DC">
      <w:pPr>
        <w:spacing w:line="360" w:lineRule="auto"/>
        <w:ind w:firstLine="420" w:firstLineChars="200"/>
        <w:rPr>
          <w:rFonts w:ascii="宋体" w:hAnsi="宋体" w:cs="宋体"/>
          <w:szCs w:val="21"/>
        </w:rPr>
      </w:pPr>
      <w:r>
        <w:rPr>
          <w:rFonts w:hint="eastAsia" w:ascii="宋体" w:hAnsi="宋体" w:cs="宋体"/>
          <w:szCs w:val="21"/>
        </w:rPr>
        <w:t>（1）供应商不确认的；</w:t>
      </w:r>
    </w:p>
    <w:p w14:paraId="2022BC1A">
      <w:pPr>
        <w:spacing w:line="360" w:lineRule="auto"/>
        <w:ind w:firstLine="420" w:firstLineChars="200"/>
        <w:rPr>
          <w:rFonts w:ascii="宋体" w:hAnsi="宋体" w:cs="宋体"/>
          <w:szCs w:val="21"/>
        </w:rPr>
      </w:pPr>
      <w:r>
        <w:rPr>
          <w:rFonts w:hint="eastAsia" w:ascii="宋体" w:hAnsi="宋体" w:cs="宋体"/>
          <w:szCs w:val="21"/>
        </w:rPr>
        <w:t>（2）经供应商确认修正后的竞标报价（包含首次报价、最后报价）超过所竞标分标规定的采购预算金额或者最高限价的（如本项目公布了最高限价）；</w:t>
      </w:r>
    </w:p>
    <w:p w14:paraId="6E94CB06">
      <w:pPr>
        <w:spacing w:line="360" w:lineRule="auto"/>
        <w:ind w:firstLine="420" w:firstLineChars="200"/>
        <w:rPr>
          <w:rFonts w:hint="eastAsia" w:ascii="宋体" w:hAnsi="宋体" w:cs="宋体"/>
          <w:szCs w:val="21"/>
        </w:rPr>
      </w:pPr>
      <w:r>
        <w:rPr>
          <w:rFonts w:hint="eastAsia" w:ascii="宋体" w:hAnsi="宋体" w:cs="宋体"/>
          <w:szCs w:val="21"/>
        </w:rPr>
        <w:t>（3）经供应商确认修正后的竞标报价（包含首次报价、最后报价）超过分项采购预算金额或者最高限价的（如本项目公布了最高限价）。</w:t>
      </w:r>
    </w:p>
    <w:p w14:paraId="29D046D3">
      <w:pPr>
        <w:spacing w:line="360" w:lineRule="auto"/>
        <w:ind w:firstLine="420" w:firstLineChars="200"/>
        <w:rPr>
          <w:rFonts w:hint="eastAsia" w:ascii="宋体" w:hAnsi="宋体" w:cs="宋体"/>
          <w:szCs w:val="21"/>
        </w:rPr>
      </w:pPr>
      <w:r>
        <w:rPr>
          <w:rFonts w:hint="eastAsia" w:ascii="宋体" w:hAnsi="宋体" w:cs="宋体"/>
          <w:szCs w:val="21"/>
        </w:rPr>
        <w:t>5.8经供应商确认修正后的最后报价作为评审及签订合同的依据。</w:t>
      </w:r>
    </w:p>
    <w:p w14:paraId="0C23E356">
      <w:pPr>
        <w:spacing w:line="360" w:lineRule="auto"/>
        <w:ind w:firstLine="420" w:firstLineChars="200"/>
        <w:rPr>
          <w:rFonts w:hint="eastAsia" w:ascii="宋体" w:hAnsi="宋体" w:cs="宋体"/>
          <w:szCs w:val="21"/>
        </w:rPr>
      </w:pPr>
      <w:r>
        <w:rPr>
          <w:rFonts w:hint="eastAsia" w:ascii="宋体" w:hAnsi="宋体" w:cs="宋体"/>
          <w:szCs w:val="21"/>
        </w:rPr>
        <w:t>5.9供应商出现最后报价按无效响应处理或者响应文件按无效处理时</w:t>
      </w:r>
      <w:r>
        <w:rPr>
          <w:rFonts w:hint="eastAsia" w:ascii="宋体" w:hAnsi="宋体" w:cs="宋体"/>
          <w:sz w:val="22"/>
          <w:szCs w:val="22"/>
        </w:rPr>
        <w:t>，磋商小组应当告知有关供应商</w:t>
      </w:r>
      <w:r>
        <w:rPr>
          <w:rFonts w:hint="eastAsia" w:ascii="宋体" w:hAnsi="宋体" w:cs="宋体"/>
          <w:szCs w:val="21"/>
        </w:rPr>
        <w:t>。</w:t>
      </w:r>
    </w:p>
    <w:p w14:paraId="7E2BB279">
      <w:pPr>
        <w:spacing w:line="360" w:lineRule="auto"/>
        <w:ind w:firstLine="420" w:firstLineChars="200"/>
        <w:rPr>
          <w:rFonts w:hint="eastAsia" w:ascii="宋体" w:hAnsi="宋体" w:cs="宋体"/>
          <w:szCs w:val="21"/>
        </w:rPr>
      </w:pPr>
      <w:r>
        <w:rPr>
          <w:rFonts w:hint="eastAsia" w:ascii="宋体" w:hAnsi="宋体" w:cs="宋体"/>
          <w:szCs w:val="21"/>
        </w:rPr>
        <w:t>5.10最后报价结束后，磋商小组不得再与供应商进行任何形式的商谈。</w:t>
      </w:r>
    </w:p>
    <w:p w14:paraId="6532DAFA">
      <w:pPr>
        <w:spacing w:line="360" w:lineRule="auto"/>
        <w:ind w:firstLine="482" w:firstLineChars="200"/>
        <w:rPr>
          <w:rFonts w:hint="eastAsia" w:ascii="宋体" w:hAnsi="宋体" w:cs="宋体"/>
          <w:b/>
          <w:bCs/>
          <w:sz w:val="24"/>
        </w:rPr>
      </w:pPr>
      <w:r>
        <w:rPr>
          <w:rFonts w:hint="eastAsia" w:ascii="宋体" w:hAnsi="宋体" w:cs="宋体"/>
          <w:b/>
          <w:bCs/>
          <w:sz w:val="24"/>
        </w:rPr>
        <w:t>6.最后报价政府采购政策性扣除</w:t>
      </w:r>
    </w:p>
    <w:p w14:paraId="1588B57E">
      <w:pPr>
        <w:spacing w:line="360" w:lineRule="auto"/>
        <w:ind w:firstLine="420" w:firstLineChars="200"/>
        <w:rPr>
          <w:rFonts w:hint="eastAsia" w:ascii="宋体" w:hAnsi="宋体" w:cs="宋体"/>
          <w:szCs w:val="21"/>
        </w:rPr>
      </w:pPr>
      <w:r>
        <w:rPr>
          <w:rFonts w:hint="eastAsia" w:ascii="宋体" w:hAnsi="宋体" w:cs="宋体"/>
          <w:szCs w:val="21"/>
        </w:rPr>
        <w:t>6.1评审价为供应商的最后报价进行政策性扣除后的价格，评审价只是作为评审时使用。最终成交供应商的成交金额等于最后报价（如有修正，以确认修正后的最后报价为准）。</w:t>
      </w:r>
    </w:p>
    <w:p w14:paraId="2C8C8295">
      <w:pPr>
        <w:spacing w:line="360" w:lineRule="auto"/>
        <w:ind w:firstLine="420" w:firstLineChars="200"/>
        <w:rPr>
          <w:rFonts w:hint="eastAsia" w:ascii="宋体" w:hAnsi="宋体" w:cs="宋体"/>
        </w:rPr>
      </w:pPr>
      <w:r>
        <w:rPr>
          <w:rFonts w:hint="eastAsia" w:ascii="宋体" w:hAnsi="宋体" w:cs="宋体"/>
          <w:szCs w:val="21"/>
        </w:rPr>
        <w:t>6.2</w:t>
      </w:r>
      <w:r>
        <w:rPr>
          <w:rFonts w:hint="eastAsia" w:ascii="宋体" w:hAnsi="宋体" w:cs="宋体"/>
        </w:rPr>
        <w:t>政策性扣除计算方法。</w:t>
      </w:r>
    </w:p>
    <w:p w14:paraId="5824FA0E">
      <w:pPr>
        <w:spacing w:line="360" w:lineRule="auto"/>
        <w:ind w:firstLine="420" w:firstLineChars="200"/>
        <w:rPr>
          <w:rFonts w:hint="eastAsia" w:ascii="宋体" w:hAnsi="宋体" w:cs="宋体"/>
        </w:rPr>
      </w:pPr>
      <w:r>
        <w:rPr>
          <w:rFonts w:hint="eastAsia" w:ascii="宋体" w:hAnsi="宋体" w:cs="宋体"/>
          <w:szCs w:val="21"/>
        </w:rPr>
        <w:t>根据《政府采购促进中小企业发展管理办法》（财库〔2020〕46号）的规定，供应商在其响应文件中提供《中小企业声明函》，</w:t>
      </w:r>
      <w:r>
        <w:rPr>
          <w:rFonts w:hint="eastAsia" w:ascii="宋体" w:hAnsi="宋体" w:cs="宋体"/>
          <w:bCs/>
          <w:szCs w:val="21"/>
        </w:rPr>
        <w:t>且其竞标全部服务均由小微企业提供的</w:t>
      </w:r>
      <w:r>
        <w:rPr>
          <w:rFonts w:hint="eastAsia" w:ascii="宋体" w:hAnsi="宋体" w:cs="宋体"/>
          <w:szCs w:val="21"/>
        </w:rPr>
        <w:t>，</w:t>
      </w:r>
      <w:r>
        <w:rPr>
          <w:rFonts w:hint="eastAsia" w:ascii="宋体" w:hAnsi="宋体" w:cs="宋体"/>
          <w:bCs/>
          <w:szCs w:val="21"/>
        </w:rPr>
        <w:t>对供应商的竞标报价给予20%的扣除，扣除后的价格为评审价，即评审价=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szCs w:val="21"/>
          <w:u w:val="single"/>
        </w:rPr>
        <w:t>3</w:t>
      </w:r>
      <w:r>
        <w:rPr>
          <w:rFonts w:hint="eastAsia" w:ascii="宋体" w:hAnsi="宋体" w:cs="宋体"/>
          <w:bCs/>
          <w:szCs w:val="21"/>
        </w:rPr>
        <w:t>（范围为2%-3%） 的扣除，用扣除后的价格参加评审，扣除后的价格为评审价，即评审价=竞标报价×（1-</w:t>
      </w:r>
      <w:r>
        <w:rPr>
          <w:rFonts w:hint="eastAsia" w:ascii="宋体" w:hAnsi="宋体" w:cs="宋体"/>
          <w:bCs/>
          <w:szCs w:val="21"/>
          <w:u w:val="single"/>
        </w:rPr>
        <w:t>3</w:t>
      </w:r>
      <w:r>
        <w:rPr>
          <w:rFonts w:hint="eastAsia" w:ascii="宋体" w:hAnsi="宋体" w:cs="宋体"/>
          <w:bCs/>
          <w:szCs w:val="21"/>
        </w:rPr>
        <w:t>%）。</w:t>
      </w:r>
    </w:p>
    <w:p w14:paraId="5E533CAA">
      <w:pPr>
        <w:spacing w:line="360" w:lineRule="auto"/>
        <w:ind w:firstLine="420" w:firstLineChars="200"/>
        <w:rPr>
          <w:rFonts w:hint="eastAsia" w:ascii="宋体" w:hAnsi="宋体" w:cs="宋体"/>
          <w:szCs w:val="21"/>
        </w:rPr>
      </w:pPr>
      <w:r>
        <w:rPr>
          <w:rFonts w:hint="eastAsia" w:ascii="宋体" w:hAnsi="宋体" w:cs="宋体"/>
          <w:szCs w:val="21"/>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6F04108B">
      <w:pPr>
        <w:spacing w:line="360" w:lineRule="auto"/>
        <w:ind w:firstLine="420" w:firstLineChars="200"/>
        <w:rPr>
          <w:rFonts w:hint="eastAsia" w:ascii="宋体" w:hAnsi="宋体" w:cs="宋体"/>
        </w:rPr>
      </w:pPr>
      <w:r>
        <w:rPr>
          <w:rFonts w:hint="eastAsia" w:ascii="宋体" w:hAnsi="宋体" w:cs="宋体"/>
          <w:szCs w:val="21"/>
        </w:rPr>
        <w:t>6.4按照《关于促进残疾人就业政府采购政策的通知》（财库〔2017〕141号）的规定，残疾人福利性单位视同小型、微型企业，享受预留份额、评审中价格扣除等</w:t>
      </w:r>
      <w:r>
        <w:rPr>
          <w:rFonts w:hint="eastAsia" w:ascii="宋体" w:hAnsi="宋体" w:cs="宋体"/>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12BB9B8">
      <w:pPr>
        <w:spacing w:line="360" w:lineRule="auto"/>
        <w:ind w:firstLine="420" w:firstLineChars="200"/>
        <w:rPr>
          <w:rFonts w:hint="eastAsia" w:ascii="宋体" w:hAnsi="宋体" w:cs="宋体"/>
        </w:rPr>
      </w:pPr>
      <w:r>
        <w:rPr>
          <w:rFonts w:hint="eastAsia" w:ascii="宋体" w:hAnsi="宋体" w:cs="宋体"/>
        </w:rPr>
        <w:t>6.5除上述情况外，评审价＝最后报价。</w:t>
      </w:r>
    </w:p>
    <w:p w14:paraId="5E8FCD2C">
      <w:pPr>
        <w:keepNext/>
        <w:keepLines/>
        <w:spacing w:line="360" w:lineRule="auto"/>
        <w:ind w:firstLine="640" w:firstLineChars="200"/>
        <w:jc w:val="center"/>
        <w:outlineLvl w:val="1"/>
        <w:rPr>
          <w:rFonts w:hint="eastAsia" w:ascii="宋体" w:hAnsi="宋体" w:cs="宋体"/>
          <w:bCs/>
          <w:sz w:val="32"/>
          <w:szCs w:val="32"/>
        </w:rPr>
      </w:pPr>
      <w:bookmarkStart w:id="7" w:name="_Toc13422"/>
      <w:r>
        <w:rPr>
          <w:rFonts w:ascii="宋体" w:hAnsi="宋体" w:cs="宋体"/>
          <w:bCs/>
          <w:sz w:val="32"/>
          <w:szCs w:val="32"/>
        </w:rPr>
        <w:br w:type="page"/>
      </w:r>
      <w:r>
        <w:rPr>
          <w:rFonts w:hint="eastAsia" w:ascii="宋体" w:hAnsi="宋体" w:cs="宋体"/>
          <w:bCs/>
          <w:sz w:val="32"/>
          <w:szCs w:val="32"/>
        </w:rPr>
        <w:t>第二节 评分标准</w:t>
      </w:r>
      <w:bookmarkEnd w:id="7"/>
    </w:p>
    <w:p w14:paraId="4C0F903B">
      <w:pPr>
        <w:ind w:firstLine="602" w:firstLineChars="200"/>
        <w:jc w:val="center"/>
        <w:rPr>
          <w:rFonts w:ascii="宋体" w:hAnsi="宋体" w:cs="宋体"/>
          <w:b/>
          <w:sz w:val="30"/>
          <w:szCs w:val="30"/>
        </w:rPr>
      </w:pPr>
      <w:r>
        <w:rPr>
          <w:rFonts w:ascii="宋体" w:hAnsi="宋体" w:cs="宋体"/>
          <w:b/>
          <w:sz w:val="30"/>
          <w:szCs w:val="30"/>
        </w:rPr>
        <w:t>综合评分法</w:t>
      </w:r>
    </w:p>
    <w:p w14:paraId="363CAE58">
      <w:pPr>
        <w:spacing w:line="360" w:lineRule="auto"/>
        <w:ind w:firstLine="420"/>
        <w:rPr>
          <w:rFonts w:hint="eastAsia" w:ascii="宋体" w:hAnsi="宋体" w:cs="宋体"/>
          <w:bCs/>
          <w:szCs w:val="21"/>
        </w:rPr>
      </w:pPr>
      <w:r>
        <w:rPr>
          <w:rFonts w:ascii="宋体" w:hAnsi="宋体" w:cs="宋体"/>
          <w:bCs/>
          <w:szCs w:val="21"/>
        </w:rPr>
        <w:t>注：计分方法按四舍五入取至百分位。</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064"/>
        <w:gridCol w:w="6489"/>
        <w:gridCol w:w="897"/>
        <w:gridCol w:w="19"/>
      </w:tblGrid>
      <w:tr w14:paraId="6338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749" w:hRule="atLeast"/>
          <w:jc w:val="center"/>
        </w:trPr>
        <w:tc>
          <w:tcPr>
            <w:tcW w:w="2147" w:type="dxa"/>
            <w:gridSpan w:val="2"/>
            <w:noWrap w:val="0"/>
            <w:vAlign w:val="center"/>
          </w:tcPr>
          <w:p w14:paraId="58D206F3">
            <w:pPr>
              <w:adjustRightInd w:val="0"/>
              <w:spacing w:line="410" w:lineRule="exact"/>
              <w:jc w:val="center"/>
              <w:textAlignment w:val="baseline"/>
              <w:rPr>
                <w:rFonts w:hint="eastAsia" w:ascii="宋体" w:hAnsi="宋体" w:cs="宋体"/>
                <w:b/>
                <w:sz w:val="28"/>
                <w:szCs w:val="28"/>
              </w:rPr>
            </w:pPr>
            <w:r>
              <w:rPr>
                <w:rFonts w:hint="eastAsia" w:ascii="宋体" w:hAnsi="宋体" w:cs="宋体"/>
                <w:b/>
                <w:sz w:val="28"/>
                <w:szCs w:val="28"/>
              </w:rPr>
              <w:t>序号</w:t>
            </w:r>
          </w:p>
        </w:tc>
        <w:tc>
          <w:tcPr>
            <w:tcW w:w="1064" w:type="dxa"/>
            <w:noWrap w:val="0"/>
            <w:vAlign w:val="center"/>
          </w:tcPr>
          <w:p w14:paraId="4D66EC80">
            <w:pPr>
              <w:adjustRightInd w:val="0"/>
              <w:spacing w:line="410" w:lineRule="exact"/>
              <w:jc w:val="center"/>
              <w:textAlignment w:val="baseline"/>
              <w:rPr>
                <w:rFonts w:hint="eastAsia" w:ascii="宋体" w:hAnsi="宋体" w:cs="宋体"/>
                <w:b/>
                <w:sz w:val="28"/>
                <w:szCs w:val="28"/>
              </w:rPr>
            </w:pPr>
            <w:r>
              <w:rPr>
                <w:rFonts w:hint="eastAsia" w:ascii="宋体" w:hAnsi="宋体" w:cs="宋体"/>
                <w:b/>
                <w:sz w:val="28"/>
                <w:szCs w:val="28"/>
              </w:rPr>
              <w:t>评分因素</w:t>
            </w:r>
          </w:p>
        </w:tc>
        <w:tc>
          <w:tcPr>
            <w:tcW w:w="6489" w:type="dxa"/>
            <w:noWrap w:val="0"/>
            <w:vAlign w:val="center"/>
          </w:tcPr>
          <w:p w14:paraId="78090765">
            <w:pPr>
              <w:adjustRightInd w:val="0"/>
              <w:spacing w:line="410" w:lineRule="exact"/>
              <w:jc w:val="center"/>
              <w:textAlignment w:val="baseline"/>
              <w:rPr>
                <w:rFonts w:hint="eastAsia" w:ascii="宋体" w:hAnsi="宋体" w:cs="宋体"/>
                <w:b/>
                <w:sz w:val="28"/>
                <w:szCs w:val="28"/>
              </w:rPr>
            </w:pPr>
            <w:r>
              <w:rPr>
                <w:rFonts w:hint="eastAsia" w:ascii="宋体" w:hAnsi="宋体" w:cs="宋体"/>
                <w:b/>
                <w:sz w:val="28"/>
                <w:szCs w:val="28"/>
              </w:rPr>
              <w:t>评分标准</w:t>
            </w:r>
          </w:p>
        </w:tc>
        <w:tc>
          <w:tcPr>
            <w:tcW w:w="897" w:type="dxa"/>
            <w:noWrap w:val="0"/>
            <w:vAlign w:val="top"/>
          </w:tcPr>
          <w:p w14:paraId="3874B338">
            <w:pPr>
              <w:adjustRightInd w:val="0"/>
              <w:spacing w:line="410" w:lineRule="exact"/>
              <w:jc w:val="center"/>
              <w:textAlignment w:val="baseline"/>
              <w:rPr>
                <w:rFonts w:hint="eastAsia" w:ascii="宋体" w:hAnsi="宋体" w:cs="宋体"/>
                <w:b/>
                <w:sz w:val="28"/>
                <w:szCs w:val="28"/>
              </w:rPr>
            </w:pPr>
            <w:r>
              <w:rPr>
                <w:rFonts w:hint="eastAsia" w:ascii="宋体" w:hAnsi="宋体" w:cs="宋体"/>
                <w:b/>
                <w:sz w:val="28"/>
                <w:szCs w:val="28"/>
              </w:rPr>
              <w:t>评分依据</w:t>
            </w:r>
          </w:p>
        </w:tc>
      </w:tr>
      <w:tr w14:paraId="5309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2" w:type="dxa"/>
            <w:noWrap w:val="0"/>
            <w:vAlign w:val="center"/>
          </w:tcPr>
          <w:p w14:paraId="521A8C66">
            <w:pPr>
              <w:adjustRightInd w:val="0"/>
              <w:spacing w:line="360" w:lineRule="exact"/>
              <w:jc w:val="center"/>
              <w:textAlignment w:val="baseline"/>
              <w:rPr>
                <w:rFonts w:hint="eastAsia" w:ascii="宋体" w:hAnsi="宋体" w:cs="宋体"/>
                <w:szCs w:val="21"/>
              </w:rPr>
            </w:pPr>
            <w:r>
              <w:rPr>
                <w:rFonts w:hint="eastAsia" w:ascii="宋体" w:hAnsi="宋体" w:cs="宋体"/>
                <w:szCs w:val="21"/>
              </w:rPr>
              <w:t>1</w:t>
            </w:r>
          </w:p>
        </w:tc>
        <w:tc>
          <w:tcPr>
            <w:tcW w:w="1585" w:type="dxa"/>
            <w:noWrap w:val="0"/>
            <w:vAlign w:val="center"/>
          </w:tcPr>
          <w:p w14:paraId="1B2315F0">
            <w:pPr>
              <w:adjustRightInd w:val="0"/>
              <w:spacing w:line="360" w:lineRule="exact"/>
              <w:jc w:val="center"/>
              <w:textAlignment w:val="baseline"/>
              <w:rPr>
                <w:rFonts w:hint="eastAsia" w:ascii="宋体" w:hAnsi="宋体" w:cs="宋体"/>
                <w:szCs w:val="21"/>
              </w:rPr>
            </w:pPr>
            <w:r>
              <w:rPr>
                <w:rFonts w:hint="eastAsia" w:ascii="宋体" w:hAnsi="宋体" w:cs="宋体"/>
                <w:szCs w:val="21"/>
              </w:rPr>
              <w:t>价格分</w:t>
            </w:r>
          </w:p>
          <w:p w14:paraId="5756A6A0">
            <w:pPr>
              <w:adjustRightInd w:val="0"/>
              <w:spacing w:line="360" w:lineRule="exact"/>
              <w:jc w:val="center"/>
              <w:textAlignment w:val="baseline"/>
              <w:rPr>
                <w:rFonts w:hint="eastAsia" w:ascii="宋体" w:hAnsi="宋体" w:cs="宋体"/>
                <w:szCs w:val="21"/>
              </w:rPr>
            </w:pPr>
            <w:r>
              <w:rPr>
                <w:rFonts w:hint="eastAsia" w:ascii="宋体" w:hAnsi="宋体" w:cs="宋体"/>
                <w:szCs w:val="21"/>
              </w:rPr>
              <w:t>（满分</w:t>
            </w:r>
            <w:r>
              <w:rPr>
                <w:rFonts w:ascii="宋体" w:hAnsi="宋体" w:cs="宋体"/>
                <w:szCs w:val="21"/>
              </w:rPr>
              <w:t>3</w:t>
            </w:r>
            <w:r>
              <w:rPr>
                <w:rFonts w:hint="eastAsia" w:ascii="宋体" w:hAnsi="宋体" w:cs="宋体"/>
                <w:szCs w:val="21"/>
              </w:rPr>
              <w:t>0分）</w:t>
            </w:r>
          </w:p>
          <w:p w14:paraId="66FCFB42">
            <w:pPr>
              <w:adjustRightInd w:val="0"/>
              <w:spacing w:line="360" w:lineRule="exact"/>
              <w:jc w:val="left"/>
              <w:textAlignment w:val="baseline"/>
              <w:rPr>
                <w:rFonts w:hint="eastAsia" w:ascii="宋体" w:hAnsi="宋体" w:cs="宋体"/>
                <w:szCs w:val="21"/>
              </w:rPr>
            </w:pPr>
          </w:p>
        </w:tc>
        <w:tc>
          <w:tcPr>
            <w:tcW w:w="1064" w:type="dxa"/>
            <w:noWrap w:val="0"/>
            <w:vAlign w:val="center"/>
          </w:tcPr>
          <w:p w14:paraId="3627BD9E">
            <w:pPr>
              <w:adjustRightInd w:val="0"/>
              <w:spacing w:line="360" w:lineRule="exact"/>
              <w:jc w:val="center"/>
              <w:textAlignment w:val="baseline"/>
              <w:rPr>
                <w:rFonts w:hint="eastAsia" w:ascii="宋体" w:hAnsi="宋体" w:cs="宋体"/>
                <w:b/>
                <w:szCs w:val="21"/>
              </w:rPr>
            </w:pPr>
            <w:r>
              <w:rPr>
                <w:rFonts w:hint="eastAsia" w:ascii="宋体" w:hAnsi="宋体" w:cs="宋体"/>
                <w:b/>
              </w:rPr>
              <w:t>服务商</w:t>
            </w:r>
            <w:r>
              <w:rPr>
                <w:rFonts w:hint="eastAsia" w:ascii="宋体" w:hAnsi="宋体" w:cs="宋体"/>
                <w:b/>
                <w:bCs/>
              </w:rPr>
              <w:t>价格分</w:t>
            </w:r>
          </w:p>
        </w:tc>
        <w:tc>
          <w:tcPr>
            <w:tcW w:w="6489" w:type="dxa"/>
            <w:noWrap w:val="0"/>
            <w:vAlign w:val="center"/>
          </w:tcPr>
          <w:p w14:paraId="08E0EE84">
            <w:pPr>
              <w:snapToGrid w:val="0"/>
              <w:spacing w:line="360" w:lineRule="auto"/>
              <w:ind w:firstLine="233" w:firstLineChars="111"/>
              <w:rPr>
                <w:rFonts w:hint="eastAsia" w:ascii="宋体" w:hAnsi="宋体" w:eastAsia="宋体" w:cs="宋体"/>
                <w:bCs/>
                <w:szCs w:val="21"/>
                <w:lang w:eastAsia="zh-CN"/>
              </w:rPr>
            </w:pPr>
            <w:r>
              <w:rPr>
                <w:rFonts w:hint="eastAsia" w:ascii="宋体" w:hAnsi="宋体" w:cs="宋体"/>
                <w:bCs/>
                <w:szCs w:val="21"/>
              </w:rPr>
              <w:t>（1）评标报价为服务商的最终报价进行政策性扣除后的价格，评标报价只是作为评标时使用。</w:t>
            </w:r>
            <w:r>
              <w:rPr>
                <w:rFonts w:hint="eastAsia" w:ascii="宋体" w:hAnsi="宋体" w:cs="宋体"/>
                <w:bCs/>
                <w:szCs w:val="21"/>
                <w:lang w:eastAsia="zh-CN"/>
              </w:rPr>
              <w:t>租车投标报价占比</w:t>
            </w:r>
            <w:r>
              <w:rPr>
                <w:rFonts w:hint="eastAsia" w:ascii="宋体" w:hAnsi="宋体" w:cs="宋体"/>
                <w:bCs/>
                <w:szCs w:val="21"/>
                <w:lang w:val="en-US" w:eastAsia="zh-CN"/>
              </w:rPr>
              <w:t>85%，租司机</w:t>
            </w:r>
            <w:r>
              <w:rPr>
                <w:rFonts w:hint="eastAsia" w:ascii="宋体" w:hAnsi="宋体" w:cs="宋体"/>
                <w:bCs/>
                <w:szCs w:val="21"/>
                <w:lang w:eastAsia="zh-CN"/>
              </w:rPr>
              <w:t>投标报价</w:t>
            </w:r>
            <w:r>
              <w:rPr>
                <w:rFonts w:hint="eastAsia" w:ascii="宋体" w:hAnsi="宋体" w:cs="宋体"/>
                <w:bCs/>
                <w:szCs w:val="21"/>
                <w:lang w:val="en-US" w:eastAsia="zh-CN"/>
              </w:rPr>
              <w:t>占比15%，</w:t>
            </w:r>
            <w:r>
              <w:rPr>
                <w:rFonts w:hint="eastAsia" w:ascii="宋体" w:hAnsi="宋体" w:cs="宋体"/>
                <w:bCs/>
                <w:szCs w:val="21"/>
              </w:rPr>
              <w:t>最终成交人的成交金额等于磋商报价</w:t>
            </w:r>
          </w:p>
          <w:p w14:paraId="57968A34">
            <w:pPr>
              <w:snapToGrid w:val="0"/>
              <w:spacing w:line="360" w:lineRule="auto"/>
              <w:ind w:firstLine="233" w:firstLineChars="111"/>
              <w:rPr>
                <w:rFonts w:ascii="宋体" w:hAnsi="宋体" w:cs="宋体"/>
                <w:bCs/>
                <w:szCs w:val="21"/>
              </w:rPr>
            </w:pPr>
            <w:r>
              <w:rPr>
                <w:rFonts w:ascii="宋体" w:hAnsi="宋体" w:cs="宋体"/>
                <w:bCs/>
                <w:szCs w:val="21"/>
              </w:rPr>
              <w:t>（2）按照《政府采购促进中小企业发展管理办法》（财库〔2020〕46号）的规定，服务商在其投标文件中提供《中小企业声明函》，且其服务为小型和微型企业承接的，对其最后报价给予20%的扣除。</w:t>
            </w:r>
          </w:p>
          <w:p w14:paraId="29C3F722">
            <w:pPr>
              <w:snapToGrid w:val="0"/>
              <w:spacing w:line="360" w:lineRule="auto"/>
              <w:ind w:firstLine="233" w:firstLineChars="111"/>
              <w:rPr>
                <w:rFonts w:hint="eastAsia" w:ascii="宋体" w:hAnsi="宋体" w:cs="宋体"/>
                <w:bCs/>
                <w:szCs w:val="21"/>
              </w:rPr>
            </w:pPr>
            <w:r>
              <w:rPr>
                <w:rFonts w:hint="eastAsia" w:ascii="宋体" w:hAnsi="宋体" w:cs="宋体"/>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szCs w:val="21"/>
              </w:rPr>
              <w:t>监狱企业参加政府采购活动时，应当提供由省级以上监狱管理局、戒毒管理局(含新疆生产建设兵团)出具的属于监狱企业的证明文件。</w:t>
            </w:r>
            <w:r>
              <w:rPr>
                <w:rFonts w:hint="eastAsia" w:ascii="宋体" w:hAnsi="宋体" w:cs="宋体"/>
                <w:bCs/>
                <w:szCs w:val="21"/>
              </w:rPr>
              <w:t>不重复享受政策。</w:t>
            </w:r>
          </w:p>
          <w:p w14:paraId="1D2DD291">
            <w:pPr>
              <w:snapToGrid w:val="0"/>
              <w:spacing w:line="360" w:lineRule="auto"/>
              <w:ind w:firstLine="233" w:firstLineChars="111"/>
              <w:rPr>
                <w:rFonts w:hint="eastAsia" w:ascii="宋体" w:hAnsi="宋体" w:cs="宋体"/>
                <w:bCs/>
                <w:szCs w:val="21"/>
              </w:rPr>
            </w:pPr>
            <w:r>
              <w:rPr>
                <w:rFonts w:hint="eastAsia" w:ascii="宋体" w:hAnsi="宋体" w:cs="宋体"/>
                <w:szCs w:val="21"/>
              </w:rPr>
              <w:t>（4）按照</w:t>
            </w:r>
            <w:r>
              <w:rPr>
                <w:rFonts w:hint="eastAsia" w:ascii="宋体" w:hAnsi="宋体" w:cs="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s="宋体"/>
                <w:szCs w:val="21"/>
              </w:rPr>
              <w:t>残疾人福利性单位参加政府采购活动时，应当提供该通知规定的《残疾人福利性单位声明函》，并对声明的真实性负责。</w:t>
            </w:r>
            <w:r>
              <w:rPr>
                <w:rFonts w:hint="eastAsia" w:ascii="宋体" w:hAnsi="宋体" w:cs="宋体"/>
                <w:bCs/>
                <w:szCs w:val="21"/>
              </w:rPr>
              <w:t>残疾人福利性单位属于小型、微型企业的，不重复享受政策。</w:t>
            </w:r>
          </w:p>
          <w:p w14:paraId="436CA939">
            <w:pPr>
              <w:snapToGrid w:val="0"/>
              <w:spacing w:line="360" w:lineRule="auto"/>
              <w:ind w:firstLine="233" w:firstLineChars="111"/>
              <w:rPr>
                <w:rFonts w:hint="eastAsia" w:ascii="宋体" w:hAnsi="宋体" w:cs="宋体"/>
                <w:bCs/>
                <w:szCs w:val="21"/>
              </w:rPr>
            </w:pPr>
            <w:r>
              <w:rPr>
                <w:rFonts w:hint="eastAsia" w:ascii="宋体" w:hAnsi="宋体" w:cs="宋体"/>
                <w:bCs/>
                <w:szCs w:val="21"/>
              </w:rPr>
              <w:t>（5）政策性扣除计算方法。</w:t>
            </w:r>
          </w:p>
          <w:p w14:paraId="19C74DE5">
            <w:pPr>
              <w:snapToGrid w:val="0"/>
              <w:spacing w:line="360" w:lineRule="auto"/>
              <w:ind w:firstLine="443" w:firstLineChars="211"/>
              <w:rPr>
                <w:rFonts w:hint="eastAsia" w:ascii="宋体" w:hAnsi="宋体" w:cs="宋体"/>
                <w:szCs w:val="21"/>
              </w:rPr>
            </w:pPr>
            <w:r>
              <w:rPr>
                <w:rFonts w:hint="eastAsia" w:ascii="宋体" w:hAnsi="宋体" w:cs="宋体"/>
                <w:bCs/>
                <w:szCs w:val="21"/>
              </w:rPr>
              <w:t>在采购项目中，由小微企业承接；对符合上述要求的服务商的投标报价给予20%的扣除，扣除后的价格为评标报价，即评审价=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szCs w:val="21"/>
                <w:u w:val="single"/>
              </w:rPr>
              <w:t xml:space="preserve"> / </w:t>
            </w:r>
            <w:r>
              <w:rPr>
                <w:rFonts w:hint="eastAsia" w:ascii="宋体" w:hAnsi="宋体" w:cs="宋体"/>
                <w:bCs/>
                <w:szCs w:val="21"/>
              </w:rPr>
              <w:t>（范围为2%-3%） 的扣除，用扣除后的价格参加评审，扣除后的价格为评审价，即评审价=竞标报价×（1-</w:t>
            </w:r>
            <w:r>
              <w:rPr>
                <w:rFonts w:hint="eastAsia" w:ascii="宋体" w:hAnsi="宋体" w:cs="宋体"/>
                <w:bCs/>
                <w:szCs w:val="21"/>
                <w:u w:val="single"/>
              </w:rPr>
              <w:t xml:space="preserve"> / </w:t>
            </w:r>
            <w:r>
              <w:rPr>
                <w:rFonts w:hint="eastAsia" w:ascii="宋体" w:hAnsi="宋体" w:cs="宋体"/>
                <w:bCs/>
                <w:szCs w:val="21"/>
              </w:rPr>
              <w:t>%）。除上述情况外，评审价=竞标报价。</w:t>
            </w:r>
          </w:p>
          <w:p w14:paraId="69FD0932">
            <w:pPr>
              <w:snapToGrid w:val="0"/>
              <w:spacing w:line="360" w:lineRule="auto"/>
              <w:ind w:firstLine="233" w:firstLineChars="111"/>
              <w:rPr>
                <w:rFonts w:hint="eastAsia" w:ascii="宋体" w:hAnsi="宋体" w:cs="宋体"/>
                <w:bCs/>
                <w:szCs w:val="21"/>
              </w:rPr>
            </w:pPr>
            <w:r>
              <w:rPr>
                <w:rFonts w:hint="eastAsia" w:ascii="宋体" w:hAnsi="宋体" w:cs="宋体"/>
                <w:bCs/>
                <w:szCs w:val="21"/>
              </w:rPr>
              <w:t>（6）满足磋商文件要求且评审报价最低的评审报价为评标基准价，其价格分为满分。</w:t>
            </w:r>
          </w:p>
          <w:p w14:paraId="5496B652">
            <w:pPr>
              <w:snapToGrid w:val="0"/>
              <w:spacing w:line="360" w:lineRule="auto"/>
              <w:ind w:firstLine="233" w:firstLineChars="111"/>
              <w:rPr>
                <w:rFonts w:hint="eastAsia" w:ascii="宋体" w:hAnsi="宋体" w:cs="宋体"/>
                <w:bCs/>
                <w:szCs w:val="21"/>
              </w:rPr>
            </w:pPr>
            <w:r>
              <w:rPr>
                <w:rFonts w:hint="eastAsia" w:ascii="宋体" w:hAnsi="宋体" w:cs="宋体"/>
                <w:bCs/>
                <w:szCs w:val="21"/>
              </w:rPr>
              <w:t xml:space="preserve">（7）价格分计算公式：        </w:t>
            </w:r>
          </w:p>
          <w:p w14:paraId="1DE26535">
            <w:pPr>
              <w:snapToGrid w:val="0"/>
              <w:spacing w:line="360" w:lineRule="auto"/>
              <w:ind w:firstLine="233" w:firstLineChars="111"/>
              <w:rPr>
                <w:rFonts w:hint="eastAsia" w:ascii="宋体" w:hAnsi="宋体" w:cs="宋体"/>
                <w:bCs/>
                <w:szCs w:val="21"/>
              </w:rPr>
            </w:pPr>
            <w:r>
              <w:rPr>
                <w:rFonts w:hint="eastAsia" w:ascii="宋体" w:hAnsi="宋体" w:cs="宋体"/>
                <w:bCs/>
                <w:szCs w:val="21"/>
              </w:rPr>
              <w:t>价格分=(评标基准价／评审报价)×</w:t>
            </w:r>
            <w:r>
              <w:rPr>
                <w:rFonts w:ascii="宋体" w:hAnsi="宋体" w:cs="宋体"/>
                <w:bCs/>
                <w:szCs w:val="21"/>
              </w:rPr>
              <w:t>3</w:t>
            </w:r>
            <w:r>
              <w:rPr>
                <w:rFonts w:hint="eastAsia" w:ascii="宋体" w:hAnsi="宋体" w:cs="宋体"/>
                <w:bCs/>
                <w:szCs w:val="21"/>
              </w:rPr>
              <w:t>0分</w:t>
            </w:r>
          </w:p>
        </w:tc>
        <w:tc>
          <w:tcPr>
            <w:tcW w:w="897" w:type="dxa"/>
            <w:noWrap w:val="0"/>
            <w:vAlign w:val="center"/>
          </w:tcPr>
          <w:p w14:paraId="549CE45C">
            <w:pPr>
              <w:snapToGrid w:val="0"/>
              <w:spacing w:line="360" w:lineRule="auto"/>
              <w:jc w:val="center"/>
              <w:rPr>
                <w:rFonts w:hint="eastAsia" w:ascii="宋体" w:hAnsi="宋体" w:cs="宋体"/>
                <w:bCs/>
                <w:szCs w:val="21"/>
              </w:rPr>
            </w:pPr>
            <w:r>
              <w:rPr>
                <w:rFonts w:hint="eastAsia" w:ascii="宋体" w:hAnsi="宋体" w:cs="宋体"/>
                <w:bCs/>
              </w:rPr>
              <w:t>《</w:t>
            </w:r>
            <w:r>
              <w:rPr>
                <w:rFonts w:hint="eastAsia" w:ascii="宋体" w:hAnsi="宋体" w:cs="宋体"/>
                <w:szCs w:val="21"/>
              </w:rPr>
              <w:t>响应报价表</w:t>
            </w:r>
            <w:r>
              <w:rPr>
                <w:rFonts w:hint="eastAsia" w:ascii="宋体" w:hAnsi="宋体" w:cs="宋体"/>
                <w:bCs/>
              </w:rPr>
              <w:t>》</w:t>
            </w:r>
          </w:p>
        </w:tc>
      </w:tr>
      <w:tr w14:paraId="3DCB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2" w:type="dxa"/>
            <w:vMerge w:val="restart"/>
            <w:noWrap w:val="0"/>
            <w:vAlign w:val="center"/>
          </w:tcPr>
          <w:p w14:paraId="3A636D43">
            <w:pPr>
              <w:adjustRightInd w:val="0"/>
              <w:snapToGrid w:val="0"/>
              <w:spacing w:line="360" w:lineRule="atLeast"/>
              <w:jc w:val="center"/>
              <w:textAlignment w:val="baseline"/>
              <w:rPr>
                <w:rFonts w:hint="eastAsia" w:ascii="宋体" w:hAnsi="宋体" w:cs="宋体"/>
                <w:szCs w:val="21"/>
              </w:rPr>
            </w:pPr>
            <w:r>
              <w:rPr>
                <w:rFonts w:hint="eastAsia" w:ascii="宋体" w:hAnsi="宋体" w:cs="宋体"/>
                <w:szCs w:val="21"/>
              </w:rPr>
              <w:t>2</w:t>
            </w:r>
          </w:p>
        </w:tc>
        <w:tc>
          <w:tcPr>
            <w:tcW w:w="1585" w:type="dxa"/>
            <w:vMerge w:val="restart"/>
            <w:noWrap w:val="0"/>
            <w:vAlign w:val="center"/>
          </w:tcPr>
          <w:p w14:paraId="661020D1">
            <w:pPr>
              <w:spacing w:line="360" w:lineRule="auto"/>
              <w:jc w:val="center"/>
              <w:rPr>
                <w:rFonts w:hint="eastAsia" w:ascii="宋体" w:hAnsi="宋体" w:cs="宋体"/>
                <w:bCs/>
                <w:szCs w:val="21"/>
              </w:rPr>
            </w:pPr>
            <w:r>
              <w:rPr>
                <w:rFonts w:hint="eastAsia" w:ascii="宋体" w:hAnsi="宋体" w:cs="宋体"/>
              </w:rPr>
              <w:t>技术标</w:t>
            </w:r>
          </w:p>
          <w:p w14:paraId="4C31CF0E">
            <w:pPr>
              <w:adjustRightInd w:val="0"/>
              <w:snapToGrid w:val="0"/>
              <w:spacing w:line="360" w:lineRule="atLeast"/>
              <w:ind w:left="-105" w:leftChars="-50" w:right="-105" w:rightChars="-50"/>
              <w:jc w:val="center"/>
              <w:textAlignment w:val="baseline"/>
              <w:rPr>
                <w:rFonts w:hint="eastAsia" w:ascii="宋体" w:hAnsi="宋体" w:cs="宋体"/>
                <w:spacing w:val="-18"/>
                <w:szCs w:val="21"/>
              </w:rPr>
            </w:pPr>
            <w:r>
              <w:rPr>
                <w:rFonts w:hint="eastAsia" w:ascii="宋体" w:hAnsi="宋体" w:cs="宋体"/>
                <w:bCs/>
                <w:szCs w:val="21"/>
              </w:rPr>
              <w:t>（</w:t>
            </w:r>
            <w:r>
              <w:rPr>
                <w:rFonts w:hint="eastAsia" w:ascii="宋体" w:hAnsi="宋体" w:cs="宋体"/>
                <w:szCs w:val="21"/>
              </w:rPr>
              <w:t>满分</w:t>
            </w:r>
            <w:r>
              <w:rPr>
                <w:rFonts w:ascii="宋体" w:hAnsi="宋体" w:cs="宋体"/>
                <w:szCs w:val="21"/>
              </w:rPr>
              <w:t>65</w:t>
            </w:r>
            <w:r>
              <w:rPr>
                <w:rFonts w:hint="eastAsia" w:ascii="宋体" w:hAnsi="宋体" w:cs="宋体"/>
                <w:szCs w:val="21"/>
              </w:rPr>
              <w:t>分</w:t>
            </w:r>
            <w:r>
              <w:rPr>
                <w:rFonts w:hint="eastAsia" w:ascii="宋体" w:hAnsi="宋体" w:cs="宋体"/>
                <w:bCs/>
                <w:szCs w:val="21"/>
              </w:rPr>
              <w:t>）</w:t>
            </w:r>
          </w:p>
        </w:tc>
        <w:tc>
          <w:tcPr>
            <w:tcW w:w="1064" w:type="dxa"/>
            <w:noWrap w:val="0"/>
            <w:vAlign w:val="center"/>
          </w:tcPr>
          <w:p w14:paraId="662BC4D7">
            <w:pPr>
              <w:snapToGrid w:val="0"/>
              <w:spacing w:line="360" w:lineRule="auto"/>
              <w:rPr>
                <w:rFonts w:hint="eastAsia"/>
                <w:b/>
              </w:rPr>
            </w:pPr>
            <w:r>
              <w:rPr>
                <w:rFonts w:hint="eastAsia"/>
                <w:b/>
              </w:rPr>
              <w:t>企业管理制度（满分</w:t>
            </w:r>
            <w:r>
              <w:rPr>
                <w:b/>
              </w:rPr>
              <w:t>15</w:t>
            </w:r>
            <w:r>
              <w:rPr>
                <w:rFonts w:hint="eastAsia"/>
                <w:b/>
              </w:rPr>
              <w:t>分）</w:t>
            </w:r>
          </w:p>
        </w:tc>
        <w:tc>
          <w:tcPr>
            <w:tcW w:w="6489" w:type="dxa"/>
            <w:noWrap w:val="0"/>
            <w:vAlign w:val="center"/>
          </w:tcPr>
          <w:p w14:paraId="4085EDEE">
            <w:pPr>
              <w:snapToGrid w:val="0"/>
              <w:spacing w:line="360" w:lineRule="auto"/>
              <w:ind w:firstLine="233" w:firstLineChars="111"/>
              <w:rPr>
                <w:rFonts w:ascii="宋体" w:hAnsi="宋体" w:cs="宋体"/>
                <w:bCs/>
                <w:szCs w:val="21"/>
              </w:rPr>
            </w:pPr>
            <w:r>
              <w:rPr>
                <w:rFonts w:hint="eastAsia" w:ascii="宋体" w:hAnsi="宋体" w:cs="宋体"/>
                <w:bCs/>
                <w:szCs w:val="21"/>
              </w:rPr>
              <w:t>一档（</w:t>
            </w:r>
            <w:r>
              <w:rPr>
                <w:rFonts w:ascii="宋体" w:hAnsi="宋体" w:cs="宋体"/>
                <w:bCs/>
                <w:szCs w:val="21"/>
              </w:rPr>
              <w:t>5</w:t>
            </w:r>
            <w:r>
              <w:rPr>
                <w:rFonts w:hint="eastAsia" w:ascii="宋体" w:hAnsi="宋体" w:cs="宋体"/>
                <w:bCs/>
                <w:szCs w:val="21"/>
              </w:rPr>
              <w:t>分）：投标人企业内部管理制度简单，无驾驶员管理、车辆维护管理等相关制度或制度不完善；</w:t>
            </w:r>
          </w:p>
          <w:p w14:paraId="00532916">
            <w:pPr>
              <w:snapToGrid w:val="0"/>
              <w:spacing w:line="360" w:lineRule="auto"/>
              <w:ind w:firstLine="233" w:firstLineChars="111"/>
              <w:rPr>
                <w:rFonts w:ascii="宋体" w:hAnsi="宋体" w:cs="宋体"/>
                <w:bCs/>
                <w:szCs w:val="21"/>
              </w:rPr>
            </w:pPr>
            <w:r>
              <w:rPr>
                <w:rFonts w:hint="eastAsia" w:ascii="宋体" w:hAnsi="宋体" w:cs="宋体"/>
                <w:bCs/>
                <w:szCs w:val="21"/>
              </w:rPr>
              <w:t>二档（</w:t>
            </w:r>
            <w:r>
              <w:rPr>
                <w:rFonts w:ascii="宋体" w:hAnsi="宋体" w:cs="宋体"/>
                <w:bCs/>
                <w:szCs w:val="21"/>
              </w:rPr>
              <w:t>10</w:t>
            </w:r>
            <w:r>
              <w:rPr>
                <w:rFonts w:hint="eastAsia" w:ascii="宋体" w:hAnsi="宋体" w:cs="宋体"/>
                <w:bCs/>
                <w:szCs w:val="21"/>
              </w:rPr>
              <w:t>分）：投标人企业内部管理制度比较完善，有相应的安全管理、服务质量管理、驾驶员管理、车辆维护管理，每部分内容完整且切合项目管理，利于实施；</w:t>
            </w:r>
          </w:p>
          <w:p w14:paraId="7281FA54">
            <w:pPr>
              <w:snapToGrid w:val="0"/>
              <w:spacing w:line="360" w:lineRule="auto"/>
              <w:ind w:firstLine="233" w:firstLineChars="111"/>
              <w:rPr>
                <w:rFonts w:hint="eastAsia" w:ascii="宋体" w:hAnsi="宋体" w:cs="宋体"/>
                <w:bCs/>
                <w:szCs w:val="21"/>
              </w:rPr>
            </w:pPr>
            <w:r>
              <w:rPr>
                <w:rFonts w:hint="eastAsia" w:ascii="宋体" w:hAnsi="宋体" w:cs="宋体"/>
                <w:bCs/>
                <w:szCs w:val="21"/>
              </w:rPr>
              <w:t>三档（</w:t>
            </w:r>
            <w:r>
              <w:rPr>
                <w:rFonts w:ascii="宋体" w:hAnsi="宋体" w:cs="宋体"/>
                <w:bCs/>
                <w:szCs w:val="21"/>
              </w:rPr>
              <w:t>15</w:t>
            </w:r>
            <w:r>
              <w:rPr>
                <w:rFonts w:hint="eastAsia" w:ascii="宋体" w:hAnsi="宋体" w:cs="宋体"/>
                <w:bCs/>
                <w:szCs w:val="21"/>
              </w:rPr>
              <w:t>分）：在满足二档基础上，各项管理制度严谨规范，且能够提供有利于采购人的优化服务措施或增值服务承诺。</w:t>
            </w:r>
          </w:p>
        </w:tc>
        <w:tc>
          <w:tcPr>
            <w:tcW w:w="897" w:type="dxa"/>
            <w:noWrap w:val="0"/>
            <w:vAlign w:val="center"/>
          </w:tcPr>
          <w:p w14:paraId="6934529D">
            <w:pPr>
              <w:widowControl/>
              <w:snapToGrid w:val="0"/>
              <w:spacing w:line="360" w:lineRule="atLeast"/>
              <w:jc w:val="center"/>
              <w:rPr>
                <w:rFonts w:hint="eastAsia" w:ascii="宋体" w:hAnsi="宋体" w:cs="宋体"/>
                <w:bCs/>
                <w:szCs w:val="21"/>
              </w:rPr>
            </w:pPr>
            <w:r>
              <w:rPr>
                <w:rFonts w:hint="eastAsia" w:ascii="宋体" w:hAnsi="宋体" w:cs="宋体"/>
                <w:bCs/>
              </w:rPr>
              <w:t>《商务、技术文件》</w:t>
            </w:r>
          </w:p>
        </w:tc>
      </w:tr>
      <w:tr w14:paraId="070C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2" w:type="dxa"/>
            <w:vMerge w:val="continue"/>
            <w:noWrap w:val="0"/>
            <w:vAlign w:val="center"/>
          </w:tcPr>
          <w:p w14:paraId="227D0FBD">
            <w:pPr>
              <w:adjustRightInd w:val="0"/>
              <w:snapToGrid w:val="0"/>
              <w:spacing w:line="360" w:lineRule="atLeast"/>
              <w:jc w:val="center"/>
              <w:textAlignment w:val="baseline"/>
              <w:rPr>
                <w:rFonts w:hint="eastAsia" w:ascii="宋体" w:hAnsi="宋体" w:cs="宋体"/>
                <w:szCs w:val="21"/>
              </w:rPr>
            </w:pPr>
          </w:p>
        </w:tc>
        <w:tc>
          <w:tcPr>
            <w:tcW w:w="1585" w:type="dxa"/>
            <w:vMerge w:val="continue"/>
            <w:noWrap w:val="0"/>
            <w:vAlign w:val="center"/>
          </w:tcPr>
          <w:p w14:paraId="696B9387">
            <w:pPr>
              <w:spacing w:line="360" w:lineRule="auto"/>
              <w:jc w:val="center"/>
              <w:rPr>
                <w:rFonts w:hint="eastAsia" w:ascii="宋体" w:hAnsi="宋体" w:cs="宋体"/>
              </w:rPr>
            </w:pPr>
          </w:p>
        </w:tc>
        <w:tc>
          <w:tcPr>
            <w:tcW w:w="1064" w:type="dxa"/>
            <w:noWrap w:val="0"/>
            <w:vAlign w:val="center"/>
          </w:tcPr>
          <w:p w14:paraId="04E2B316">
            <w:pPr>
              <w:snapToGrid w:val="0"/>
              <w:spacing w:line="360" w:lineRule="auto"/>
              <w:rPr>
                <w:rFonts w:hint="eastAsia" w:ascii="宋体" w:hAnsi="宋体" w:cs="宋体"/>
                <w:bCs/>
                <w:szCs w:val="21"/>
              </w:rPr>
            </w:pPr>
            <w:r>
              <w:rPr>
                <w:rFonts w:hint="eastAsia"/>
                <w:b/>
              </w:rPr>
              <w:t>租赁服务方案</w:t>
            </w:r>
            <w:r>
              <w:rPr>
                <w:rFonts w:hint="eastAsia"/>
                <w:b/>
                <w:szCs w:val="21"/>
              </w:rPr>
              <w:t>分（满分</w:t>
            </w:r>
            <w:r>
              <w:rPr>
                <w:rStyle w:val="13"/>
                <w:b/>
              </w:rPr>
              <w:t>20</w:t>
            </w:r>
            <w:r>
              <w:rPr>
                <w:rFonts w:hint="eastAsia"/>
                <w:b/>
                <w:szCs w:val="21"/>
              </w:rPr>
              <w:t>分）</w:t>
            </w:r>
          </w:p>
        </w:tc>
        <w:tc>
          <w:tcPr>
            <w:tcW w:w="6489" w:type="dxa"/>
            <w:noWrap w:val="0"/>
            <w:vAlign w:val="center"/>
          </w:tcPr>
          <w:p w14:paraId="77C18F92">
            <w:pPr>
              <w:snapToGrid w:val="0"/>
              <w:spacing w:line="360" w:lineRule="auto"/>
              <w:ind w:firstLine="233" w:firstLineChars="111"/>
              <w:rPr>
                <w:rFonts w:hint="eastAsia" w:ascii="宋体" w:hAnsi="宋体" w:cs="宋体"/>
                <w:bCs/>
                <w:szCs w:val="21"/>
              </w:rPr>
            </w:pPr>
            <w:r>
              <w:rPr>
                <w:rFonts w:hint="eastAsia" w:ascii="宋体" w:hAnsi="宋体" w:cs="宋体"/>
                <w:bCs/>
                <w:szCs w:val="21"/>
              </w:rPr>
              <w:t>评委根据供应商提供的租赁服务方案（包括但不限于：①解决故障的方法；②售后服务及保障措施；③实施计划；④项目管理组织机构及人员职能；⑤项目实施的资源安排；⑥技术服务、技术培训等）内容进行独立评审并打分：</w:t>
            </w:r>
          </w:p>
          <w:p w14:paraId="3A3A5EE0">
            <w:pPr>
              <w:snapToGrid w:val="0"/>
              <w:spacing w:line="360" w:lineRule="auto"/>
              <w:ind w:firstLine="233" w:firstLineChars="111"/>
              <w:rPr>
                <w:rFonts w:ascii="宋体" w:hAnsi="宋体" w:cs="宋体"/>
                <w:bCs/>
                <w:szCs w:val="21"/>
              </w:rPr>
            </w:pPr>
            <w:r>
              <w:rPr>
                <w:rFonts w:hint="eastAsia" w:ascii="宋体" w:hAnsi="宋体" w:cs="宋体"/>
                <w:bCs/>
                <w:szCs w:val="21"/>
              </w:rPr>
              <w:t>一档（</w:t>
            </w:r>
            <w:r>
              <w:rPr>
                <w:rFonts w:ascii="宋体" w:hAnsi="宋体" w:cs="宋体"/>
                <w:bCs/>
                <w:szCs w:val="21"/>
              </w:rPr>
              <w:t>6</w:t>
            </w:r>
            <w:r>
              <w:rPr>
                <w:rFonts w:hint="eastAsia" w:ascii="宋体" w:hAnsi="宋体" w:cs="宋体"/>
                <w:bCs/>
                <w:szCs w:val="21"/>
              </w:rPr>
              <w:t>分）：有简单的项目租赁服务方案，实施计划可行较差，项目管理组织机构及人员职能基本满足要求，项目实施的资源安排基本满足要求，缺少技术服务、技术培训的内容和措施的；</w:t>
            </w:r>
          </w:p>
          <w:p w14:paraId="1F49D82C">
            <w:pPr>
              <w:snapToGrid w:val="0"/>
              <w:spacing w:line="360" w:lineRule="auto"/>
              <w:ind w:firstLine="233" w:firstLineChars="111"/>
              <w:rPr>
                <w:rFonts w:hint="eastAsia" w:ascii="宋体" w:hAnsi="宋体" w:cs="宋体"/>
                <w:bCs/>
                <w:szCs w:val="21"/>
              </w:rPr>
            </w:pPr>
            <w:r>
              <w:rPr>
                <w:rFonts w:hint="eastAsia" w:ascii="宋体" w:hAnsi="宋体" w:cs="宋体"/>
                <w:bCs/>
                <w:szCs w:val="21"/>
              </w:rPr>
              <w:t>二档（</w:t>
            </w:r>
            <w:r>
              <w:rPr>
                <w:rFonts w:ascii="宋体" w:hAnsi="宋体" w:cs="宋体"/>
                <w:bCs/>
                <w:szCs w:val="21"/>
              </w:rPr>
              <w:t>13</w:t>
            </w:r>
            <w:r>
              <w:rPr>
                <w:rFonts w:hint="eastAsia" w:ascii="宋体" w:hAnsi="宋体" w:cs="宋体"/>
                <w:bCs/>
                <w:szCs w:val="21"/>
              </w:rPr>
              <w:t>分）：租赁服务方案基本完整，实施计划基本可行，项目管理组织机构及人员职能基本满足要求，保证项目实施的资源安排基本满足要求，技术服务、技术培训的内容和措施基本可行；</w:t>
            </w:r>
          </w:p>
          <w:p w14:paraId="61E95FEA">
            <w:pPr>
              <w:snapToGrid w:val="0"/>
              <w:spacing w:line="360" w:lineRule="auto"/>
              <w:ind w:firstLine="233" w:firstLineChars="111"/>
              <w:outlineLvl w:val="0"/>
              <w:rPr>
                <w:rFonts w:hint="eastAsia" w:ascii="宋体" w:hAnsi="宋体" w:cs="宋体"/>
                <w:bCs/>
                <w:szCs w:val="21"/>
              </w:rPr>
            </w:pPr>
            <w:r>
              <w:rPr>
                <w:rFonts w:hint="eastAsia" w:ascii="宋体" w:hAnsi="宋体" w:cs="宋体"/>
                <w:bCs/>
                <w:szCs w:val="21"/>
              </w:rPr>
              <w:t>三档（</w:t>
            </w:r>
            <w:r>
              <w:rPr>
                <w:rFonts w:ascii="宋体" w:hAnsi="宋体" w:cs="宋体"/>
                <w:bCs/>
                <w:szCs w:val="21"/>
              </w:rPr>
              <w:t>20</w:t>
            </w:r>
            <w:r>
              <w:rPr>
                <w:rFonts w:hint="eastAsia" w:ascii="宋体" w:hAnsi="宋体" w:cs="宋体"/>
                <w:bCs/>
                <w:szCs w:val="21"/>
              </w:rPr>
              <w:t>分）：租赁服务方案完整清晰、针对性强，实施计划完整明晰、可操作性强，项目管理组织机构及人员职能清晰可控，保证项目实施的资源安排充足，配送方案、实施进度计划、技术服务、技术培训的内容和措施完善，建议的安装、调试同比更完善有效、更优化、切实可行的。</w:t>
            </w:r>
          </w:p>
          <w:p w14:paraId="2FF7556D">
            <w:pPr>
              <w:snapToGrid w:val="0"/>
              <w:spacing w:line="360" w:lineRule="auto"/>
              <w:ind w:firstLine="233" w:firstLineChars="111"/>
              <w:rPr>
                <w:rFonts w:hint="eastAsia" w:ascii="宋体" w:hAnsi="宋体" w:cs="宋体"/>
                <w:bCs/>
                <w:szCs w:val="21"/>
              </w:rPr>
            </w:pPr>
            <w:r>
              <w:rPr>
                <w:rFonts w:hint="eastAsia" w:ascii="宋体" w:hAnsi="宋体" w:cs="宋体"/>
                <w:bCs/>
                <w:szCs w:val="21"/>
              </w:rPr>
              <w:t>注：供应商未提供“租赁服务方案”或提供的“租赁服务方案”经评委评审未达“一档”档次的，该项不得分。</w:t>
            </w:r>
          </w:p>
        </w:tc>
        <w:tc>
          <w:tcPr>
            <w:tcW w:w="897" w:type="dxa"/>
            <w:noWrap w:val="0"/>
            <w:vAlign w:val="center"/>
          </w:tcPr>
          <w:p w14:paraId="3A87DD7C">
            <w:pPr>
              <w:widowControl/>
              <w:snapToGrid w:val="0"/>
              <w:spacing w:line="360" w:lineRule="atLeast"/>
              <w:jc w:val="center"/>
              <w:rPr>
                <w:rFonts w:hint="eastAsia" w:ascii="宋体" w:hAnsi="宋体" w:cs="宋体"/>
                <w:bCs/>
                <w:szCs w:val="21"/>
              </w:rPr>
            </w:pPr>
            <w:r>
              <w:rPr>
                <w:rFonts w:hint="eastAsia" w:ascii="宋体" w:hAnsi="宋体" w:cs="宋体"/>
                <w:bCs/>
              </w:rPr>
              <w:t>《商务、技术文件》</w:t>
            </w:r>
          </w:p>
        </w:tc>
      </w:tr>
      <w:tr w14:paraId="05A8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2" w:type="dxa"/>
            <w:vMerge w:val="continue"/>
            <w:noWrap w:val="0"/>
            <w:vAlign w:val="center"/>
          </w:tcPr>
          <w:p w14:paraId="67EE0A52">
            <w:pPr>
              <w:adjustRightInd w:val="0"/>
              <w:snapToGrid w:val="0"/>
              <w:spacing w:line="360" w:lineRule="atLeast"/>
              <w:jc w:val="center"/>
              <w:textAlignment w:val="baseline"/>
              <w:rPr>
                <w:rFonts w:hint="eastAsia" w:ascii="宋体" w:hAnsi="宋体" w:cs="宋体"/>
                <w:szCs w:val="21"/>
              </w:rPr>
            </w:pPr>
          </w:p>
        </w:tc>
        <w:tc>
          <w:tcPr>
            <w:tcW w:w="1585" w:type="dxa"/>
            <w:vMerge w:val="continue"/>
            <w:noWrap w:val="0"/>
            <w:vAlign w:val="center"/>
          </w:tcPr>
          <w:p w14:paraId="58CEF768">
            <w:pPr>
              <w:spacing w:line="360" w:lineRule="auto"/>
              <w:jc w:val="center"/>
              <w:rPr>
                <w:rFonts w:hint="eastAsia" w:ascii="宋体" w:hAnsi="宋体" w:cs="宋体"/>
              </w:rPr>
            </w:pPr>
          </w:p>
        </w:tc>
        <w:tc>
          <w:tcPr>
            <w:tcW w:w="1064" w:type="dxa"/>
            <w:noWrap w:val="0"/>
            <w:vAlign w:val="center"/>
          </w:tcPr>
          <w:p w14:paraId="68DED23A">
            <w:pPr>
              <w:spacing w:line="360" w:lineRule="auto"/>
              <w:rPr>
                <w:rFonts w:hint="eastAsia" w:ascii="宋体" w:hAnsi="宋体" w:cs="宋体"/>
                <w:szCs w:val="21"/>
              </w:rPr>
            </w:pPr>
            <w:r>
              <w:rPr>
                <w:rFonts w:hint="eastAsia"/>
                <w:b/>
                <w:szCs w:val="21"/>
              </w:rPr>
              <w:t>售后服务方案分（满分</w:t>
            </w:r>
            <w:r>
              <w:rPr>
                <w:rStyle w:val="13"/>
                <w:b/>
              </w:rPr>
              <w:t>15</w:t>
            </w:r>
            <w:r>
              <w:rPr>
                <w:rFonts w:hint="eastAsia"/>
                <w:b/>
                <w:szCs w:val="21"/>
              </w:rPr>
              <w:t>分）</w:t>
            </w:r>
          </w:p>
        </w:tc>
        <w:tc>
          <w:tcPr>
            <w:tcW w:w="6489" w:type="dxa"/>
            <w:noWrap w:val="0"/>
            <w:vAlign w:val="center"/>
          </w:tcPr>
          <w:p w14:paraId="5C1B30A1">
            <w:pPr>
              <w:snapToGrid w:val="0"/>
              <w:spacing w:line="360" w:lineRule="auto"/>
              <w:ind w:firstLine="233" w:firstLineChars="111"/>
              <w:rPr>
                <w:rFonts w:ascii="宋体" w:hAnsi="宋体" w:cs="宋体"/>
                <w:bCs/>
                <w:szCs w:val="21"/>
              </w:rPr>
            </w:pPr>
            <w:r>
              <w:rPr>
                <w:rFonts w:hint="eastAsia" w:ascii="宋体" w:hAnsi="宋体" w:cs="宋体"/>
                <w:bCs/>
                <w:szCs w:val="21"/>
              </w:rPr>
              <w:t>评委根据供应商提供的售后服务方案内容进行独立评审并打分：</w:t>
            </w:r>
          </w:p>
          <w:p w14:paraId="0892B641">
            <w:pPr>
              <w:snapToGrid w:val="0"/>
              <w:spacing w:line="360" w:lineRule="auto"/>
              <w:ind w:firstLine="233" w:firstLineChars="111"/>
              <w:rPr>
                <w:rFonts w:ascii="宋体" w:hAnsi="宋体" w:cs="宋体"/>
                <w:bCs/>
                <w:szCs w:val="21"/>
              </w:rPr>
            </w:pPr>
            <w:r>
              <w:rPr>
                <w:rFonts w:hint="eastAsia" w:ascii="宋体" w:hAnsi="宋体" w:cs="宋体"/>
                <w:bCs/>
                <w:szCs w:val="21"/>
              </w:rPr>
              <w:t>一档（</w:t>
            </w:r>
            <w:r>
              <w:rPr>
                <w:rFonts w:ascii="宋体" w:hAnsi="宋体" w:cs="宋体"/>
                <w:bCs/>
                <w:szCs w:val="21"/>
              </w:rPr>
              <w:t>5</w:t>
            </w:r>
            <w:r>
              <w:rPr>
                <w:rFonts w:hint="eastAsia" w:ascii="宋体" w:hAnsi="宋体" w:cs="宋体"/>
                <w:bCs/>
                <w:szCs w:val="21"/>
              </w:rPr>
              <w:t>分）：售后服务方案（含应急保障服务）内容简单；提供解决故障的方法、售后服务及保障措施简单。</w:t>
            </w:r>
          </w:p>
          <w:p w14:paraId="1A9AFFF8">
            <w:pPr>
              <w:snapToGrid w:val="0"/>
              <w:spacing w:line="360" w:lineRule="auto"/>
              <w:ind w:firstLine="233" w:firstLineChars="111"/>
              <w:rPr>
                <w:rFonts w:ascii="宋体" w:hAnsi="宋体" w:cs="宋体"/>
                <w:bCs/>
                <w:szCs w:val="21"/>
              </w:rPr>
            </w:pPr>
            <w:r>
              <w:rPr>
                <w:rFonts w:hint="eastAsia" w:ascii="宋体" w:hAnsi="宋体" w:cs="宋体"/>
                <w:bCs/>
                <w:szCs w:val="21"/>
              </w:rPr>
              <w:t>二档（</w:t>
            </w:r>
            <w:r>
              <w:rPr>
                <w:rFonts w:ascii="宋体" w:hAnsi="宋体" w:cs="宋体"/>
                <w:bCs/>
                <w:szCs w:val="21"/>
              </w:rPr>
              <w:t>10</w:t>
            </w:r>
            <w:r>
              <w:rPr>
                <w:rFonts w:hint="eastAsia" w:ascii="宋体" w:hAnsi="宋体" w:cs="宋体"/>
                <w:bCs/>
                <w:szCs w:val="21"/>
              </w:rPr>
              <w:t xml:space="preserve"> 分）：提供的售后服务方案（含应急保障服务）针对性一般，解决故障的方法不够详细、售后服务、保障措施等内容逻辑性一般，可行性一般。</w:t>
            </w:r>
          </w:p>
          <w:p w14:paraId="54317888">
            <w:pPr>
              <w:snapToGrid w:val="0"/>
              <w:spacing w:line="360" w:lineRule="auto"/>
              <w:ind w:firstLine="233" w:firstLineChars="111"/>
              <w:rPr>
                <w:rFonts w:ascii="宋体" w:hAnsi="宋体" w:cs="宋体"/>
                <w:bCs/>
                <w:szCs w:val="21"/>
              </w:rPr>
            </w:pPr>
            <w:r>
              <w:rPr>
                <w:rFonts w:hint="eastAsia" w:ascii="宋体" w:hAnsi="宋体" w:cs="宋体"/>
                <w:bCs/>
                <w:szCs w:val="21"/>
              </w:rPr>
              <w:t>三档（</w:t>
            </w:r>
            <w:r>
              <w:rPr>
                <w:rFonts w:ascii="宋体" w:hAnsi="宋体" w:cs="宋体"/>
                <w:bCs/>
                <w:szCs w:val="21"/>
              </w:rPr>
              <w:t>15</w:t>
            </w:r>
            <w:r>
              <w:rPr>
                <w:rFonts w:hint="eastAsia" w:ascii="宋体" w:hAnsi="宋体" w:cs="宋体"/>
                <w:bCs/>
                <w:szCs w:val="21"/>
              </w:rPr>
              <w:t>分）：提供针对24小时紧急问题修复的应急保障服务，对车辆出现的突发重大问题，支持24小时快速响应，及时修复，提供的解决故障方法以及实现方式、售后服务机构及联系人、技术人员名单等资料详细，保障措施考虑周全完整性强，提供的服务承诺书内容齐全、符合实际，方案科学、切实可行，提供有针对性的定期维护，持续检测车辆稳定性和安全性方案，对车辆存在的潜在风险，及时修理调整。</w:t>
            </w:r>
          </w:p>
          <w:p w14:paraId="6C8A09A2">
            <w:pPr>
              <w:pStyle w:val="26"/>
              <w:widowControl/>
              <w:snapToGrid w:val="0"/>
              <w:spacing w:line="360" w:lineRule="auto"/>
              <w:ind w:firstLine="233" w:firstLineChars="111"/>
              <w:rPr>
                <w:rFonts w:hint="eastAsia"/>
                <w:bCs/>
                <w:sz w:val="21"/>
                <w:szCs w:val="21"/>
                <w:lang w:val="en-US" w:eastAsia="zh-CN" w:bidi="ar-SA"/>
              </w:rPr>
            </w:pPr>
            <w:r>
              <w:rPr>
                <w:rFonts w:hint="eastAsia"/>
                <w:bCs/>
                <w:sz w:val="21"/>
                <w:szCs w:val="21"/>
                <w:lang w:val="en-US" w:eastAsia="zh-CN" w:bidi="ar-SA"/>
              </w:rPr>
              <w:t>注：供应商未提供“售后服务方案”的，该项不得分。</w:t>
            </w:r>
          </w:p>
        </w:tc>
        <w:tc>
          <w:tcPr>
            <w:tcW w:w="897" w:type="dxa"/>
            <w:noWrap w:val="0"/>
            <w:vAlign w:val="center"/>
          </w:tcPr>
          <w:p w14:paraId="32A1D0E4">
            <w:pPr>
              <w:widowControl/>
              <w:snapToGrid w:val="0"/>
              <w:spacing w:line="360" w:lineRule="atLeast"/>
              <w:jc w:val="center"/>
              <w:rPr>
                <w:rFonts w:hint="eastAsia" w:ascii="宋体" w:hAnsi="宋体" w:cs="宋体"/>
                <w:bCs/>
                <w:szCs w:val="21"/>
              </w:rPr>
            </w:pPr>
            <w:r>
              <w:rPr>
                <w:rFonts w:hint="eastAsia" w:ascii="宋体" w:hAnsi="宋体" w:cs="宋体"/>
                <w:bCs/>
              </w:rPr>
              <w:t>《商务、技术文件》</w:t>
            </w:r>
          </w:p>
        </w:tc>
      </w:tr>
      <w:tr w14:paraId="7BE6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2" w:type="dxa"/>
            <w:vMerge w:val="continue"/>
            <w:noWrap w:val="0"/>
            <w:vAlign w:val="top"/>
          </w:tcPr>
          <w:p w14:paraId="7194D6D0">
            <w:pPr>
              <w:adjustRightInd w:val="0"/>
              <w:snapToGrid w:val="0"/>
              <w:spacing w:line="360" w:lineRule="atLeast"/>
              <w:jc w:val="center"/>
              <w:textAlignment w:val="baseline"/>
              <w:rPr>
                <w:rFonts w:hint="eastAsia" w:ascii="宋体" w:hAnsi="宋体" w:cs="宋体"/>
                <w:szCs w:val="21"/>
              </w:rPr>
            </w:pPr>
          </w:p>
        </w:tc>
        <w:tc>
          <w:tcPr>
            <w:tcW w:w="1585" w:type="dxa"/>
            <w:vMerge w:val="continue"/>
            <w:noWrap w:val="0"/>
            <w:vAlign w:val="top"/>
          </w:tcPr>
          <w:p w14:paraId="695FDC00">
            <w:pPr>
              <w:adjustRightInd w:val="0"/>
              <w:snapToGrid w:val="0"/>
              <w:spacing w:line="360" w:lineRule="atLeast"/>
              <w:jc w:val="center"/>
              <w:textAlignment w:val="baseline"/>
              <w:rPr>
                <w:rFonts w:hint="eastAsia" w:ascii="宋体" w:hAnsi="宋体" w:cs="宋体"/>
                <w:szCs w:val="21"/>
              </w:rPr>
            </w:pPr>
          </w:p>
        </w:tc>
        <w:tc>
          <w:tcPr>
            <w:tcW w:w="1064" w:type="dxa"/>
            <w:noWrap w:val="0"/>
            <w:tcMar>
              <w:left w:w="57" w:type="dxa"/>
              <w:right w:w="57" w:type="dxa"/>
            </w:tcMar>
            <w:vAlign w:val="center"/>
          </w:tcPr>
          <w:p w14:paraId="56453E46">
            <w:pPr>
              <w:spacing w:line="360" w:lineRule="auto"/>
              <w:rPr>
                <w:rFonts w:hint="eastAsia"/>
                <w:b/>
                <w:szCs w:val="21"/>
              </w:rPr>
            </w:pPr>
            <w:r>
              <w:rPr>
                <w:rFonts w:hint="eastAsia"/>
                <w:b/>
                <w:szCs w:val="21"/>
              </w:rPr>
              <w:t>拟投入车辆数量及车辆出厂时间方案（满分</w:t>
            </w:r>
            <w:r>
              <w:rPr>
                <w:b/>
                <w:szCs w:val="21"/>
              </w:rPr>
              <w:t>15</w:t>
            </w:r>
            <w:r>
              <w:rPr>
                <w:rFonts w:hint="eastAsia"/>
                <w:b/>
                <w:szCs w:val="21"/>
              </w:rPr>
              <w:t>分）</w:t>
            </w:r>
          </w:p>
        </w:tc>
        <w:tc>
          <w:tcPr>
            <w:tcW w:w="6489" w:type="dxa"/>
            <w:noWrap w:val="0"/>
            <w:vAlign w:val="center"/>
          </w:tcPr>
          <w:p w14:paraId="7873D2BD">
            <w:pPr>
              <w:spacing w:line="360" w:lineRule="auto"/>
              <w:ind w:firstLine="420" w:firstLineChars="200"/>
              <w:rPr>
                <w:rFonts w:hint="eastAsia" w:ascii="宋体" w:hAnsi="宋体" w:cs="宋体"/>
                <w:szCs w:val="21"/>
              </w:rPr>
            </w:pPr>
            <w:r>
              <w:rPr>
                <w:rFonts w:hint="eastAsia" w:ascii="宋体" w:hAnsi="宋体" w:cs="宋体"/>
                <w:bCs/>
                <w:szCs w:val="21"/>
                <w:lang w:bidi="ar"/>
              </w:rPr>
              <w:t>评审要素：</w:t>
            </w:r>
            <w:r>
              <w:rPr>
                <w:rFonts w:hint="eastAsia" w:ascii="宋体" w:hAnsi="宋体" w:cs="宋体"/>
                <w:szCs w:val="21"/>
                <w:lang w:bidi="ar"/>
              </w:rPr>
              <w:t>根据供应商拟投入车辆数量及车辆出厂时间情况进行评分（提供车辆行驶证、通行证、交强险、商业险等凭证。提供不了上述凭证复印件的，如无证明材料则提供相应承诺书，承诺如成交在车辆交付时提供上述材料，格式自拟）。</w:t>
            </w:r>
          </w:p>
          <w:p w14:paraId="4C8F0D66">
            <w:pPr>
              <w:spacing w:line="360" w:lineRule="auto"/>
              <w:ind w:firstLine="420" w:firstLineChars="200"/>
              <w:rPr>
                <w:rFonts w:hint="eastAsia" w:ascii="宋体" w:hAnsi="宋体" w:cs="宋体"/>
                <w:szCs w:val="21"/>
              </w:rPr>
            </w:pPr>
            <w:r>
              <w:rPr>
                <w:rFonts w:hint="eastAsia" w:ascii="宋体" w:hAnsi="宋体" w:cs="宋体"/>
                <w:szCs w:val="21"/>
                <w:lang w:bidi="ar"/>
              </w:rPr>
              <w:t>一档（</w:t>
            </w:r>
            <w:r>
              <w:rPr>
                <w:rFonts w:ascii="宋体" w:hAnsi="宋体" w:cs="宋体"/>
                <w:szCs w:val="21"/>
                <w:lang w:bidi="ar"/>
              </w:rPr>
              <w:t>3</w:t>
            </w:r>
            <w:r>
              <w:rPr>
                <w:rFonts w:hint="eastAsia" w:ascii="宋体" w:hAnsi="宋体" w:cs="宋体"/>
                <w:szCs w:val="21"/>
                <w:lang w:bidi="ar"/>
              </w:rPr>
              <w:t>分）：拟投入的车辆性能参数、配置符合采购需求且：拟投入车辆中有5台行驶证注册时间均在202</w:t>
            </w:r>
            <w:r>
              <w:rPr>
                <w:rFonts w:hint="eastAsia" w:ascii="宋体" w:hAnsi="宋体" w:cs="宋体"/>
                <w:szCs w:val="21"/>
                <w:lang w:val="en-US" w:eastAsia="zh-CN" w:bidi="ar"/>
              </w:rPr>
              <w:t>3</w:t>
            </w:r>
            <w:r>
              <w:rPr>
                <w:rFonts w:hint="eastAsia" w:ascii="宋体" w:hAnsi="宋体" w:cs="宋体"/>
                <w:szCs w:val="21"/>
                <w:lang w:bidi="ar"/>
              </w:rPr>
              <w:t>年1月1日及以后的；</w:t>
            </w:r>
          </w:p>
          <w:p w14:paraId="17E7E4A0">
            <w:pPr>
              <w:spacing w:line="360" w:lineRule="auto"/>
              <w:ind w:firstLine="420" w:firstLineChars="200"/>
              <w:rPr>
                <w:rFonts w:hint="eastAsia" w:ascii="宋体" w:hAnsi="宋体" w:cs="宋体"/>
                <w:szCs w:val="21"/>
              </w:rPr>
            </w:pPr>
            <w:r>
              <w:rPr>
                <w:rFonts w:hint="eastAsia" w:ascii="宋体" w:hAnsi="宋体" w:cs="宋体"/>
                <w:szCs w:val="21"/>
                <w:lang w:bidi="ar"/>
              </w:rPr>
              <w:t>二档（</w:t>
            </w:r>
            <w:r>
              <w:rPr>
                <w:rFonts w:ascii="宋体" w:hAnsi="宋体" w:cs="宋体"/>
                <w:szCs w:val="21"/>
                <w:lang w:bidi="ar"/>
              </w:rPr>
              <w:t>6</w:t>
            </w:r>
            <w:r>
              <w:rPr>
                <w:rFonts w:hint="eastAsia" w:ascii="宋体" w:hAnsi="宋体" w:cs="宋体"/>
                <w:szCs w:val="21"/>
                <w:lang w:bidi="ar"/>
              </w:rPr>
              <w:t>分）：拟投入的车辆性能参数、配置符合采购需求且：拟投入车辆中有10台行驶证注册时间均在202</w:t>
            </w:r>
            <w:r>
              <w:rPr>
                <w:rFonts w:hint="eastAsia" w:ascii="宋体" w:hAnsi="宋体" w:cs="宋体"/>
                <w:szCs w:val="21"/>
                <w:lang w:val="en-US" w:eastAsia="zh-CN" w:bidi="ar"/>
              </w:rPr>
              <w:t>3</w:t>
            </w:r>
            <w:r>
              <w:rPr>
                <w:rFonts w:hint="eastAsia" w:ascii="宋体" w:hAnsi="宋体" w:cs="宋体"/>
                <w:szCs w:val="21"/>
                <w:lang w:bidi="ar"/>
              </w:rPr>
              <w:t>年1月1日及以后的；</w:t>
            </w:r>
          </w:p>
          <w:p w14:paraId="210D03AF">
            <w:pPr>
              <w:spacing w:line="360" w:lineRule="auto"/>
              <w:ind w:firstLine="420" w:firstLineChars="200"/>
              <w:rPr>
                <w:rFonts w:hint="eastAsia" w:ascii="宋体" w:hAnsi="宋体" w:cs="宋体"/>
                <w:szCs w:val="21"/>
              </w:rPr>
            </w:pPr>
            <w:r>
              <w:rPr>
                <w:rFonts w:hint="eastAsia" w:ascii="宋体" w:hAnsi="宋体" w:cs="宋体"/>
                <w:szCs w:val="21"/>
                <w:lang w:bidi="ar"/>
              </w:rPr>
              <w:t>三档（</w:t>
            </w:r>
            <w:r>
              <w:rPr>
                <w:rFonts w:ascii="宋体" w:hAnsi="宋体" w:cs="宋体"/>
                <w:szCs w:val="21"/>
                <w:lang w:bidi="ar"/>
              </w:rPr>
              <w:t>9</w:t>
            </w:r>
            <w:r>
              <w:rPr>
                <w:rFonts w:hint="eastAsia" w:ascii="宋体" w:hAnsi="宋体" w:cs="宋体"/>
                <w:szCs w:val="21"/>
                <w:lang w:bidi="ar"/>
              </w:rPr>
              <w:t>分）：拟投入的车辆性能参数、配置符合采购需求且：拟投入车辆中有15台行驶证注册时间均在202</w:t>
            </w:r>
            <w:r>
              <w:rPr>
                <w:rFonts w:hint="eastAsia" w:ascii="宋体" w:hAnsi="宋体" w:cs="宋体"/>
                <w:szCs w:val="21"/>
                <w:lang w:val="en-US" w:eastAsia="zh-CN" w:bidi="ar"/>
              </w:rPr>
              <w:t>3</w:t>
            </w:r>
            <w:r>
              <w:rPr>
                <w:rFonts w:hint="eastAsia" w:ascii="宋体" w:hAnsi="宋体" w:cs="宋体"/>
                <w:szCs w:val="21"/>
                <w:lang w:bidi="ar"/>
              </w:rPr>
              <w:t>年1月1日及以后的；</w:t>
            </w:r>
          </w:p>
          <w:p w14:paraId="795AE2D9">
            <w:pPr>
              <w:spacing w:line="360" w:lineRule="auto"/>
              <w:ind w:firstLine="420" w:firstLineChars="200"/>
              <w:rPr>
                <w:rFonts w:hint="eastAsia" w:ascii="宋体" w:hAnsi="宋体" w:cs="宋体"/>
                <w:szCs w:val="21"/>
              </w:rPr>
            </w:pPr>
            <w:r>
              <w:rPr>
                <w:rFonts w:hint="eastAsia" w:ascii="宋体" w:hAnsi="宋体" w:cs="宋体"/>
                <w:szCs w:val="21"/>
                <w:lang w:bidi="ar"/>
              </w:rPr>
              <w:t>四档（</w:t>
            </w:r>
            <w:r>
              <w:rPr>
                <w:rFonts w:ascii="宋体" w:hAnsi="宋体" w:cs="宋体"/>
                <w:szCs w:val="21"/>
                <w:lang w:bidi="ar"/>
              </w:rPr>
              <w:t>12</w:t>
            </w:r>
            <w:r>
              <w:rPr>
                <w:rFonts w:hint="eastAsia" w:ascii="宋体" w:hAnsi="宋体" w:cs="宋体"/>
                <w:szCs w:val="21"/>
                <w:lang w:bidi="ar"/>
              </w:rPr>
              <w:t>分）：拟投入的车辆性能参数、配置符合采购需求且：拟投入车辆中有20台行驶证注册时间均在202</w:t>
            </w:r>
            <w:r>
              <w:rPr>
                <w:rFonts w:hint="eastAsia" w:ascii="宋体" w:hAnsi="宋体" w:cs="宋体"/>
                <w:szCs w:val="21"/>
                <w:lang w:val="en-US" w:eastAsia="zh-CN" w:bidi="ar"/>
              </w:rPr>
              <w:t>3</w:t>
            </w:r>
            <w:r>
              <w:rPr>
                <w:rFonts w:hint="eastAsia" w:ascii="宋体" w:hAnsi="宋体" w:cs="宋体"/>
                <w:szCs w:val="21"/>
                <w:lang w:bidi="ar"/>
              </w:rPr>
              <w:t>年1月1日及以后的；</w:t>
            </w:r>
          </w:p>
          <w:p w14:paraId="2E99ABF2">
            <w:pPr>
              <w:pStyle w:val="8"/>
              <w:spacing w:line="360" w:lineRule="auto"/>
              <w:ind w:firstLine="420" w:firstLineChars="200"/>
              <w:rPr>
                <w:rFonts w:hint="eastAsia"/>
                <w:sz w:val="21"/>
                <w:szCs w:val="21"/>
              </w:rPr>
            </w:pPr>
            <w:r>
              <w:rPr>
                <w:rFonts w:hint="eastAsia"/>
                <w:sz w:val="21"/>
                <w:szCs w:val="21"/>
              </w:rPr>
              <w:t>五档（</w:t>
            </w:r>
            <w:r>
              <w:rPr>
                <w:sz w:val="21"/>
                <w:szCs w:val="21"/>
              </w:rPr>
              <w:t>15</w:t>
            </w:r>
            <w:r>
              <w:rPr>
                <w:rFonts w:hint="eastAsia"/>
                <w:sz w:val="21"/>
                <w:szCs w:val="21"/>
              </w:rPr>
              <w:t>分）：拟投入的车辆性能参数、配置符合采购需求且：拟投入车辆全部行驶证注册时间均在202</w:t>
            </w:r>
            <w:r>
              <w:rPr>
                <w:rFonts w:hint="eastAsia"/>
                <w:sz w:val="21"/>
                <w:szCs w:val="21"/>
                <w:lang w:val="en-US" w:eastAsia="zh-CN"/>
              </w:rPr>
              <w:t>3</w:t>
            </w:r>
            <w:r>
              <w:rPr>
                <w:rFonts w:hint="eastAsia"/>
                <w:sz w:val="21"/>
                <w:szCs w:val="21"/>
              </w:rPr>
              <w:t>年1月1日及以后的。</w:t>
            </w:r>
          </w:p>
        </w:tc>
        <w:tc>
          <w:tcPr>
            <w:tcW w:w="897" w:type="dxa"/>
            <w:noWrap w:val="0"/>
            <w:vAlign w:val="center"/>
          </w:tcPr>
          <w:p w14:paraId="4A5122BE">
            <w:pPr>
              <w:widowControl/>
              <w:snapToGrid w:val="0"/>
              <w:spacing w:line="360" w:lineRule="atLeast"/>
              <w:jc w:val="center"/>
              <w:rPr>
                <w:rFonts w:hint="eastAsia" w:ascii="宋体" w:hAnsi="宋体" w:cs="宋体"/>
                <w:bCs/>
                <w:szCs w:val="21"/>
              </w:rPr>
            </w:pPr>
            <w:r>
              <w:rPr>
                <w:rFonts w:hint="eastAsia" w:ascii="宋体" w:hAnsi="宋体" w:cs="宋体"/>
                <w:bCs/>
              </w:rPr>
              <w:t>《商务、技术文件》</w:t>
            </w:r>
          </w:p>
        </w:tc>
      </w:tr>
      <w:tr w14:paraId="1523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2" w:type="dxa"/>
            <w:noWrap w:val="0"/>
            <w:vAlign w:val="center"/>
          </w:tcPr>
          <w:p w14:paraId="002D945E">
            <w:pPr>
              <w:adjustRightInd w:val="0"/>
              <w:snapToGrid w:val="0"/>
              <w:spacing w:line="360" w:lineRule="atLeast"/>
              <w:jc w:val="center"/>
              <w:textAlignment w:val="baseline"/>
              <w:rPr>
                <w:rFonts w:hint="eastAsia" w:ascii="宋体" w:hAnsi="宋体" w:cs="宋体"/>
                <w:szCs w:val="21"/>
              </w:rPr>
            </w:pPr>
            <w:r>
              <w:rPr>
                <w:rFonts w:hint="eastAsia" w:ascii="宋体" w:hAnsi="宋体" w:cs="宋体"/>
                <w:szCs w:val="21"/>
              </w:rPr>
              <w:t>3</w:t>
            </w:r>
          </w:p>
        </w:tc>
        <w:tc>
          <w:tcPr>
            <w:tcW w:w="1585" w:type="dxa"/>
            <w:noWrap w:val="0"/>
            <w:vAlign w:val="center"/>
          </w:tcPr>
          <w:p w14:paraId="62864687">
            <w:pPr>
              <w:spacing w:line="400" w:lineRule="exact"/>
              <w:jc w:val="left"/>
              <w:rPr>
                <w:rFonts w:ascii="宋体" w:hAnsi="宋体"/>
                <w:b/>
                <w:bCs/>
                <w:szCs w:val="21"/>
              </w:rPr>
            </w:pPr>
            <w:r>
              <w:rPr>
                <w:rFonts w:hint="eastAsia" w:ascii="宋体" w:hAnsi="宋体"/>
                <w:b/>
                <w:bCs/>
                <w:szCs w:val="21"/>
              </w:rPr>
              <w:t>商务分</w:t>
            </w:r>
            <w:r>
              <w:rPr>
                <w:rFonts w:hint="eastAsia" w:ascii="宋体" w:hAnsi="宋体" w:cs="宋体"/>
                <w:b/>
                <w:sz w:val="22"/>
                <w:szCs w:val="22"/>
              </w:rPr>
              <w:t>（满分</w:t>
            </w:r>
            <w:r>
              <w:rPr>
                <w:rFonts w:ascii="宋体" w:hAnsi="宋体" w:cs="宋体"/>
                <w:b/>
                <w:sz w:val="22"/>
                <w:szCs w:val="22"/>
              </w:rPr>
              <w:t>5</w:t>
            </w:r>
            <w:r>
              <w:rPr>
                <w:rFonts w:hint="eastAsia" w:ascii="宋体" w:hAnsi="宋体" w:cs="宋体"/>
                <w:b/>
                <w:sz w:val="22"/>
                <w:szCs w:val="22"/>
              </w:rPr>
              <w:t>分）</w:t>
            </w:r>
          </w:p>
        </w:tc>
        <w:tc>
          <w:tcPr>
            <w:tcW w:w="1064" w:type="dxa"/>
            <w:noWrap w:val="0"/>
            <w:tcMar>
              <w:left w:w="57" w:type="dxa"/>
              <w:right w:w="57" w:type="dxa"/>
            </w:tcMar>
            <w:vAlign w:val="center"/>
          </w:tcPr>
          <w:p w14:paraId="593D321E">
            <w:pPr>
              <w:spacing w:line="360" w:lineRule="auto"/>
              <w:jc w:val="center"/>
              <w:rPr>
                <w:b/>
                <w:szCs w:val="21"/>
              </w:rPr>
            </w:pPr>
            <w:r>
              <w:rPr>
                <w:rFonts w:hint="eastAsia"/>
                <w:b/>
                <w:szCs w:val="21"/>
              </w:rPr>
              <w:t>业绩（满分</w:t>
            </w:r>
            <w:r>
              <w:rPr>
                <w:b/>
                <w:szCs w:val="21"/>
              </w:rPr>
              <w:t>5</w:t>
            </w:r>
            <w:r>
              <w:rPr>
                <w:rFonts w:hint="eastAsia"/>
                <w:b/>
                <w:szCs w:val="21"/>
              </w:rPr>
              <w:t>分）</w:t>
            </w:r>
          </w:p>
        </w:tc>
        <w:tc>
          <w:tcPr>
            <w:tcW w:w="6489" w:type="dxa"/>
            <w:noWrap w:val="0"/>
            <w:vAlign w:val="center"/>
          </w:tcPr>
          <w:p w14:paraId="798C289F">
            <w:pPr>
              <w:spacing w:line="400" w:lineRule="exact"/>
              <w:ind w:left="2" w:firstLine="48" w:firstLineChars="23"/>
              <w:jc w:val="left"/>
              <w:rPr>
                <w:rFonts w:ascii="宋体" w:hAnsi="宋体"/>
                <w:bCs/>
                <w:szCs w:val="21"/>
              </w:rPr>
            </w:pPr>
            <w:bookmarkStart w:id="8" w:name="_Toc26348572"/>
            <w:r>
              <w:rPr>
                <w:rFonts w:hint="eastAsia" w:ascii="宋体" w:hAnsi="宋体"/>
                <w:bCs/>
                <w:szCs w:val="21"/>
              </w:rPr>
              <w:t>供应商自202</w:t>
            </w:r>
            <w:r>
              <w:rPr>
                <w:rFonts w:hint="eastAsia" w:ascii="宋体" w:hAnsi="宋体"/>
                <w:bCs/>
                <w:szCs w:val="21"/>
                <w:lang w:val="en-US" w:eastAsia="zh-CN"/>
              </w:rPr>
              <w:t>2</w:t>
            </w:r>
            <w:r>
              <w:rPr>
                <w:rFonts w:hint="eastAsia" w:ascii="宋体" w:hAnsi="宋体"/>
                <w:bCs/>
                <w:szCs w:val="21"/>
              </w:rPr>
              <w:t>年1月以来租赁同类汽车业绩分，以与政府机构、事业单位或国有企业单位签订的合同或中标（成交）通知书为准，每份得</w:t>
            </w:r>
            <w:r>
              <w:rPr>
                <w:rFonts w:ascii="宋体" w:hAnsi="宋体"/>
                <w:bCs/>
                <w:szCs w:val="21"/>
              </w:rPr>
              <w:t>1</w:t>
            </w:r>
            <w:r>
              <w:rPr>
                <w:rFonts w:hint="eastAsia" w:ascii="宋体" w:hAnsi="宋体"/>
                <w:bCs/>
                <w:szCs w:val="21"/>
              </w:rPr>
              <w:t>分，满分</w:t>
            </w:r>
            <w:r>
              <w:rPr>
                <w:rFonts w:ascii="宋体" w:hAnsi="宋体"/>
                <w:bCs/>
                <w:szCs w:val="21"/>
              </w:rPr>
              <w:t>5</w:t>
            </w:r>
            <w:r>
              <w:rPr>
                <w:rFonts w:hint="eastAsia" w:ascii="宋体" w:hAnsi="宋体"/>
                <w:bCs/>
                <w:szCs w:val="21"/>
              </w:rPr>
              <w:t>分。</w:t>
            </w:r>
            <w:bookmarkEnd w:id="8"/>
          </w:p>
        </w:tc>
        <w:tc>
          <w:tcPr>
            <w:tcW w:w="897" w:type="dxa"/>
            <w:noWrap w:val="0"/>
            <w:vAlign w:val="center"/>
          </w:tcPr>
          <w:p w14:paraId="1773C4C0">
            <w:pPr>
              <w:widowControl/>
              <w:snapToGrid w:val="0"/>
              <w:spacing w:line="360" w:lineRule="atLeast"/>
              <w:jc w:val="center"/>
              <w:rPr>
                <w:rFonts w:hint="eastAsia" w:ascii="宋体" w:hAnsi="宋体" w:cs="宋体"/>
                <w:bCs/>
              </w:rPr>
            </w:pPr>
            <w:r>
              <w:rPr>
                <w:rFonts w:hint="eastAsia" w:ascii="宋体" w:hAnsi="宋体" w:cs="宋体"/>
                <w:bCs/>
              </w:rPr>
              <w:t>《商务、技术文件》</w:t>
            </w:r>
          </w:p>
        </w:tc>
      </w:tr>
      <w:tr w14:paraId="2C27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700" w:type="dxa"/>
            <w:gridSpan w:val="4"/>
            <w:noWrap w:val="0"/>
            <w:vAlign w:val="center"/>
          </w:tcPr>
          <w:p w14:paraId="6D6C2761">
            <w:pPr>
              <w:pStyle w:val="5"/>
              <w:snapToGrid w:val="0"/>
              <w:spacing w:line="360" w:lineRule="atLeast"/>
              <w:rPr>
                <w:rFonts w:hAnsi="宋体" w:cs="宋体"/>
                <w:b/>
                <w:bCs/>
              </w:rPr>
            </w:pPr>
            <w:r>
              <w:rPr>
                <w:rFonts w:hAnsi="宋体" w:cs="宋体"/>
                <w:b/>
                <w:bCs/>
              </w:rPr>
              <w:t>总得分</w:t>
            </w:r>
            <w:r>
              <w:rPr>
                <w:rFonts w:hint="eastAsia" w:hAnsi="宋体" w:cs="宋体"/>
                <w:b/>
                <w:bCs/>
                <w:lang w:val="en-US" w:eastAsia="zh-CN"/>
              </w:rPr>
              <w:t>100</w:t>
            </w:r>
            <w:bookmarkStart w:id="10" w:name="_GoBack"/>
            <w:bookmarkEnd w:id="10"/>
            <w:r>
              <w:rPr>
                <w:rFonts w:hAnsi="宋体" w:cs="宋体"/>
                <w:b/>
                <w:bCs/>
              </w:rPr>
              <w:t>=1+2+3</w:t>
            </w:r>
          </w:p>
        </w:tc>
        <w:tc>
          <w:tcPr>
            <w:tcW w:w="916" w:type="dxa"/>
            <w:gridSpan w:val="2"/>
            <w:noWrap w:val="0"/>
            <w:vAlign w:val="top"/>
          </w:tcPr>
          <w:p w14:paraId="6AE32786">
            <w:pPr>
              <w:pStyle w:val="5"/>
              <w:snapToGrid w:val="0"/>
              <w:spacing w:line="360" w:lineRule="atLeast"/>
              <w:rPr>
                <w:rFonts w:hAnsi="宋体" w:cs="宋体"/>
                <w:b/>
                <w:bCs/>
              </w:rPr>
            </w:pPr>
          </w:p>
        </w:tc>
      </w:tr>
    </w:tbl>
    <w:p w14:paraId="67A0D001">
      <w:pPr>
        <w:keepNext/>
        <w:keepLines/>
        <w:spacing w:before="260" w:after="260" w:line="416" w:lineRule="auto"/>
        <w:jc w:val="center"/>
        <w:outlineLvl w:val="1"/>
        <w:rPr>
          <w:rFonts w:hint="eastAsia" w:ascii="宋体" w:hAnsi="宋体" w:cs="宋体"/>
          <w:bCs/>
          <w:sz w:val="30"/>
          <w:szCs w:val="30"/>
        </w:rPr>
      </w:pPr>
      <w:r>
        <w:rPr>
          <w:rFonts w:hint="eastAsia" w:ascii="宋体" w:hAnsi="宋体" w:cs="宋体"/>
          <w:bCs/>
          <w:sz w:val="30"/>
          <w:szCs w:val="30"/>
        </w:rPr>
        <w:t>第三节 中标候选人推荐原则</w:t>
      </w:r>
    </w:p>
    <w:p w14:paraId="486B782A">
      <w:pPr>
        <w:spacing w:line="360" w:lineRule="auto"/>
        <w:ind w:firstLine="420" w:firstLineChars="200"/>
        <w:contextualSpacing/>
        <w:rPr>
          <w:rFonts w:ascii="宋体" w:hAnsi="宋体" w:cs="宋体"/>
          <w:szCs w:val="21"/>
        </w:rPr>
      </w:pPr>
      <w:r>
        <w:rPr>
          <w:rFonts w:ascii="宋体" w:hAnsi="宋体" w:cs="宋体"/>
          <w:szCs w:val="21"/>
        </w:rPr>
        <w:t>磋商将根据总得分由高到低排列次序并推荐三名成交候选人。总得分相同的，以竞标报价由低到高顺序排列。得分相同且竞标报价相同的并列，响应文件满足磋商文件全部实质性要求，且按照评审因素的量化指标评审得分最高的服务商为排名第一的成交候选人。</w:t>
      </w:r>
    </w:p>
    <w:p w14:paraId="048E5EE6">
      <w:pPr>
        <w:keepNext/>
        <w:keepLines/>
        <w:spacing w:before="260" w:after="260" w:line="416" w:lineRule="auto"/>
        <w:jc w:val="center"/>
        <w:outlineLvl w:val="1"/>
        <w:rPr>
          <w:rFonts w:hint="eastAsia" w:ascii="宋体" w:hAnsi="宋体" w:cs="宋体"/>
          <w:bCs/>
          <w:sz w:val="30"/>
          <w:szCs w:val="30"/>
        </w:rPr>
      </w:pPr>
      <w:bookmarkStart w:id="9" w:name="_Toc14157"/>
      <w:r>
        <w:rPr>
          <w:rFonts w:hint="eastAsia" w:ascii="宋体" w:hAnsi="宋体" w:cs="宋体"/>
          <w:bCs/>
          <w:sz w:val="30"/>
          <w:szCs w:val="30"/>
        </w:rPr>
        <w:t>第四节 评标报告</w:t>
      </w:r>
      <w:bookmarkEnd w:id="9"/>
    </w:p>
    <w:p w14:paraId="64C61BA7">
      <w:pPr>
        <w:tabs>
          <w:tab w:val="left" w:pos="2472"/>
        </w:tabs>
        <w:spacing w:line="360" w:lineRule="auto"/>
        <w:ind w:firstLine="420" w:firstLineChars="200"/>
        <w:rPr>
          <w:rFonts w:ascii="宋体" w:hAnsi="宋体" w:cs="宋体"/>
          <w:szCs w:val="21"/>
        </w:rPr>
      </w:pPr>
      <w:r>
        <w:rPr>
          <w:rFonts w:ascii="宋体" w:hAnsi="宋体" w:cs="宋体"/>
          <w:szCs w:val="21"/>
        </w:rPr>
        <w:t>磋商小组应根据原始评标记录和评标结果编写评标报告，并向采购人</w:t>
      </w:r>
      <w:r>
        <w:rPr>
          <w:rFonts w:hint="eastAsia" w:ascii="宋体" w:hAnsi="宋体" w:cs="宋体"/>
          <w:szCs w:val="21"/>
          <w:lang w:eastAsia="zh-CN"/>
        </w:rPr>
        <w:t>或</w:t>
      </w:r>
      <w:r>
        <w:rPr>
          <w:rFonts w:ascii="宋体" w:hAnsi="宋体" w:cs="宋体"/>
          <w:szCs w:val="21"/>
        </w:rPr>
        <w:t>采购代理机构提交。</w:t>
      </w:r>
    </w:p>
    <w:p w14:paraId="3A1E1C5E">
      <w:pPr>
        <w:pStyle w:val="14"/>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55C71"/>
    <w:multiLevelType w:val="singleLevel"/>
    <w:tmpl w:val="D6155C71"/>
    <w:lvl w:ilvl="0" w:tentative="0">
      <w:start w:val="2"/>
      <w:numFmt w:val="decimal"/>
      <w:suff w:val="space"/>
      <w:lvlText w:val="%1."/>
      <w:lvlJc w:val="left"/>
      <w:pPr>
        <w:ind w:left="360" w:leftChars="0" w:firstLine="0" w:firstLineChars="0"/>
      </w:pPr>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zZjY3ZmZmN2NlNWYxNzAzMmM3NjM5OGE2ZDY4ZWY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1121891"/>
    <w:rsid w:val="01124992"/>
    <w:rsid w:val="018303C8"/>
    <w:rsid w:val="01CB43E2"/>
    <w:rsid w:val="02615DF0"/>
    <w:rsid w:val="03B56736"/>
    <w:rsid w:val="03DD3374"/>
    <w:rsid w:val="04194CE4"/>
    <w:rsid w:val="048C0930"/>
    <w:rsid w:val="05F759DF"/>
    <w:rsid w:val="06031C54"/>
    <w:rsid w:val="0879051F"/>
    <w:rsid w:val="0A795D65"/>
    <w:rsid w:val="0C1464BD"/>
    <w:rsid w:val="0CC05EEA"/>
    <w:rsid w:val="0F9B606C"/>
    <w:rsid w:val="10C97A40"/>
    <w:rsid w:val="11F528ED"/>
    <w:rsid w:val="122B15C9"/>
    <w:rsid w:val="12C97D37"/>
    <w:rsid w:val="16EA1FB5"/>
    <w:rsid w:val="1C8925AF"/>
    <w:rsid w:val="1D2E3157"/>
    <w:rsid w:val="1F920200"/>
    <w:rsid w:val="20B238FC"/>
    <w:rsid w:val="21B710F4"/>
    <w:rsid w:val="22026C30"/>
    <w:rsid w:val="2218153E"/>
    <w:rsid w:val="22C31EBB"/>
    <w:rsid w:val="25406A9C"/>
    <w:rsid w:val="25773183"/>
    <w:rsid w:val="26431704"/>
    <w:rsid w:val="26CD4569"/>
    <w:rsid w:val="26CE7472"/>
    <w:rsid w:val="27895B59"/>
    <w:rsid w:val="27D01D3D"/>
    <w:rsid w:val="28110468"/>
    <w:rsid w:val="2BC2163A"/>
    <w:rsid w:val="2C5C1A8E"/>
    <w:rsid w:val="2E44559E"/>
    <w:rsid w:val="305B3E0B"/>
    <w:rsid w:val="311834AF"/>
    <w:rsid w:val="318469E5"/>
    <w:rsid w:val="3194337D"/>
    <w:rsid w:val="331A1D5C"/>
    <w:rsid w:val="3737378F"/>
    <w:rsid w:val="3806606D"/>
    <w:rsid w:val="38404012"/>
    <w:rsid w:val="397701BE"/>
    <w:rsid w:val="39886113"/>
    <w:rsid w:val="3AFE4375"/>
    <w:rsid w:val="3B107B2D"/>
    <w:rsid w:val="3B546CEC"/>
    <w:rsid w:val="3CF96E86"/>
    <w:rsid w:val="3DA9265A"/>
    <w:rsid w:val="3E641245"/>
    <w:rsid w:val="3F0A7128"/>
    <w:rsid w:val="3F8769CB"/>
    <w:rsid w:val="41366ED0"/>
    <w:rsid w:val="41B64A7D"/>
    <w:rsid w:val="43F60EB6"/>
    <w:rsid w:val="44052504"/>
    <w:rsid w:val="48D85C25"/>
    <w:rsid w:val="49EA2030"/>
    <w:rsid w:val="4A371B0B"/>
    <w:rsid w:val="4A995804"/>
    <w:rsid w:val="4C1C5576"/>
    <w:rsid w:val="4D442BFB"/>
    <w:rsid w:val="4D781BD4"/>
    <w:rsid w:val="4DA009DA"/>
    <w:rsid w:val="4DA97E72"/>
    <w:rsid w:val="4DAD1CF2"/>
    <w:rsid w:val="4DB9683E"/>
    <w:rsid w:val="4E1F24C4"/>
    <w:rsid w:val="50502E0F"/>
    <w:rsid w:val="589150FF"/>
    <w:rsid w:val="5BD02A67"/>
    <w:rsid w:val="5D1A4465"/>
    <w:rsid w:val="657E3CE9"/>
    <w:rsid w:val="65AB66C0"/>
    <w:rsid w:val="67EF0C5A"/>
    <w:rsid w:val="6A010FA4"/>
    <w:rsid w:val="6A513DD5"/>
    <w:rsid w:val="6B4F5D3F"/>
    <w:rsid w:val="6BF540D9"/>
    <w:rsid w:val="6BFF1513"/>
    <w:rsid w:val="6DD0797D"/>
    <w:rsid w:val="6E7D40B3"/>
    <w:rsid w:val="6EE654E5"/>
    <w:rsid w:val="6F567B23"/>
    <w:rsid w:val="6FF62C2D"/>
    <w:rsid w:val="71754026"/>
    <w:rsid w:val="73905147"/>
    <w:rsid w:val="747E1443"/>
    <w:rsid w:val="74B5471E"/>
    <w:rsid w:val="75A44ED9"/>
    <w:rsid w:val="77E41C8F"/>
    <w:rsid w:val="77FF632E"/>
    <w:rsid w:val="7B036868"/>
    <w:rsid w:val="7CA915F3"/>
    <w:rsid w:val="7FF71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Cambria" w:hAnsi="Cambria"/>
      <w:b/>
      <w:bCs/>
      <w:sz w:val="32"/>
      <w:szCs w:val="32"/>
    </w:rPr>
  </w:style>
  <w:style w:type="paragraph" w:styleId="2">
    <w:name w:val="heading 4"/>
    <w:basedOn w:val="1"/>
    <w:next w:val="1"/>
    <w:qFormat/>
    <w:uiPriority w:val="99"/>
    <w:pPr>
      <w:keepNext/>
      <w:keepLines/>
      <w:tabs>
        <w:tab w:val="left" w:pos="864"/>
      </w:tabs>
      <w:spacing w:before="280" w:after="290" w:line="376" w:lineRule="auto"/>
      <w:ind w:left="864" w:hanging="864"/>
      <w:outlineLvl w:val="3"/>
    </w:pPr>
    <w:rPr>
      <w:rFonts w:ascii="Arial" w:hAnsi="Arial" w:eastAsia="黑体"/>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qFormat/>
    <w:uiPriority w:val="99"/>
    <w:pPr>
      <w:jc w:val="left"/>
    </w:pPr>
  </w:style>
  <w:style w:type="paragraph" w:styleId="5">
    <w:name w:val="Plain Text"/>
    <w:basedOn w:val="1"/>
    <w:link w:val="18"/>
    <w:qFormat/>
    <w:uiPriority w:val="99"/>
    <w:rPr>
      <w:rFonts w:ascii="宋体" w:hAnsi="Courier New"/>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9">
    <w:name w:val="annotation subject"/>
    <w:basedOn w:val="4"/>
    <w:next w:val="4"/>
    <w:link w:val="17"/>
    <w:semiHidden/>
    <w:unhideWhenUsed/>
    <w:qFormat/>
    <w:uiPriority w:val="99"/>
    <w:rPr>
      <w:b/>
      <w:bCs/>
    </w:rPr>
  </w:style>
  <w:style w:type="table" w:styleId="11">
    <w:name w:val="Table Grid"/>
    <w:basedOn w:val="10"/>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semiHidden/>
    <w:qFormat/>
    <w:uiPriority w:val="99"/>
    <w:rPr>
      <w:sz w:val="21"/>
      <w:szCs w:val="21"/>
    </w:rPr>
  </w:style>
  <w:style w:type="paragraph" w:customStyle="1" w:styleId="14">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5">
    <w:name w:val="批注文字 字符"/>
    <w:basedOn w:val="12"/>
    <w:qFormat/>
    <w:uiPriority w:val="99"/>
    <w:rPr>
      <w:rFonts w:ascii="Times New Roman" w:hAnsi="Times New Roman" w:eastAsia="宋体" w:cs="Times New Roman"/>
      <w:szCs w:val="21"/>
    </w:rPr>
  </w:style>
  <w:style w:type="character" w:customStyle="1" w:styleId="16">
    <w:name w:val="批注文字 字符1"/>
    <w:link w:val="4"/>
    <w:semiHidden/>
    <w:qFormat/>
    <w:uiPriority w:val="99"/>
    <w:rPr>
      <w:rFonts w:ascii="Times New Roman" w:hAnsi="Times New Roman" w:eastAsia="宋体" w:cs="Times New Roman"/>
      <w:szCs w:val="21"/>
    </w:rPr>
  </w:style>
  <w:style w:type="character" w:customStyle="1" w:styleId="17">
    <w:name w:val="批注主题 字符"/>
    <w:basedOn w:val="16"/>
    <w:link w:val="9"/>
    <w:semiHidden/>
    <w:qFormat/>
    <w:uiPriority w:val="99"/>
    <w:rPr>
      <w:rFonts w:ascii="Times New Roman" w:hAnsi="Times New Roman" w:eastAsia="宋体" w:cs="Times New Roman"/>
      <w:b/>
      <w:bCs/>
      <w:szCs w:val="21"/>
    </w:rPr>
  </w:style>
  <w:style w:type="character" w:customStyle="1" w:styleId="18">
    <w:name w:val="纯文本 字符"/>
    <w:basedOn w:val="12"/>
    <w:link w:val="5"/>
    <w:qFormat/>
    <w:uiPriority w:val="99"/>
    <w:rPr>
      <w:rFonts w:ascii="宋体" w:hAnsi="Courier New" w:eastAsia="宋体" w:cs="Times New Roman"/>
      <w:szCs w:val="21"/>
    </w:rPr>
  </w:style>
  <w:style w:type="paragraph" w:customStyle="1" w:styleId="19">
    <w:name w:val="表格文字"/>
    <w:basedOn w:val="1"/>
    <w:qFormat/>
    <w:uiPriority w:val="0"/>
    <w:pPr>
      <w:spacing w:before="25" w:after="25"/>
      <w:jc w:val="left"/>
    </w:pPr>
    <w:rPr>
      <w:rFonts w:ascii="Calibri" w:hAnsi="Calibri"/>
      <w:bCs/>
      <w:spacing w:val="10"/>
      <w:kern w:val="0"/>
      <w:sz w:val="24"/>
      <w:szCs w:val="20"/>
    </w:rPr>
  </w:style>
  <w:style w:type="character" w:customStyle="1" w:styleId="20">
    <w:name w:val="fontstyle01"/>
    <w:qFormat/>
    <w:uiPriority w:val="0"/>
    <w:rPr>
      <w:rFonts w:hint="eastAsia" w:ascii="宋体" w:hAnsi="宋体" w:eastAsia="宋体"/>
      <w:color w:val="000000"/>
      <w:sz w:val="24"/>
      <w:szCs w:val="24"/>
    </w:rPr>
  </w:style>
  <w:style w:type="character" w:customStyle="1" w:styleId="21">
    <w:name w:val="页眉 字符"/>
    <w:basedOn w:val="12"/>
    <w:link w:val="7"/>
    <w:qFormat/>
    <w:uiPriority w:val="99"/>
    <w:rPr>
      <w:rFonts w:ascii="Times New Roman" w:hAnsi="Times New Roman" w:eastAsia="宋体" w:cs="Times New Roman"/>
      <w:sz w:val="18"/>
      <w:szCs w:val="18"/>
    </w:rPr>
  </w:style>
  <w:style w:type="character" w:customStyle="1" w:styleId="22">
    <w:name w:val="页脚 字符"/>
    <w:basedOn w:val="12"/>
    <w:link w:val="6"/>
    <w:qFormat/>
    <w:uiPriority w:val="99"/>
    <w:rPr>
      <w:rFonts w:ascii="Times New Roman" w:hAnsi="Times New Roman" w:eastAsia="宋体" w:cs="Times New Roman"/>
      <w:sz w:val="18"/>
      <w:szCs w:val="18"/>
    </w:rPr>
  </w:style>
  <w:style w:type="character" w:styleId="23">
    <w:name w:val="Placeholder Text"/>
    <w:basedOn w:val="12"/>
    <w:semiHidden/>
    <w:qFormat/>
    <w:uiPriority w:val="99"/>
    <w:rPr>
      <w:color w:val="808080"/>
    </w:rPr>
  </w:style>
  <w:style w:type="paragraph" w:customStyle="1" w:styleId="24">
    <w:name w:val="样式1"/>
    <w:basedOn w:val="1"/>
    <w:qFormat/>
    <w:uiPriority w:val="0"/>
  </w:style>
  <w:style w:type="paragraph" w:customStyle="1" w:styleId="25">
    <w:name w:val="样式 10 磅"/>
    <w:qFormat/>
    <w:uiPriority w:val="0"/>
    <w:pPr>
      <w:widowControl w:val="0"/>
      <w:jc w:val="both"/>
    </w:pPr>
    <w:rPr>
      <w:rFonts w:ascii="等线" w:hAnsi="Times New Roman" w:eastAsia="等线" w:cs="Arial"/>
      <w:kern w:val="2"/>
      <w:sz w:val="21"/>
      <w:szCs w:val="22"/>
      <w:lang w:val="en-US" w:eastAsia="zh-CN" w:bidi="ar-SA"/>
    </w:rPr>
  </w:style>
  <w:style w:type="paragraph" w:customStyle="1" w:styleId="26">
    <w:name w:val="Other|1"/>
    <w:basedOn w:val="1"/>
    <w:qFormat/>
    <w:uiPriority w:val="0"/>
    <w:pPr>
      <w:spacing w:line="427" w:lineRule="auto"/>
      <w:ind w:firstLine="400"/>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0A9E3738">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12</Pages>
  <Words>9416</Words>
  <Characters>9829</Characters>
  <Lines>26</Lines>
  <Paragraphs>7</Paragraphs>
  <TotalTime>24</TotalTime>
  <ScaleCrop>false</ScaleCrop>
  <LinksUpToDate>false</LinksUpToDate>
  <CharactersWithSpaces>9980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chance</cp:lastModifiedBy>
  <cp:lastPrinted>2021-01-18T07:59:00Z</cp:lastPrinted>
  <dcterms:modified xsi:type="dcterms:W3CDTF">2025-01-24T02:59:05Z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BC6B623858AD4EF6B8932C9852D63447</vt:lpwstr>
  </property>
  <property fmtid="{D5CDD505-2E9C-101B-9397-08002B2CF9AE}" pid="4" name="KSOTemplateDocerSaveRecord">
    <vt:lpwstr>eyJoZGlkIjoiMWEyYmY4MjA0MzAxNjIyZGNjMDk1MmY5N2E0MzMwOWEiLCJ1c2VySWQiOiI1OTI0NDY0NDUifQ==</vt:lpwstr>
  </property>
</Properties>
</file>