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747D6">
      <w:pPr>
        <w:widowControl/>
        <w:jc w:val="center"/>
        <w:rPr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38"/>
          <w:szCs w:val="38"/>
        </w:rPr>
        <w:t>第三章</w:t>
      </w:r>
      <w:r>
        <w:rPr>
          <w:rFonts w:cs="宋体"/>
          <w:b/>
          <w:bCs/>
          <w:kern w:val="0"/>
          <w:sz w:val="38"/>
          <w:szCs w:val="38"/>
        </w:rPr>
        <w:t xml:space="preserve">  </w:t>
      </w:r>
      <w:r>
        <w:rPr>
          <w:rFonts w:hint="eastAsia" w:cs="宋体"/>
          <w:b/>
          <w:bCs/>
          <w:kern w:val="0"/>
          <w:sz w:val="38"/>
          <w:szCs w:val="38"/>
        </w:rPr>
        <w:t>项目需求和质量标准</w:t>
      </w:r>
    </w:p>
    <w:p w14:paraId="27A7F75B">
      <w:pPr>
        <w:pStyle w:val="2"/>
        <w:ind w:left="-708" w:leftChars="-337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一、采购清单、技术规格参数、质量标准和要求</w:t>
      </w:r>
    </w:p>
    <w:p w14:paraId="34A3B30C">
      <w:pPr>
        <w:pStyle w:val="2"/>
        <w:ind w:left="-708" w:leftChars="-337"/>
        <w:rPr>
          <w:b/>
          <w:bCs/>
        </w:rPr>
      </w:pPr>
      <w:r>
        <w:rPr>
          <w:rFonts w:hint="eastAsia"/>
          <w:b/>
          <w:bCs/>
        </w:rPr>
        <w:t>（一）采购清单</w:t>
      </w:r>
    </w:p>
    <w:tbl>
      <w:tblPr>
        <w:tblStyle w:val="12"/>
        <w:tblW w:w="10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56"/>
        <w:gridCol w:w="8002"/>
      </w:tblGrid>
      <w:tr w14:paraId="0746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231" w:type="dxa"/>
            <w:gridSpan w:val="3"/>
            <w:vAlign w:val="center"/>
          </w:tcPr>
          <w:p w14:paraId="0D11FFD2">
            <w:pPr>
              <w:widowControl/>
              <w:wordWrap w:val="0"/>
              <w:snapToGrid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一、项目要求及技术需求</w:t>
            </w:r>
          </w:p>
        </w:tc>
      </w:tr>
      <w:tr w14:paraId="059F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73" w:type="dxa"/>
            <w:vAlign w:val="center"/>
          </w:tcPr>
          <w:p w14:paraId="748DA284">
            <w:pPr>
              <w:wordWrap w:val="0"/>
              <w:snapToGrid w:val="0"/>
              <w:jc w:val="center"/>
              <w:rPr>
                <w:rFonts w:ascii="宋体" w:hAnsi="宋体" w:cs="Courier New"/>
                <w:b/>
                <w:bCs/>
              </w:rPr>
            </w:pPr>
            <w:r>
              <w:rPr>
                <w:rFonts w:hint="eastAsia" w:ascii="宋体" w:hAnsi="宋体" w:cs="Courier New"/>
                <w:b/>
                <w:bCs/>
              </w:rPr>
              <w:t>服务</w:t>
            </w:r>
            <w:r>
              <w:rPr>
                <w:rFonts w:ascii="宋体" w:hAnsi="宋体" w:cs="Courier New"/>
                <w:b/>
                <w:bCs/>
              </w:rPr>
              <w:t>名称</w:t>
            </w:r>
          </w:p>
        </w:tc>
        <w:tc>
          <w:tcPr>
            <w:tcW w:w="756" w:type="dxa"/>
            <w:vAlign w:val="center"/>
          </w:tcPr>
          <w:p w14:paraId="26CD3969">
            <w:pPr>
              <w:widowControl/>
              <w:wordWrap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8002" w:type="dxa"/>
            <w:vAlign w:val="center"/>
          </w:tcPr>
          <w:p w14:paraId="52E6046D">
            <w:pPr>
              <w:widowControl/>
              <w:wordWrap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项目需求</w:t>
            </w:r>
          </w:p>
        </w:tc>
      </w:tr>
      <w:tr w14:paraId="2603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3" w:type="dxa"/>
            <w:vAlign w:val="center"/>
          </w:tcPr>
          <w:p w14:paraId="305BA2F8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资产清查、财务报告审计、经济鉴证审计服务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5B37">
            <w:pPr>
              <w:wordWrap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2项</w:t>
            </w:r>
          </w:p>
        </w:tc>
        <w:tc>
          <w:tcPr>
            <w:tcW w:w="8002" w:type="dxa"/>
            <w:vAlign w:val="center"/>
          </w:tcPr>
          <w:p w14:paraId="7CFA20AE">
            <w:pPr>
              <w:pStyle w:val="28"/>
              <w:numPr>
                <w:ilvl w:val="0"/>
                <w:numId w:val="1"/>
              </w:numPr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服务</w:t>
            </w: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内容</w:t>
            </w:r>
          </w:p>
          <w:p w14:paraId="32972D6B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1.依据资产清查相关政策和财务会计制度，对全院三个院区所有科室进行全面的固定资产、无形资产清查，对资产清查工作中发现的各项资产盘盈、盘亏等问题，进行分类整理并出具鉴证意见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/>
              </w:rPr>
              <w:t>及资产清查报告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；</w:t>
            </w:r>
          </w:p>
          <w:p w14:paraId="61B0A7EE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2.拍照扫描固定资产记账凭证、发票等，建立资产档案；</w:t>
            </w:r>
          </w:p>
          <w:p w14:paraId="332765DA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3.补贴固定资产标签；</w:t>
            </w:r>
          </w:p>
          <w:p w14:paraId="3C7818AA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4.调整用友固定资产明细账与预算一体化系统明细账，两者要一致，最终实现各类账簿、卡片、实物之间的对应关系，达到账实相符。</w:t>
            </w:r>
          </w:p>
          <w:p w14:paraId="3D8DF435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  <w:p w14:paraId="614E454C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工作</w:t>
            </w: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要求</w:t>
            </w:r>
          </w:p>
          <w:p w14:paraId="2657009A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1.制定工作方案及质量保证措施。严格按照检查方案要求开展检查工作，为期2个月。并在约定的时间内完成方案确定的审计任务，不得缺项或自行调整检查任务；</w:t>
            </w:r>
          </w:p>
          <w:p w14:paraId="731A8940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2.编制工作底稿。要求事实清楚，数据准确，结论明确，并附有充分、可靠、相关的证明材料，实行复核制度和医院相关人员签字确认制度；</w:t>
            </w:r>
          </w:p>
          <w:p w14:paraId="4CC28D0F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3.加强沟通和协调。拟投入工作人员之间、中标人和采购人之间要加强沟通与协作，提高工作效率；要及时反映在工作中发现的重要信息和成果，如实反映揭示发现的问题，不轻易放弃有证据作支持的事项，发现重大问题应形成专报汇报医院。</w:t>
            </w:r>
          </w:p>
          <w:p w14:paraId="24E11DB8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服务要求</w:t>
            </w:r>
          </w:p>
          <w:p w14:paraId="24138955">
            <w:pPr>
              <w:ind w:firstLine="420"/>
              <w:rPr>
                <w:rFonts w:ascii="宋体" w:hAnsi="宋体"/>
                <w:b/>
                <w:lang w:val="zh-CN"/>
              </w:rPr>
            </w:pPr>
            <w:r>
              <w:rPr>
                <w:rFonts w:hint="eastAsia" w:ascii="宋体" w:hAnsi="宋体"/>
                <w:b/>
                <w:lang w:val="zh-CN"/>
              </w:rPr>
              <w:t>（一）人员配备</w:t>
            </w:r>
          </w:p>
          <w:p w14:paraId="09518F8B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能够按照承诺，派出结构合理、数量适当、人员稳定专业人员；派出的人员人数不少于5人；派出人员中注册会计师不得少于1人，造价工程师1人，中级以上职称人员不得少于2人（不含注会），且派驻注册会计师及其他相关人员，必须是在职工作人员；</w:t>
            </w:r>
          </w:p>
          <w:p w14:paraId="0232E7D5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拟投入工作人员与检查项目或检查对象无利害关系，派出人员在合同期内原则上不得更换，如需更换，须经采购人同意；</w:t>
            </w:r>
          </w:p>
          <w:p w14:paraId="1D2C75A6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投标人必须提供拟投入人员专业技能或资格证书复印件，原件备查。</w:t>
            </w:r>
          </w:p>
          <w:p w14:paraId="20112B4C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（二）事务所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应</w:t>
            </w: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具备的条件</w:t>
            </w:r>
          </w:p>
          <w:p w14:paraId="4EDF711A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依法设立，具有财政部门颁发有效的会计师事务所执业证书，经营范围须包含注册会计师业务、工程管理、工程造价等服务。</w:t>
            </w:r>
          </w:p>
          <w:p w14:paraId="062A267F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无违法、违规记录，无违法、违规记录；未被“信用中国”网站列入“失信被执行人”、“重大税收违法案件当事人名单”和“企业经营异常名录”。</w:t>
            </w:r>
          </w:p>
          <w:p w14:paraId="352D5E44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应具有的业绩要求：近3年（自 2022年1月1日至递交报价材料截止日止，以合同签订时间为准）应至少具有 3 项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/>
              </w:rPr>
              <w:t>行政事业单位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资产清查项目等同类业绩，相关业绩需提供合同复印件，原件备查。</w:t>
            </w:r>
          </w:p>
          <w:p w14:paraId="1FC40EDD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有固定经营场所及人员。</w:t>
            </w:r>
            <w:bookmarkStart w:id="0" w:name="_GoBack"/>
            <w:bookmarkEnd w:id="0"/>
          </w:p>
          <w:p w14:paraId="0DC9FB6E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不接受联合体报价。</w:t>
            </w:r>
          </w:p>
          <w:p w14:paraId="6818A06D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/>
                <w:b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接到采购人处理问题通知后2小时内到达采购人指定现场。</w:t>
            </w:r>
          </w:p>
        </w:tc>
      </w:tr>
    </w:tbl>
    <w:p w14:paraId="7A982E46">
      <w:pPr>
        <w:pStyle w:val="2"/>
        <w:ind w:left="-708" w:leftChars="-337"/>
        <w:rPr>
          <w:b/>
          <w:bCs/>
        </w:rPr>
      </w:pPr>
      <w:r>
        <w:rPr>
          <w:rFonts w:hint="eastAsia"/>
          <w:b/>
          <w:bCs/>
        </w:rPr>
        <w:t xml:space="preserve">     </w:t>
      </w:r>
    </w:p>
    <w:p w14:paraId="243C9D26">
      <w:pPr>
        <w:pStyle w:val="2"/>
        <w:ind w:left="-708" w:leftChars="-337"/>
        <w:rPr>
          <w:b/>
          <w:bCs/>
        </w:rPr>
      </w:pPr>
    </w:p>
    <w:p w14:paraId="5FF3094A">
      <w:pPr>
        <w:pStyle w:val="16"/>
        <w:rPr>
          <w:b/>
          <w:bCs/>
          <w:sz w:val="32"/>
          <w:szCs w:val="32"/>
        </w:rPr>
      </w:pPr>
    </w:p>
    <w:p w14:paraId="21D089E0">
      <w:pPr>
        <w:pStyle w:val="2"/>
        <w:ind w:left="-708" w:leftChars="-337"/>
      </w:pPr>
    </w:p>
    <w:p w14:paraId="589976D6">
      <w:pPr>
        <w:widowControl/>
        <w:spacing w:line="360" w:lineRule="auto"/>
        <w:jc w:val="left"/>
        <w:rPr>
          <w:rFonts w:cs="宋体"/>
          <w:b/>
          <w:bCs/>
          <w:color w:val="000000"/>
          <w:kern w:val="0"/>
          <w:sz w:val="24"/>
          <w:szCs w:val="24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</w:rPr>
        <w:t>（二）项目产品基本要求</w:t>
      </w:r>
    </w:p>
    <w:p w14:paraId="414F64A6">
      <w:pPr>
        <w:pStyle w:val="5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通过对实物资产、无形资产盘点，确保账实相符。现场服务的工作人员须严格遵守执业操守，严肃财经纪律，不得将服务内容及相关信息泄露他人，做好保密工作，同时配合院方相关管理要求，做好安全卫生防护工作。内容包括但不限于：</w:t>
      </w:r>
    </w:p>
    <w:p w14:paraId="52E0D08C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（1）对医院资产的前期准备、现场调查；</w:t>
      </w:r>
    </w:p>
    <w:p w14:paraId="1E4344F8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（2）对固定资产和无形资产等国有资产进行清查；</w:t>
      </w:r>
    </w:p>
    <w:p w14:paraId="1ADC2E32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（3）编制和提交正式审计报告。</w:t>
      </w:r>
    </w:p>
    <w:p w14:paraId="4D9DB66D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（4）拍照扫描固定资产记账凭证、发票等，建立资产档案</w:t>
      </w:r>
    </w:p>
    <w:p w14:paraId="076E900B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（4）补贴固定资产标签</w:t>
      </w:r>
    </w:p>
    <w:p w14:paraId="4E30F9A7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（5）调整用友固定资产明细账与预算一体化系统明细账，两者要一致，最终实现各类账簿、卡片、实物之间的对应关系，达到账实相符。</w:t>
      </w:r>
    </w:p>
    <w:p w14:paraId="33D738CF">
      <w:pPr>
        <w:pStyle w:val="2"/>
        <w:jc w:val="both"/>
        <w:rPr>
          <w:rFonts w:cs="宋体"/>
          <w:b/>
          <w:bCs/>
        </w:rPr>
      </w:pPr>
      <w:r>
        <w:rPr>
          <w:rFonts w:hint="eastAsia" w:cs="宋体"/>
          <w:b/>
          <w:bCs/>
        </w:rPr>
        <w:t>（三）商务要求</w:t>
      </w:r>
    </w:p>
    <w:p w14:paraId="55A3EE60">
      <w:pPr>
        <w:pStyle w:val="2"/>
        <w:ind w:left="-708" w:leftChars="-337" w:firstLine="482" w:firstLineChars="200"/>
        <w:rPr>
          <w:rFonts w:cs="宋体"/>
        </w:rPr>
      </w:pPr>
      <w:r>
        <w:rPr>
          <w:rFonts w:hint="eastAsia"/>
          <w:b/>
          <w:bCs/>
        </w:rPr>
        <w:t>付款条件（进度和方式）：</w:t>
      </w:r>
      <w:r>
        <w:rPr>
          <w:rFonts w:hint="eastAsia" w:ascii="宋体" w:hAnsi="宋体" w:cs="宋体"/>
          <w:szCs w:val="21"/>
        </w:rPr>
        <w:t>本项目无预付款，供应商所提交的服务经采购人书面验收合格后，一次性支付合同款。</w:t>
      </w:r>
    </w:p>
    <w:p w14:paraId="410A604C">
      <w:pPr>
        <w:widowControl/>
        <w:spacing w:line="360" w:lineRule="auto"/>
        <w:ind w:left="-708" w:leftChars="-338" w:hanging="2"/>
        <w:jc w:val="left"/>
        <w:rPr>
          <w:rFonts w:cs="宋体"/>
          <w:b/>
          <w:bCs/>
          <w:kern w:val="0"/>
          <w:sz w:val="28"/>
          <w:szCs w:val="28"/>
        </w:rPr>
      </w:pPr>
      <w:r>
        <w:rPr>
          <w:b/>
          <w:bCs/>
          <w:kern w:val="0"/>
          <w:sz w:val="24"/>
          <w:szCs w:val="24"/>
        </w:rPr>
        <w:t> </w:t>
      </w:r>
      <w:r>
        <w:rPr>
          <w:rFonts w:hint="eastAsia"/>
          <w:b/>
          <w:bCs/>
          <w:kern w:val="0"/>
          <w:sz w:val="28"/>
          <w:szCs w:val="28"/>
        </w:rPr>
        <w:t>二</w:t>
      </w:r>
      <w:r>
        <w:rPr>
          <w:rFonts w:hint="eastAsia" w:cs="宋体"/>
          <w:b/>
          <w:bCs/>
          <w:kern w:val="0"/>
          <w:sz w:val="28"/>
          <w:szCs w:val="28"/>
        </w:rPr>
        <w:t>、合同签订</w:t>
      </w:r>
    </w:p>
    <w:p w14:paraId="34033CA2">
      <w:pPr>
        <w:widowControl/>
        <w:spacing w:line="360" w:lineRule="auto"/>
        <w:ind w:left="-708" w:leftChars="-338" w:hanging="2"/>
        <w:jc w:val="left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招标人和中标人应当自公示结束后</w:t>
      </w:r>
      <w:sdt>
        <w:sdtPr>
          <w:rPr>
            <w:rFonts w:hint="eastAsia" w:cs="宋体"/>
            <w:kern w:val="0"/>
            <w:sz w:val="24"/>
            <w:szCs w:val="24"/>
          </w:rPr>
          <w:alias w:val="无特殊情况不建议修改"/>
          <w:tag w:val="无特殊情况不建议修改"/>
          <w:id w:val="-183904816"/>
          <w:placeholder>
            <w:docPart w:val="DefaultPlaceholder_-1854013440"/>
          </w:placeholder>
        </w:sdtPr>
        <w:sdtEndPr>
          <w:rPr>
            <w:rFonts w:hint="eastAsia" w:cs="宋体"/>
            <w:color w:val="FF0000"/>
            <w:kern w:val="0"/>
            <w:sz w:val="24"/>
            <w:szCs w:val="24"/>
            <w:u w:val="single"/>
          </w:rPr>
        </w:sdtEndPr>
        <w:sdtContent>
          <w:r>
            <w:rPr>
              <w:rFonts w:hint="eastAsia" w:cs="宋体"/>
              <w:color w:val="FF0000"/>
              <w:kern w:val="0"/>
              <w:sz w:val="24"/>
              <w:szCs w:val="24"/>
              <w:u w:val="single"/>
            </w:rPr>
            <w:t>5</w:t>
          </w:r>
        </w:sdtContent>
      </w:sdt>
      <w:r>
        <w:rPr>
          <w:rFonts w:hint="eastAsia" w:cs="宋体"/>
          <w:kern w:val="0"/>
          <w:sz w:val="24"/>
          <w:szCs w:val="24"/>
        </w:rPr>
        <w:t>日内签订采购合同。</w:t>
      </w:r>
    </w:p>
    <w:p w14:paraId="4B8F06F1">
      <w:pPr>
        <w:widowControl/>
        <w:spacing w:line="360" w:lineRule="auto"/>
        <w:ind w:left="-708" w:leftChars="-338" w:hanging="2"/>
        <w:jc w:val="left"/>
        <w:rPr>
          <w:rFonts w:hint="eastAsia" w:cs="宋体"/>
          <w:b/>
          <w:bCs/>
          <w:kern w:val="0"/>
          <w:sz w:val="28"/>
          <w:szCs w:val="28"/>
        </w:rPr>
      </w:pPr>
      <w:r>
        <w:rPr>
          <w:kern w:val="0"/>
          <w:sz w:val="24"/>
          <w:szCs w:val="24"/>
        </w:rPr>
        <w:t> </w:t>
      </w:r>
      <w:r>
        <w:rPr>
          <w:rFonts w:hint="eastAsia"/>
          <w:b/>
          <w:bCs/>
          <w:kern w:val="0"/>
          <w:sz w:val="28"/>
          <w:szCs w:val="28"/>
        </w:rPr>
        <w:t>三</w:t>
      </w:r>
      <w:r>
        <w:rPr>
          <w:rFonts w:hint="eastAsia" w:cs="宋体"/>
          <w:b/>
          <w:bCs/>
          <w:kern w:val="0"/>
          <w:sz w:val="28"/>
          <w:szCs w:val="28"/>
        </w:rPr>
        <w:t>、其他</w:t>
      </w:r>
    </w:p>
    <w:p w14:paraId="47C42126">
      <w:pPr>
        <w:pStyle w:val="2"/>
      </w:pPr>
    </w:p>
    <w:p w14:paraId="69F53565">
      <w:pPr>
        <w:pStyle w:val="2"/>
      </w:pPr>
    </w:p>
    <w:p w14:paraId="3C0A393D">
      <w:pPr>
        <w:pStyle w:val="2"/>
      </w:pPr>
    </w:p>
    <w:p w14:paraId="29C1AC7E">
      <w:pPr>
        <w:pStyle w:val="2"/>
      </w:pPr>
    </w:p>
    <w:p w14:paraId="3719ABC5">
      <w:pPr>
        <w:pStyle w:val="2"/>
      </w:pPr>
    </w:p>
    <w:p w14:paraId="395E8FB1">
      <w:pPr>
        <w:pStyle w:val="2"/>
      </w:pPr>
    </w:p>
    <w:p w14:paraId="470C446F">
      <w:pPr>
        <w:pStyle w:val="2"/>
      </w:pPr>
    </w:p>
    <w:p w14:paraId="021C8950">
      <w:pPr>
        <w:pStyle w:val="2"/>
      </w:pPr>
    </w:p>
    <w:p w14:paraId="30F44B6D">
      <w:pPr>
        <w:pStyle w:val="2"/>
      </w:pPr>
    </w:p>
    <w:p w14:paraId="37CB6DE4">
      <w:pPr>
        <w:pStyle w:val="2"/>
      </w:pPr>
    </w:p>
    <w:p w14:paraId="67ED0DB4">
      <w:pPr>
        <w:pStyle w:val="2"/>
      </w:pPr>
    </w:p>
    <w:p w14:paraId="49A8A3E1">
      <w:pPr>
        <w:pStyle w:val="2"/>
      </w:pPr>
    </w:p>
    <w:p w14:paraId="0710ADC5">
      <w:pPr>
        <w:pStyle w:val="2"/>
      </w:pPr>
    </w:p>
    <w:p w14:paraId="4085AC5D">
      <w:pPr>
        <w:pStyle w:val="2"/>
      </w:pPr>
    </w:p>
    <w:p w14:paraId="52B16768">
      <w:pPr>
        <w:pStyle w:val="2"/>
      </w:pPr>
    </w:p>
    <w:p w14:paraId="03692F13">
      <w:pPr>
        <w:pStyle w:val="2"/>
      </w:pPr>
    </w:p>
    <w:p w14:paraId="1AB0A3DB">
      <w:pPr>
        <w:pStyle w:val="2"/>
      </w:pPr>
    </w:p>
    <w:p w14:paraId="3833D5C8">
      <w:pPr>
        <w:pStyle w:val="2"/>
      </w:pPr>
    </w:p>
    <w:p w14:paraId="02665248">
      <w:pPr>
        <w:pStyle w:val="2"/>
      </w:pPr>
    </w:p>
    <w:p w14:paraId="102C865C">
      <w:pPr>
        <w:pStyle w:val="2"/>
      </w:pPr>
    </w:p>
    <w:p w14:paraId="15AF63BC">
      <w:pPr>
        <w:pStyle w:val="2"/>
      </w:pPr>
    </w:p>
    <w:p w14:paraId="5C176C44">
      <w:pPr>
        <w:widowControl/>
        <w:jc w:val="center"/>
        <w:rPr>
          <w:b/>
          <w:bCs/>
          <w:kern w:val="0"/>
        </w:rPr>
      </w:pPr>
      <w:r>
        <w:rPr>
          <w:rFonts w:hint="eastAsia" w:cs="宋体"/>
          <w:b/>
          <w:bCs/>
          <w:kern w:val="0"/>
          <w:sz w:val="38"/>
          <w:szCs w:val="38"/>
        </w:rPr>
        <w:t>第四章</w:t>
      </w:r>
      <w:r>
        <w:rPr>
          <w:rFonts w:cs="宋体"/>
          <w:b/>
          <w:bCs/>
          <w:kern w:val="0"/>
          <w:sz w:val="38"/>
          <w:szCs w:val="38"/>
        </w:rPr>
        <w:t xml:space="preserve">  </w:t>
      </w:r>
      <w:r>
        <w:rPr>
          <w:rFonts w:hint="eastAsia" w:cs="宋体"/>
          <w:b/>
          <w:bCs/>
          <w:kern w:val="0"/>
          <w:sz w:val="38"/>
          <w:szCs w:val="38"/>
        </w:rPr>
        <w:t>评标方法与评分标准</w:t>
      </w:r>
    </w:p>
    <w:p w14:paraId="5333E01B">
      <w:pPr>
        <w:widowControl/>
        <w:spacing w:line="360" w:lineRule="auto"/>
        <w:ind w:firstLine="562" w:firstLineChars="200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一、评标方法及成交标准</w:t>
      </w:r>
    </w:p>
    <w:p w14:paraId="1442FC64">
      <w:pPr>
        <w:pStyle w:val="2"/>
        <w:ind w:left="-708" w:leftChars="-337" w:firstLine="720" w:firstLineChars="300"/>
      </w:pPr>
      <w:r>
        <w:rPr>
          <w:rFonts w:hint="eastAsia"/>
        </w:rPr>
        <w:t>1.评审原则</w:t>
      </w:r>
    </w:p>
    <w:p w14:paraId="3669AFC2">
      <w:pPr>
        <w:pStyle w:val="2"/>
        <w:ind w:left="-708" w:leftChars="-337" w:firstLine="480" w:firstLineChars="200"/>
      </w:pPr>
      <w:r>
        <w:rPr>
          <w:rFonts w:hint="eastAsia"/>
        </w:rPr>
        <w:t>（1）评审小组构成：本项目的评审小组由采购人单位采购小组成员组成，成员人数应当为三人以上（含三人）单数。</w:t>
      </w:r>
    </w:p>
    <w:p w14:paraId="3EF7B76F">
      <w:pPr>
        <w:pStyle w:val="2"/>
        <w:ind w:left="-708" w:leftChars="-337" w:firstLine="480" w:firstLineChars="200"/>
      </w:pPr>
      <w:r>
        <w:rPr>
          <w:rFonts w:hint="eastAsia"/>
        </w:rPr>
        <w:t>（2）评审依据：评审小组将以采购文件和响应文件为评定依据进行评审。</w:t>
      </w:r>
    </w:p>
    <w:p w14:paraId="20A03977">
      <w:pPr>
        <w:pStyle w:val="2"/>
        <w:ind w:left="-708" w:leftChars="-337" w:firstLine="480" w:firstLineChars="200"/>
      </w:pPr>
      <w:r>
        <w:rPr>
          <w:rFonts w:hint="eastAsia"/>
        </w:rPr>
        <w:t>（3）评审办法：采用</w:t>
      </w:r>
      <w:r>
        <w:rPr>
          <w:rFonts w:hint="eastAsia"/>
          <w:b/>
          <w:bCs/>
          <w:u w:val="single"/>
        </w:rPr>
        <w:t>百分制综合评分法</w:t>
      </w:r>
      <w:r>
        <w:rPr>
          <w:rFonts w:hint="eastAsia"/>
        </w:rPr>
        <w:t>。</w:t>
      </w:r>
    </w:p>
    <w:p w14:paraId="4B05D63C">
      <w:pPr>
        <w:pStyle w:val="2"/>
        <w:ind w:left="-708" w:leftChars="-337" w:firstLine="720" w:firstLineChars="300"/>
      </w:pPr>
      <w:r>
        <w:rPr>
          <w:rFonts w:hint="eastAsia"/>
        </w:rPr>
        <w:t>2.评审方法</w:t>
      </w:r>
    </w:p>
    <w:p w14:paraId="2AE031E7">
      <w:pPr>
        <w:pStyle w:val="2"/>
        <w:ind w:left="-708" w:leftChars="-337" w:firstLine="480" w:firstLineChars="200"/>
      </w:pPr>
      <w:r>
        <w:rPr>
          <w:rFonts w:hint="eastAsia"/>
        </w:rPr>
        <w:t>评审小组会对供应商的响应文件资格性和符合性进行检查，对合格的响应文件，采用百分制综合评分法进行评审。</w:t>
      </w:r>
    </w:p>
    <w:p w14:paraId="0D815F62">
      <w:pPr>
        <w:pStyle w:val="2"/>
        <w:ind w:left="-708" w:leftChars="-337" w:firstLine="480" w:firstLineChars="200"/>
      </w:pPr>
      <w:r>
        <w:rPr>
          <w:rFonts w:hint="eastAsia"/>
        </w:rPr>
        <w:t>评审小组将以采购文件、响应文件为评审依据，提出最后总得分最高的供应商作为成交人。</w:t>
      </w:r>
    </w:p>
    <w:p w14:paraId="1BDA1E4B">
      <w:pPr>
        <w:pStyle w:val="2"/>
        <w:ind w:left="-708" w:leftChars="-337" w:firstLine="720" w:firstLineChars="300"/>
      </w:pPr>
      <w:r>
        <w:rPr>
          <w:rFonts w:hint="eastAsia"/>
        </w:rPr>
        <w:t>3.评分细则（按四舍五入取至百分位）</w:t>
      </w:r>
    </w:p>
    <w:p w14:paraId="398D9876">
      <w:pPr>
        <w:pStyle w:val="2"/>
        <w:ind w:left="-708" w:leftChars="-337" w:firstLine="480" w:firstLineChars="200"/>
      </w:pPr>
    </w:p>
    <w:p w14:paraId="695C55E7">
      <w:pPr>
        <w:widowControl/>
        <w:numPr>
          <w:ilvl w:val="0"/>
          <w:numId w:val="1"/>
        </w:numPr>
        <w:spacing w:line="360" w:lineRule="auto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评分标准</w:t>
      </w:r>
    </w:p>
    <w:p w14:paraId="45EDD2CA">
      <w:pPr>
        <w:widowControl/>
        <w:spacing w:line="360" w:lineRule="auto"/>
        <w:ind w:firstLine="482" w:firstLineChars="200"/>
        <w:jc w:val="left"/>
        <w:rPr>
          <w:rFonts w:cs="宋体"/>
          <w:b/>
          <w:bCs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24"/>
          <w:szCs w:val="24"/>
        </w:rPr>
        <w:t>本项目评分总分值为</w:t>
      </w:r>
      <w:r>
        <w:rPr>
          <w:b/>
          <w:bCs/>
          <w:kern w:val="0"/>
          <w:sz w:val="24"/>
          <w:szCs w:val="24"/>
        </w:rPr>
        <w:t>100</w:t>
      </w:r>
      <w:r>
        <w:rPr>
          <w:rFonts w:hint="eastAsia" w:cs="宋体"/>
          <w:b/>
          <w:bCs/>
          <w:kern w:val="0"/>
          <w:sz w:val="24"/>
          <w:szCs w:val="24"/>
        </w:rPr>
        <w:t>分。</w:t>
      </w:r>
    </w:p>
    <w:p w14:paraId="38DFD320">
      <w:pPr>
        <w:pStyle w:val="2"/>
        <w:ind w:firstLine="480" w:firstLineChars="200"/>
      </w:pPr>
      <w:r>
        <w:rPr>
          <w:rFonts w:hint="eastAsia" w:cs="宋体"/>
        </w:rPr>
        <w:t>附件：评分模板</w:t>
      </w:r>
    </w:p>
    <w:tbl>
      <w:tblPr>
        <w:tblStyle w:val="12"/>
        <w:tblpPr w:leftFromText="180" w:rightFromText="180" w:vertAnchor="text" w:horzAnchor="page" w:tblpX="1687" w:tblpY="580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50"/>
        <w:gridCol w:w="4365"/>
        <w:gridCol w:w="1515"/>
        <w:gridCol w:w="1137"/>
      </w:tblGrid>
      <w:tr w14:paraId="1103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vAlign w:val="center"/>
          </w:tcPr>
          <w:p w14:paraId="73815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序号</w:t>
            </w:r>
          </w:p>
        </w:tc>
        <w:tc>
          <w:tcPr>
            <w:tcW w:w="1350" w:type="dxa"/>
            <w:vAlign w:val="center"/>
          </w:tcPr>
          <w:p w14:paraId="40D76B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类型</w:t>
            </w:r>
          </w:p>
        </w:tc>
        <w:tc>
          <w:tcPr>
            <w:tcW w:w="4365" w:type="dxa"/>
            <w:vAlign w:val="center"/>
          </w:tcPr>
          <w:p w14:paraId="51EA1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评分标准</w:t>
            </w:r>
          </w:p>
        </w:tc>
        <w:tc>
          <w:tcPr>
            <w:tcW w:w="1515" w:type="dxa"/>
            <w:vAlign w:val="center"/>
          </w:tcPr>
          <w:p w14:paraId="6AAF2A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说明</w:t>
            </w:r>
          </w:p>
        </w:tc>
        <w:tc>
          <w:tcPr>
            <w:tcW w:w="1137" w:type="dxa"/>
            <w:vAlign w:val="center"/>
          </w:tcPr>
          <w:p w14:paraId="7F2D88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最高得分</w:t>
            </w:r>
          </w:p>
        </w:tc>
      </w:tr>
      <w:tr w14:paraId="119B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 w14:paraId="5306F3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50" w:type="dxa"/>
            <w:vAlign w:val="center"/>
          </w:tcPr>
          <w:p w14:paraId="712B19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服务方案内容分</w:t>
            </w:r>
          </w:p>
          <w:p w14:paraId="7C6F24BD">
            <w:pPr>
              <w:pStyle w:val="2"/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Cs/>
                <w:color w:val="FF0000"/>
                <w:kern w:val="2"/>
                <w:sz w:val="21"/>
                <w:szCs w:val="21"/>
                <w:u w:val="single"/>
              </w:rPr>
              <w:t>20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分）</w:t>
            </w:r>
          </w:p>
        </w:tc>
        <w:tc>
          <w:tcPr>
            <w:tcW w:w="4365" w:type="dxa"/>
            <w:vAlign w:val="center"/>
          </w:tcPr>
          <w:p w14:paraId="1CDC0E27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紧密结合项目实际情况及用户需求，提出专业、全面、可行的项目具体服务方案：</w:t>
            </w:r>
          </w:p>
          <w:p w14:paraId="0268348C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一档（5分）：方案基本科学合理，但分析不够详细、完整，缺乏一定的先进性、针对性和可行性，综合评定一般。</w:t>
            </w:r>
          </w:p>
          <w:p w14:paraId="254CD591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二档（10分）：方案科学合理，分析比较详细、完整，有一定的先进性、针对性和可行性，能较好地满足采购需求，综合评定良好。</w:t>
            </w:r>
          </w:p>
          <w:p w14:paraId="1A25FD1F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三档（20分）：方案科学合理，分析详细、完整，有很强的先进性、针对性和可行性，完全满足采购需求，综合评定优秀。</w:t>
            </w:r>
          </w:p>
        </w:tc>
        <w:tc>
          <w:tcPr>
            <w:tcW w:w="1515" w:type="dxa"/>
            <w:vAlign w:val="center"/>
          </w:tcPr>
          <w:p w14:paraId="6ABADAD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  <w:vAlign w:val="center"/>
          </w:tcPr>
          <w:p w14:paraId="05519C39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 xml:space="preserve"> </w:t>
            </w:r>
          </w:p>
        </w:tc>
      </w:tr>
      <w:tr w14:paraId="58D7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 w14:paraId="7171A6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2</w:t>
            </w:r>
          </w:p>
        </w:tc>
        <w:tc>
          <w:tcPr>
            <w:tcW w:w="1350" w:type="dxa"/>
            <w:vAlign w:val="center"/>
          </w:tcPr>
          <w:p w14:paraId="04BACA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质量保证措施分</w:t>
            </w:r>
          </w:p>
          <w:p w14:paraId="558AC95C">
            <w:pPr>
              <w:pStyle w:val="2"/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Cs/>
                <w:color w:val="FF0000"/>
                <w:kern w:val="2"/>
                <w:sz w:val="21"/>
                <w:szCs w:val="21"/>
                <w:u w:val="single"/>
              </w:rPr>
              <w:t>15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分）</w:t>
            </w:r>
          </w:p>
        </w:tc>
        <w:tc>
          <w:tcPr>
            <w:tcW w:w="4365" w:type="dxa"/>
            <w:vAlign w:val="center"/>
          </w:tcPr>
          <w:p w14:paraId="5061FCD3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项目编制过程中质量保障措施是否具体、合理、可行：</w:t>
            </w:r>
          </w:p>
          <w:p w14:paraId="2DB24CA3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一档（5分）：服务承诺方案基本完整，措施可行性低。</w:t>
            </w:r>
          </w:p>
          <w:p w14:paraId="5E5EED2A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二档（10分）：服务质量承诺描述详细，有完成时间、廉洁承诺等方面的内容。</w:t>
            </w:r>
          </w:p>
          <w:p w14:paraId="032FC465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三档（</w:t>
            </w:r>
            <w:r>
              <w:rPr>
                <w:rFonts w:ascii="Arial" w:hAnsi="Arial" w:cs="Arial"/>
                <w:bCs/>
              </w:rPr>
              <w:t>15</w:t>
            </w:r>
            <w:r>
              <w:rPr>
                <w:rFonts w:hint="eastAsia" w:ascii="Arial" w:hAnsi="Arial" w:cs="Arial"/>
                <w:bCs/>
              </w:rPr>
              <w:t>分）：服务质量承诺描述详细，有一定的针对性，完成时间、审核步骤、审核深度、服务态度、审核报告质量、廉洁承诺等方面的内容描述详细具体。措施完全可行且有创新的</w:t>
            </w:r>
          </w:p>
        </w:tc>
        <w:tc>
          <w:tcPr>
            <w:tcW w:w="1515" w:type="dxa"/>
            <w:vAlign w:val="center"/>
          </w:tcPr>
          <w:p w14:paraId="2D28D9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  <w:vAlign w:val="center"/>
          </w:tcPr>
          <w:p w14:paraId="2E199792">
            <w:pPr>
              <w:rPr>
                <w:rFonts w:ascii="Arial" w:hAnsi="Arial" w:cs="Arial"/>
                <w:bCs/>
              </w:rPr>
            </w:pPr>
          </w:p>
        </w:tc>
      </w:tr>
      <w:tr w14:paraId="1944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 w14:paraId="1005FD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3</w:t>
            </w:r>
          </w:p>
        </w:tc>
        <w:tc>
          <w:tcPr>
            <w:tcW w:w="1350" w:type="dxa"/>
            <w:vAlign w:val="center"/>
          </w:tcPr>
          <w:p w14:paraId="41E69A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/>
                <w:bCs/>
                <w:color w:val="000000"/>
              </w:rPr>
              <w:t>履约能力分（</w:t>
            </w:r>
            <w:r>
              <w:rPr>
                <w:rFonts w:hint="eastAsia"/>
                <w:bCs/>
                <w:color w:val="FF0000"/>
                <w:u w:val="single"/>
              </w:rPr>
              <w:t>15</w:t>
            </w:r>
            <w:r>
              <w:rPr>
                <w:rFonts w:hint="eastAsia"/>
                <w:bCs/>
                <w:color w:val="000000"/>
              </w:rPr>
              <w:t>分）</w:t>
            </w:r>
          </w:p>
        </w:tc>
        <w:tc>
          <w:tcPr>
            <w:tcW w:w="4365" w:type="dxa"/>
            <w:vAlign w:val="center"/>
          </w:tcPr>
          <w:p w14:paraId="29312E77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提供自2022年1月1日以来</w:t>
            </w:r>
            <w:r>
              <w:rPr>
                <w:rFonts w:hint="eastAsia" w:cs="Arial"/>
                <w:bCs/>
              </w:rPr>
              <w:t>响应服务商</w:t>
            </w:r>
            <w:r>
              <w:rPr>
                <w:rFonts w:hint="eastAsia" w:ascii="Arial" w:hAnsi="Arial" w:cs="Arial"/>
                <w:bCs/>
              </w:rPr>
              <w:t>承担过行政事业单位清产核资类型审计类似业绩，每1个业绩得</w:t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hint="eastAsia" w:ascii="Arial" w:hAnsi="Arial" w:cs="Arial"/>
                <w:bCs/>
              </w:rPr>
              <w:t>分，本项满分15分，不提供不得分。</w:t>
            </w:r>
          </w:p>
        </w:tc>
        <w:tc>
          <w:tcPr>
            <w:tcW w:w="1515" w:type="dxa"/>
            <w:vAlign w:val="center"/>
          </w:tcPr>
          <w:p w14:paraId="2C3139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提供合同等相关证明文件，复印件加盖公章。</w:t>
            </w:r>
          </w:p>
        </w:tc>
        <w:tc>
          <w:tcPr>
            <w:tcW w:w="1137" w:type="dxa"/>
            <w:vAlign w:val="center"/>
          </w:tcPr>
          <w:p w14:paraId="20D4C093">
            <w:pPr>
              <w:rPr>
                <w:rFonts w:ascii="Arial" w:hAnsi="Arial" w:cs="Arial"/>
                <w:bCs/>
              </w:rPr>
            </w:pPr>
          </w:p>
        </w:tc>
      </w:tr>
      <w:tr w14:paraId="6E30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restart"/>
            <w:vAlign w:val="center"/>
          </w:tcPr>
          <w:p w14:paraId="7820543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4</w:t>
            </w:r>
          </w:p>
        </w:tc>
        <w:tc>
          <w:tcPr>
            <w:tcW w:w="1350" w:type="dxa"/>
            <w:vMerge w:val="restart"/>
            <w:vAlign w:val="center"/>
          </w:tcPr>
          <w:p w14:paraId="1B030B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项目管理机构分</w:t>
            </w:r>
          </w:p>
          <w:p w14:paraId="3DB5F364">
            <w:pPr>
              <w:pStyle w:val="2"/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  <w:color w:val="FF0000"/>
                <w:u w:val="single"/>
              </w:rPr>
              <w:t>30</w:t>
            </w:r>
            <w:r>
              <w:rPr>
                <w:rFonts w:hint="eastAsia"/>
                <w:bCs/>
              </w:rPr>
              <w:t>分）</w:t>
            </w:r>
          </w:p>
        </w:tc>
        <w:tc>
          <w:tcPr>
            <w:tcW w:w="4365" w:type="dxa"/>
            <w:vAlign w:val="center"/>
          </w:tcPr>
          <w:p w14:paraId="573124F3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审计项目组成员专业能力</w:t>
            </w:r>
          </w:p>
          <w:p w14:paraId="77C5C0A5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项目负责人：具备注册会计师资格证书且执业满10年以上，且有3次相关清产核资经验的得6分；具备注册会计师资格证书且执业满5年以上，且有2次相关清产核资经验的得3分；未配备注册会计师的不得分。</w:t>
            </w:r>
          </w:p>
          <w:p w14:paraId="4EBA0CD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项目成员具备</w:t>
            </w:r>
            <w:r>
              <w:rPr>
                <w:rFonts w:hint="eastAsia" w:ascii="宋体" w:hAnsi="宋体"/>
              </w:rPr>
              <w:t>造价工程师资格的得6分；没有配备的不得分。</w:t>
            </w:r>
          </w:p>
          <w:p w14:paraId="352336B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项目其他成员具备注册会计师资格的，每人得2分，本项最高得4分。</w:t>
            </w:r>
          </w:p>
          <w:p w14:paraId="39A4A029">
            <w:pPr>
              <w:numPr>
                <w:ilvl w:val="0"/>
                <w:numId w:val="3"/>
              </w:numPr>
            </w:pPr>
            <w:r>
              <w:rPr>
                <w:rFonts w:hint="eastAsia" w:ascii="Arial" w:hAnsi="Arial" w:cs="Arial"/>
                <w:bCs/>
              </w:rPr>
              <w:t>项目其他成员具备中级会计师及以上职称的，每人得2分，本项最高得4分。</w:t>
            </w:r>
          </w:p>
        </w:tc>
        <w:tc>
          <w:tcPr>
            <w:tcW w:w="1515" w:type="dxa"/>
            <w:vMerge w:val="restart"/>
            <w:vAlign w:val="center"/>
          </w:tcPr>
          <w:p w14:paraId="0BBB2A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提供执业证书、职称证书，复印件加盖公章。</w:t>
            </w:r>
          </w:p>
        </w:tc>
        <w:tc>
          <w:tcPr>
            <w:tcW w:w="1137" w:type="dxa"/>
            <w:vAlign w:val="center"/>
          </w:tcPr>
          <w:p w14:paraId="6E69AE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14:paraId="0C2A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continue"/>
            <w:vAlign w:val="center"/>
          </w:tcPr>
          <w:p w14:paraId="1A11AD6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8A557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65" w:type="dxa"/>
            <w:vAlign w:val="center"/>
          </w:tcPr>
          <w:p w14:paraId="58D3ED4D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项目组成员人数</w:t>
            </w:r>
          </w:p>
          <w:p w14:paraId="55B8731E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一档（0分）：项目组成员不足</w:t>
            </w:r>
            <w:r>
              <w:rPr>
                <w:rFonts w:hint="eastAsia" w:cs="Arial"/>
                <w:bCs/>
              </w:rPr>
              <w:t>3</w:t>
            </w:r>
            <w:r>
              <w:rPr>
                <w:rFonts w:hint="eastAsia" w:ascii="Arial" w:hAnsi="Arial" w:cs="Arial"/>
                <w:bCs/>
              </w:rPr>
              <w:t>人的，得0分。</w:t>
            </w:r>
          </w:p>
          <w:p w14:paraId="5B05B41A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二档（5分）：项目组成员</w:t>
            </w:r>
            <w:r>
              <w:rPr>
                <w:rFonts w:hint="eastAsia" w:cs="Arial"/>
                <w:bCs/>
              </w:rPr>
              <w:t>5</w:t>
            </w:r>
            <w:r>
              <w:rPr>
                <w:rFonts w:hint="eastAsia" w:ascii="Arial" w:hAnsi="Arial" w:cs="Arial"/>
                <w:bCs/>
              </w:rPr>
              <w:t>-</w:t>
            </w:r>
            <w:r>
              <w:rPr>
                <w:rFonts w:cs="Arial"/>
                <w:bCs/>
              </w:rPr>
              <w:t>7</w:t>
            </w:r>
            <w:r>
              <w:rPr>
                <w:rFonts w:hint="eastAsia" w:ascii="Arial" w:hAnsi="Arial" w:cs="Arial"/>
                <w:bCs/>
              </w:rPr>
              <w:t>人的，得5分。</w:t>
            </w:r>
          </w:p>
          <w:p w14:paraId="376C9921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三档（10分）：项目组成员达到</w:t>
            </w:r>
            <w:r>
              <w:rPr>
                <w:rFonts w:hint="eastAsia" w:cs="Arial"/>
                <w:bCs/>
              </w:rPr>
              <w:t>8</w:t>
            </w:r>
            <w:r>
              <w:rPr>
                <w:rFonts w:hint="eastAsia" w:ascii="Arial" w:hAnsi="Arial" w:cs="Arial"/>
                <w:bCs/>
              </w:rPr>
              <w:t>人以上的，得10分。</w:t>
            </w:r>
          </w:p>
        </w:tc>
        <w:tc>
          <w:tcPr>
            <w:tcW w:w="1515" w:type="dxa"/>
            <w:vMerge w:val="continue"/>
            <w:vAlign w:val="center"/>
          </w:tcPr>
          <w:p w14:paraId="117E6A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  <w:vAlign w:val="center"/>
          </w:tcPr>
          <w:p w14:paraId="6F63EAA3">
            <w:pPr>
              <w:rPr>
                <w:rFonts w:ascii="Arial" w:hAnsi="Arial" w:cs="Arial"/>
                <w:bCs/>
              </w:rPr>
            </w:pPr>
          </w:p>
        </w:tc>
      </w:tr>
      <w:tr w14:paraId="3774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 w14:paraId="7735BC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5</w:t>
            </w:r>
          </w:p>
        </w:tc>
        <w:tc>
          <w:tcPr>
            <w:tcW w:w="1350" w:type="dxa"/>
            <w:vAlign w:val="center"/>
          </w:tcPr>
          <w:p w14:paraId="470E114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报价</w:t>
            </w:r>
          </w:p>
          <w:p w14:paraId="42DFF7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得分</w:t>
            </w:r>
          </w:p>
          <w:p w14:paraId="6D449898">
            <w:pPr>
              <w:pStyle w:val="2"/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  <w:color w:val="FF0000"/>
                <w:u w:val="single"/>
              </w:rPr>
              <w:t>20</w:t>
            </w:r>
            <w:r>
              <w:rPr>
                <w:rFonts w:hint="eastAsia"/>
                <w:bCs/>
              </w:rPr>
              <w:t>分）</w:t>
            </w:r>
          </w:p>
        </w:tc>
        <w:tc>
          <w:tcPr>
            <w:tcW w:w="4365" w:type="dxa"/>
            <w:vAlign w:val="center"/>
          </w:tcPr>
          <w:p w14:paraId="1A59C9A4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价格分采用低价优先法计算，即满足采购需求且</w:t>
            </w:r>
            <w:r>
              <w:rPr>
                <w:rFonts w:hint="eastAsia" w:cs="Arial"/>
                <w:bCs/>
              </w:rPr>
              <w:t>报价</w:t>
            </w:r>
            <w:r>
              <w:rPr>
                <w:rFonts w:hint="eastAsia" w:ascii="Arial" w:hAnsi="Arial" w:cs="Arial"/>
                <w:bCs/>
              </w:rPr>
              <w:t>最低</w:t>
            </w:r>
            <w:r>
              <w:rPr>
                <w:rFonts w:hint="eastAsia" w:cs="Arial"/>
                <w:bCs/>
              </w:rPr>
              <w:t>的价格</w:t>
            </w:r>
            <w:r>
              <w:rPr>
                <w:rFonts w:hint="eastAsia" w:ascii="Arial" w:hAnsi="Arial" w:cs="Arial"/>
                <w:bCs/>
              </w:rPr>
              <w:t>为评标基准价，其价格分为满分。其他</w:t>
            </w:r>
            <w:r>
              <w:rPr>
                <w:rFonts w:hint="eastAsia" w:cs="Arial"/>
                <w:bCs/>
              </w:rPr>
              <w:t>响应服务商</w:t>
            </w:r>
            <w:r>
              <w:rPr>
                <w:rFonts w:hint="eastAsia" w:ascii="Arial" w:hAnsi="Arial" w:cs="Arial"/>
                <w:bCs/>
              </w:rPr>
              <w:t>的价格分统一按照下列公式计算：报价得分=（评标基准价/</w:t>
            </w:r>
            <w:r>
              <w:rPr>
                <w:rFonts w:hint="eastAsia" w:cs="Arial"/>
                <w:bCs/>
              </w:rPr>
              <w:t>响应服务商</w:t>
            </w:r>
            <w:r>
              <w:rPr>
                <w:rFonts w:hint="eastAsia" w:ascii="Arial" w:hAnsi="Arial" w:cs="Arial"/>
                <w:bCs/>
              </w:rPr>
              <w:t>报价）×分值权重</w:t>
            </w:r>
          </w:p>
        </w:tc>
        <w:tc>
          <w:tcPr>
            <w:tcW w:w="1515" w:type="dxa"/>
            <w:vAlign w:val="center"/>
          </w:tcPr>
          <w:p w14:paraId="2882A66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  <w:vAlign w:val="center"/>
          </w:tcPr>
          <w:p w14:paraId="3ABFD182">
            <w:pPr>
              <w:rPr>
                <w:rFonts w:ascii="Arial" w:hAnsi="Arial" w:cs="Arial"/>
                <w:bCs/>
              </w:rPr>
            </w:pPr>
          </w:p>
        </w:tc>
      </w:tr>
      <w:tr w14:paraId="19A8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 w14:paraId="7C9C12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6</w:t>
            </w:r>
          </w:p>
        </w:tc>
        <w:tc>
          <w:tcPr>
            <w:tcW w:w="1350" w:type="dxa"/>
            <w:vAlign w:val="center"/>
          </w:tcPr>
          <w:p w14:paraId="301D664F">
            <w:pPr>
              <w:spacing w:line="280" w:lineRule="exact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总分</w:t>
            </w:r>
          </w:p>
          <w:p w14:paraId="5E92D29E">
            <w:pPr>
              <w:spacing w:line="280" w:lineRule="exact"/>
              <w:rPr>
                <w:rFonts w:ascii="Arial" w:hAnsi="Arial" w:cs="Arial"/>
                <w:bCs/>
              </w:rPr>
            </w:pPr>
            <w:r>
              <w:rPr>
                <w:rFonts w:hint="eastAsia" w:ascii="宋体" w:hAnsi="宋体" w:cs="宋体"/>
              </w:rPr>
              <w:t>（最后得分）</w:t>
            </w:r>
          </w:p>
        </w:tc>
        <w:tc>
          <w:tcPr>
            <w:tcW w:w="4365" w:type="dxa"/>
            <w:vAlign w:val="center"/>
          </w:tcPr>
          <w:p w14:paraId="2F8C6DE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5" w:type="dxa"/>
            <w:vAlign w:val="center"/>
          </w:tcPr>
          <w:p w14:paraId="75EDDB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  <w:vAlign w:val="center"/>
          </w:tcPr>
          <w:p w14:paraId="77B67B83">
            <w:pPr>
              <w:rPr>
                <w:rFonts w:ascii="Arial" w:hAnsi="Arial" w:cs="Arial"/>
                <w:bCs/>
              </w:rPr>
            </w:pPr>
          </w:p>
        </w:tc>
      </w:tr>
    </w:tbl>
    <w:p w14:paraId="487D9633">
      <w:pPr>
        <w:pStyle w:val="6"/>
      </w:pP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5129E"/>
    <w:multiLevelType w:val="multilevel"/>
    <w:tmpl w:val="0925129E"/>
    <w:lvl w:ilvl="0" w:tentative="0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7FE1AF"/>
    <w:multiLevelType w:val="singleLevel"/>
    <w:tmpl w:val="397FE1A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1D7051"/>
    <w:multiLevelType w:val="singleLevel"/>
    <w:tmpl w:val="781D70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yYmY4MjA0MzAxNjIyZGNjMDk1MmY5N2E0MzMwOWEifQ=="/>
    <w:docVar w:name="KY_MEDREF_DOCUID" w:val="{642EBB7A-05DF-4F7F-990F-180E42AE779D}"/>
    <w:docVar w:name="KY_MEDREF_VERSION" w:val="3"/>
  </w:docVars>
  <w:rsids>
    <w:rsidRoot w:val="004C7EB2"/>
    <w:rsid w:val="00045CF4"/>
    <w:rsid w:val="00055C4C"/>
    <w:rsid w:val="00066185"/>
    <w:rsid w:val="00080292"/>
    <w:rsid w:val="0008196D"/>
    <w:rsid w:val="000869BA"/>
    <w:rsid w:val="00095D83"/>
    <w:rsid w:val="000A6C18"/>
    <w:rsid w:val="000B7E2D"/>
    <w:rsid w:val="000E1AA6"/>
    <w:rsid w:val="000E744F"/>
    <w:rsid w:val="001146E1"/>
    <w:rsid w:val="00114C75"/>
    <w:rsid w:val="00115734"/>
    <w:rsid w:val="001302F7"/>
    <w:rsid w:val="001950F1"/>
    <w:rsid w:val="001A2E09"/>
    <w:rsid w:val="001D0816"/>
    <w:rsid w:val="00204183"/>
    <w:rsid w:val="00211D49"/>
    <w:rsid w:val="00241CD6"/>
    <w:rsid w:val="00296002"/>
    <w:rsid w:val="002A5AC0"/>
    <w:rsid w:val="002C7944"/>
    <w:rsid w:val="00321FB4"/>
    <w:rsid w:val="00363D83"/>
    <w:rsid w:val="003673A2"/>
    <w:rsid w:val="003B2A63"/>
    <w:rsid w:val="003C3AB5"/>
    <w:rsid w:val="003E7DC1"/>
    <w:rsid w:val="00472DE5"/>
    <w:rsid w:val="00474079"/>
    <w:rsid w:val="004C7EB2"/>
    <w:rsid w:val="004D08F5"/>
    <w:rsid w:val="004D2825"/>
    <w:rsid w:val="004F5A76"/>
    <w:rsid w:val="004F7DA1"/>
    <w:rsid w:val="005007DD"/>
    <w:rsid w:val="00587F3C"/>
    <w:rsid w:val="005A41F0"/>
    <w:rsid w:val="005C54E1"/>
    <w:rsid w:val="005D491D"/>
    <w:rsid w:val="005F6321"/>
    <w:rsid w:val="00654BC6"/>
    <w:rsid w:val="00667AEE"/>
    <w:rsid w:val="00684BD7"/>
    <w:rsid w:val="006E5543"/>
    <w:rsid w:val="00707A97"/>
    <w:rsid w:val="0074078C"/>
    <w:rsid w:val="007814EA"/>
    <w:rsid w:val="007A5910"/>
    <w:rsid w:val="007A5E91"/>
    <w:rsid w:val="007A64EE"/>
    <w:rsid w:val="007F6F70"/>
    <w:rsid w:val="00813BDB"/>
    <w:rsid w:val="00825B15"/>
    <w:rsid w:val="00830F54"/>
    <w:rsid w:val="008553F8"/>
    <w:rsid w:val="00860D1A"/>
    <w:rsid w:val="008A23D4"/>
    <w:rsid w:val="008A5DC5"/>
    <w:rsid w:val="008D3A6F"/>
    <w:rsid w:val="008E1A26"/>
    <w:rsid w:val="008F7BAF"/>
    <w:rsid w:val="00924AF5"/>
    <w:rsid w:val="00925583"/>
    <w:rsid w:val="009315A1"/>
    <w:rsid w:val="009530DC"/>
    <w:rsid w:val="0096225F"/>
    <w:rsid w:val="00985D1C"/>
    <w:rsid w:val="009C372E"/>
    <w:rsid w:val="009F0586"/>
    <w:rsid w:val="009F428F"/>
    <w:rsid w:val="00A2105C"/>
    <w:rsid w:val="00A44D5C"/>
    <w:rsid w:val="00A56F59"/>
    <w:rsid w:val="00A63521"/>
    <w:rsid w:val="00A83F43"/>
    <w:rsid w:val="00A849F8"/>
    <w:rsid w:val="00AC0EA5"/>
    <w:rsid w:val="00B563EA"/>
    <w:rsid w:val="00B8409A"/>
    <w:rsid w:val="00B9777D"/>
    <w:rsid w:val="00BA3521"/>
    <w:rsid w:val="00C33384"/>
    <w:rsid w:val="00C762C8"/>
    <w:rsid w:val="00C97AD7"/>
    <w:rsid w:val="00CA14A0"/>
    <w:rsid w:val="00CB3387"/>
    <w:rsid w:val="00CC2DEE"/>
    <w:rsid w:val="00CC7199"/>
    <w:rsid w:val="00CD27A2"/>
    <w:rsid w:val="00CE6140"/>
    <w:rsid w:val="00D2685D"/>
    <w:rsid w:val="00D41CB5"/>
    <w:rsid w:val="00D57065"/>
    <w:rsid w:val="00D74234"/>
    <w:rsid w:val="00D87BEA"/>
    <w:rsid w:val="00D94779"/>
    <w:rsid w:val="00D96F34"/>
    <w:rsid w:val="00DB5864"/>
    <w:rsid w:val="00DC4B54"/>
    <w:rsid w:val="00E14108"/>
    <w:rsid w:val="00E16043"/>
    <w:rsid w:val="00E72BBE"/>
    <w:rsid w:val="00E75365"/>
    <w:rsid w:val="00EA13F3"/>
    <w:rsid w:val="00EA468F"/>
    <w:rsid w:val="00EB1C9B"/>
    <w:rsid w:val="00ED5546"/>
    <w:rsid w:val="00F26E16"/>
    <w:rsid w:val="00F74EE1"/>
    <w:rsid w:val="00FC2104"/>
    <w:rsid w:val="00FD0240"/>
    <w:rsid w:val="01124992"/>
    <w:rsid w:val="01CB43E2"/>
    <w:rsid w:val="02615DF0"/>
    <w:rsid w:val="02DB4577"/>
    <w:rsid w:val="03B56736"/>
    <w:rsid w:val="041E188C"/>
    <w:rsid w:val="0A795D65"/>
    <w:rsid w:val="0CC05EEA"/>
    <w:rsid w:val="0F780187"/>
    <w:rsid w:val="10C97A40"/>
    <w:rsid w:val="10DB590A"/>
    <w:rsid w:val="115455AE"/>
    <w:rsid w:val="11640FF3"/>
    <w:rsid w:val="120633E6"/>
    <w:rsid w:val="122B15C9"/>
    <w:rsid w:val="12C97D37"/>
    <w:rsid w:val="13FF402E"/>
    <w:rsid w:val="15E9458A"/>
    <w:rsid w:val="166F4544"/>
    <w:rsid w:val="16EA10E2"/>
    <w:rsid w:val="175005C5"/>
    <w:rsid w:val="19516FA3"/>
    <w:rsid w:val="1DDE38B8"/>
    <w:rsid w:val="1E8A6696"/>
    <w:rsid w:val="1F49136E"/>
    <w:rsid w:val="202549B6"/>
    <w:rsid w:val="21B710F4"/>
    <w:rsid w:val="2218153E"/>
    <w:rsid w:val="25773183"/>
    <w:rsid w:val="2580437A"/>
    <w:rsid w:val="25D26C4A"/>
    <w:rsid w:val="26431704"/>
    <w:rsid w:val="26CD4569"/>
    <w:rsid w:val="27D01D3D"/>
    <w:rsid w:val="28110468"/>
    <w:rsid w:val="2BEB5567"/>
    <w:rsid w:val="2E44559E"/>
    <w:rsid w:val="310E5321"/>
    <w:rsid w:val="311834AF"/>
    <w:rsid w:val="318469E5"/>
    <w:rsid w:val="3194337D"/>
    <w:rsid w:val="36637EBD"/>
    <w:rsid w:val="3737378F"/>
    <w:rsid w:val="37743765"/>
    <w:rsid w:val="3806606D"/>
    <w:rsid w:val="397701BE"/>
    <w:rsid w:val="3B546CEC"/>
    <w:rsid w:val="3F8769CB"/>
    <w:rsid w:val="41366ED0"/>
    <w:rsid w:val="45D65FB4"/>
    <w:rsid w:val="461A0599"/>
    <w:rsid w:val="470438DD"/>
    <w:rsid w:val="47272F2C"/>
    <w:rsid w:val="47B82BB1"/>
    <w:rsid w:val="48D85C25"/>
    <w:rsid w:val="4AEE7E6B"/>
    <w:rsid w:val="4C1C5576"/>
    <w:rsid w:val="4D442BFB"/>
    <w:rsid w:val="4D781BD4"/>
    <w:rsid w:val="4DA009DA"/>
    <w:rsid w:val="4DA97E72"/>
    <w:rsid w:val="4DB9683E"/>
    <w:rsid w:val="50502E0F"/>
    <w:rsid w:val="51794369"/>
    <w:rsid w:val="51B2246F"/>
    <w:rsid w:val="53352F91"/>
    <w:rsid w:val="539906F6"/>
    <w:rsid w:val="53D02297"/>
    <w:rsid w:val="56D24BA5"/>
    <w:rsid w:val="589150FF"/>
    <w:rsid w:val="594A4D8A"/>
    <w:rsid w:val="5B10795D"/>
    <w:rsid w:val="5D0922A5"/>
    <w:rsid w:val="5D1A4465"/>
    <w:rsid w:val="5F3D4944"/>
    <w:rsid w:val="5FFD63C3"/>
    <w:rsid w:val="63FF43B4"/>
    <w:rsid w:val="65706B30"/>
    <w:rsid w:val="66297FB9"/>
    <w:rsid w:val="67EF0C5A"/>
    <w:rsid w:val="6A513DD5"/>
    <w:rsid w:val="6BE56147"/>
    <w:rsid w:val="6BF540D9"/>
    <w:rsid w:val="6DD0797D"/>
    <w:rsid w:val="70F43BDB"/>
    <w:rsid w:val="71683ABE"/>
    <w:rsid w:val="71754026"/>
    <w:rsid w:val="71CD3E62"/>
    <w:rsid w:val="74B5471E"/>
    <w:rsid w:val="76911A6E"/>
    <w:rsid w:val="77E41C8F"/>
    <w:rsid w:val="77FF632E"/>
    <w:rsid w:val="7B036868"/>
    <w:rsid w:val="7CA915F3"/>
    <w:rsid w:val="7D66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spacing w:before="100" w:beforeAutospacing="1" w:after="100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8"/>
    <w:qFormat/>
    <w:uiPriority w:val="99"/>
    <w:pPr>
      <w:jc w:val="left"/>
    </w:pPr>
  </w:style>
  <w:style w:type="paragraph" w:styleId="5">
    <w:name w:val="Body Text"/>
    <w:basedOn w:val="1"/>
    <w:next w:val="6"/>
    <w:link w:val="30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7">
    <w:name w:val="Plain Text"/>
    <w:basedOn w:val="1"/>
    <w:next w:val="3"/>
    <w:link w:val="20"/>
    <w:qFormat/>
    <w:uiPriority w:val="99"/>
    <w:rPr>
      <w:rFonts w:ascii="宋体" w:hAnsi="Courier New"/>
    </w:r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semiHidden/>
    <w:qFormat/>
    <w:uiPriority w:val="99"/>
    <w:rPr>
      <w:sz w:val="21"/>
      <w:szCs w:val="21"/>
    </w:rPr>
  </w:style>
  <w:style w:type="paragraph" w:customStyle="1" w:styleId="16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4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批注文字 Char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9">
    <w:name w:val="批注主题 Char"/>
    <w:basedOn w:val="18"/>
    <w:link w:val="11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0">
    <w:name w:val="纯文本 Char"/>
    <w:basedOn w:val="14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1">
    <w:name w:val="表格文字"/>
    <w:basedOn w:val="1"/>
    <w:qFormat/>
    <w:uiPriority w:val="0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  <w:style w:type="character" w:customStyle="1" w:styleId="22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3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25">
    <w:name w:val="Placeholder Text"/>
    <w:basedOn w:val="14"/>
    <w:semiHidden/>
    <w:qFormat/>
    <w:uiPriority w:val="99"/>
    <w:rPr>
      <w:color w:val="808080"/>
    </w:rPr>
  </w:style>
  <w:style w:type="paragraph" w:customStyle="1" w:styleId="26">
    <w:name w:val="样式1"/>
    <w:basedOn w:val="1"/>
    <w:qFormat/>
    <w:uiPriority w:val="0"/>
  </w:style>
  <w:style w:type="character" w:customStyle="1" w:styleId="27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8">
    <w:name w:val="我的正文"/>
    <w:basedOn w:val="29"/>
    <w:qFormat/>
    <w:uiPriority w:val="0"/>
    <w:pPr>
      <w:adjustRightInd w:val="0"/>
      <w:snapToGrid w:val="0"/>
      <w:spacing w:beforeLines="50" w:afterLines="50" w:line="360" w:lineRule="auto"/>
      <w:ind w:firstLine="420" w:firstLineChars="200"/>
    </w:pPr>
    <w:rPr>
      <w:rFonts w:eastAsia="微软雅黑"/>
      <w:kern w:val="0"/>
      <w:sz w:val="22"/>
      <w:szCs w:val="20"/>
      <w:lang w:val="zh-CN"/>
    </w:rPr>
  </w:style>
  <w:style w:type="paragraph" w:styleId="29">
    <w:name w:val="No Spacing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0">
    <w:name w:val="正文文本 Char"/>
    <w:basedOn w:val="14"/>
    <w:link w:val="5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2AFAC4-F775-4A19-8224-BF45E683C7C0}"/>
      </w:docPartPr>
      <w:docPartBody>
        <w:p w14:paraId="2092ADBB">
          <w:r>
            <w:rPr>
              <w:rStyle w:val="4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85A"/>
    <w:rsid w:val="00013D5D"/>
    <w:rsid w:val="000F2D8D"/>
    <w:rsid w:val="00102898"/>
    <w:rsid w:val="001A69B0"/>
    <w:rsid w:val="001B2DBA"/>
    <w:rsid w:val="001E005B"/>
    <w:rsid w:val="0027526E"/>
    <w:rsid w:val="00276E04"/>
    <w:rsid w:val="00377CAA"/>
    <w:rsid w:val="00385B13"/>
    <w:rsid w:val="0048475D"/>
    <w:rsid w:val="004D13AE"/>
    <w:rsid w:val="00536D04"/>
    <w:rsid w:val="006E04C8"/>
    <w:rsid w:val="00700E9A"/>
    <w:rsid w:val="007311C2"/>
    <w:rsid w:val="0080285A"/>
    <w:rsid w:val="0087364B"/>
    <w:rsid w:val="008C6005"/>
    <w:rsid w:val="009162AC"/>
    <w:rsid w:val="00917E0F"/>
    <w:rsid w:val="00934649"/>
    <w:rsid w:val="00AA1FEF"/>
    <w:rsid w:val="00E44780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60F420097394E1B8F5C294379C713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D4063EF51294538A22B0E574C9941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2543</Words>
  <Characters>2585</Characters>
  <Lines>19</Lines>
  <Paragraphs>5</Paragraphs>
  <TotalTime>36</TotalTime>
  <ScaleCrop>false</ScaleCrop>
  <LinksUpToDate>false</LinksUpToDate>
  <CharactersWithSpaces>2600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2024-12-06T09:01:00Z</dcterms:created>
  <dc:creator>c k</dc:creator>
  <cp:lastModifiedBy>chance</cp:lastModifiedBy>
  <cp:lastPrinted>2021-01-18T07:59:00Z</cp:lastPrinted>
  <dcterms:modified xsi:type="dcterms:W3CDTF">2025-02-07T00:45:21Z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E767B82BF12543A3B57FE200C6CC1901_13</vt:lpwstr>
  </property>
  <property fmtid="{D5CDD505-2E9C-101B-9397-08002B2CF9AE}" pid="4" name="KSOTemplateDocerSaveRecord">
    <vt:lpwstr>eyJoZGlkIjoiMWEyYmY4MjA0MzAxNjIyZGNjMDk1MmY5N2E0MzMwOWEiLCJ1c2VySWQiOiI1OTI0NDY0NDUifQ==</vt:lpwstr>
  </property>
</Properties>
</file>