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EFD49B2">
      <w:pPr>
        <w:pStyle w:val="11"/>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77EF68BC">
      <w:pPr>
        <w:pStyle w:val="11"/>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：原则上不允许＞</w:t>
      </w:r>
      <w:r>
        <w:rPr>
          <w:rFonts w:hint="eastAsia"/>
          <w:color w:val="FF0000"/>
          <w:sz w:val="24"/>
          <w:szCs w:val="24"/>
          <w:lang w:val="en-US" w:eastAsia="zh-CN"/>
        </w:rPr>
        <w:t>3项</w:t>
      </w:r>
      <w:r>
        <w:rPr>
          <w:rFonts w:hint="eastAsia"/>
          <w:color w:val="FF0000"/>
          <w:sz w:val="21"/>
          <w:szCs w:val="21"/>
          <w:lang w:val="en-US" w:eastAsia="zh-CN"/>
        </w:rPr>
        <w:t>，不满足（负偏离）则扣分；</w:t>
      </w:r>
    </w:p>
    <w:p w14:paraId="58B8F7B8">
      <w:pPr>
        <w:pStyle w:val="11"/>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：原则上不允许＞</w:t>
      </w:r>
      <w:r>
        <w:rPr>
          <w:rFonts w:hint="eastAsia"/>
          <w:color w:val="FF0000"/>
          <w:sz w:val="24"/>
          <w:szCs w:val="24"/>
          <w:lang w:val="en-US" w:eastAsia="zh-CN"/>
        </w:rPr>
        <w:t>5项，</w:t>
      </w:r>
      <w:r>
        <w:rPr>
          <w:rFonts w:hint="eastAsia"/>
          <w:color w:val="FF0000"/>
          <w:sz w:val="21"/>
          <w:szCs w:val="21"/>
          <w:lang w:val="en-US" w:eastAsia="zh-CN"/>
        </w:rPr>
        <w:t>不满足的为负偏离，评审时予以扣分。</w:t>
      </w:r>
    </w:p>
    <w:p w14:paraId="11BBA451">
      <w:pPr>
        <w:pStyle w:val="11"/>
        <w:ind w:left="-708" w:leftChars="-337"/>
        <w:rPr>
          <w:rFonts w:cs="宋体"/>
          <w:b/>
          <w:bCs/>
          <w:sz w:val="28"/>
          <w:szCs w:val="28"/>
        </w:rPr>
      </w:pPr>
      <w:r>
        <w:rPr>
          <w:rFonts w:hint="eastAsia" w:cs="宋体"/>
          <w:b/>
          <w:bCs/>
          <w:sz w:val="28"/>
          <w:szCs w:val="28"/>
        </w:rPr>
        <w:t>一、采购清单、技术规格参数、质量标准和要求</w:t>
      </w:r>
    </w:p>
    <w:p w14:paraId="515CA7BA">
      <w:pPr>
        <w:pStyle w:val="11"/>
        <w:ind w:left="-708" w:leftChars="-337"/>
        <w:rPr>
          <w:b/>
          <w:bCs/>
        </w:rPr>
      </w:pPr>
      <w:r>
        <w:rPr>
          <w:rFonts w:hint="eastAsia" w:cs="宋体"/>
          <w:b/>
          <w:bCs/>
        </w:rPr>
        <w:t>（一）采购清单</w:t>
      </w:r>
      <w:r>
        <w:rPr>
          <w:b/>
          <w:bCs/>
        </w:rPr>
        <w:t> </w:t>
      </w:r>
    </w:p>
    <w:p w14:paraId="677ECD0A">
      <w:pPr>
        <w:pStyle w:val="11"/>
        <w:ind w:left="-708" w:leftChars="-337" w:firstLine="720" w:firstLineChars="300"/>
        <w:rPr>
          <w:rFonts w:hint="default" w:eastAsia="宋体"/>
          <w:b w:val="0"/>
          <w:bCs w:val="0"/>
          <w:lang w:val="en-US" w:eastAsia="zh-CN"/>
        </w:rPr>
      </w:pPr>
      <w:r>
        <w:rPr>
          <w:rFonts w:hint="eastAsia"/>
          <w:b w:val="0"/>
          <w:bCs w:val="0"/>
          <w:lang w:val="en-US" w:eastAsia="zh-CN"/>
        </w:rPr>
        <w:t>1.</w:t>
      </w:r>
      <w:r>
        <w:rPr>
          <w:rFonts w:hint="eastAsia"/>
          <w:b w:val="0"/>
          <w:bCs w:val="0"/>
          <w:lang w:eastAsia="zh-CN"/>
        </w:rPr>
        <w:t>血糖仪</w:t>
      </w:r>
      <w:r>
        <w:rPr>
          <w:rFonts w:hint="eastAsia"/>
          <w:b w:val="0"/>
          <w:bCs w:val="0"/>
          <w:lang w:val="en-US" w:eastAsia="zh-CN"/>
        </w:rPr>
        <w:t>80台（配备管理系统软件1套）</w:t>
      </w:r>
    </w:p>
    <w:p w14:paraId="669E86FB">
      <w:pPr>
        <w:pStyle w:val="11"/>
        <w:ind w:left="-708" w:leftChars="-337"/>
        <w:rPr>
          <w:rFonts w:hint="default"/>
          <w:b w:val="0"/>
          <w:bCs w:val="0"/>
          <w:lang w:val="en-US" w:eastAsia="zh-CN"/>
        </w:rPr>
      </w:pPr>
      <w:r>
        <w:rPr>
          <w:rFonts w:hint="eastAsia"/>
          <w:b w:val="0"/>
          <w:bCs w:val="0"/>
          <w:lang w:val="en-US" w:eastAsia="zh-CN"/>
        </w:rPr>
        <w:t xml:space="preserve">      2.血糖试纸（根据临床使用需要采购）    </w:t>
      </w:r>
    </w:p>
    <w:p w14:paraId="01F19596">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14:paraId="59904ECA">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血糖仪：</w:t>
      </w:r>
    </w:p>
    <w:p w14:paraId="537AB2B9">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★1、外观：一体机，非组合机</w:t>
      </w:r>
    </w:p>
    <w:p w14:paraId="2DD3AE18">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＃2、显示屏：彩色液晶触摸屏，可支持戴手套触控操作</w:t>
      </w:r>
    </w:p>
    <w:p w14:paraId="042D6161">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3、存储数据容量：至少10000次血糖数据</w:t>
      </w:r>
    </w:p>
    <w:p w14:paraId="23F8C843">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4、可充式电池</w:t>
      </w:r>
    </w:p>
    <w:p w14:paraId="3B1DF2D8">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5、测量时间：≤5秒</w:t>
      </w:r>
    </w:p>
    <w:p w14:paraId="75AEAB20">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＃6、断电模式：测量后出现断电，数据会自动保存，恢复后可自动上传数据功能</w:t>
      </w:r>
    </w:p>
    <w:p w14:paraId="45F35D5A">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7、传输方式：支持有线、无线wifi及USB传输</w:t>
      </w:r>
    </w:p>
    <w:p w14:paraId="3ACBFD3A">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8、输入方式：支持条形码扫描、手动输入及清单选择</w:t>
      </w:r>
    </w:p>
    <w:p w14:paraId="4675D3A5">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＃9、安全防护：具备避免血液污染设计或功能</w:t>
      </w:r>
    </w:p>
    <w:p w14:paraId="573F434C">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＃10、质控机制管理：质控频率灵活设定，且具有质控锁定功能</w:t>
      </w:r>
    </w:p>
    <w:p w14:paraId="56036528">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血糖管理</w:t>
      </w:r>
      <w:r>
        <w:rPr>
          <w:rFonts w:hint="eastAsia" w:ascii="宋体" w:hAnsi="宋体" w:eastAsia="宋体" w:cs="宋体"/>
          <w:b/>
          <w:bCs/>
          <w:sz w:val="24"/>
          <w:szCs w:val="24"/>
          <w:lang w:val="en-US" w:eastAsia="zh-CN"/>
        </w:rPr>
        <w:t>系统软件要求：</w:t>
      </w:r>
    </w:p>
    <w:p w14:paraId="5DB27399">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★1、可与医院HIS、LIS系统无缝对接，支持全院血糖信息化管理。</w:t>
      </w:r>
    </w:p>
    <w:p w14:paraId="6877E3DF">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2、操作人员权限管理：登入系统需要权限登陆，保护信息安全。</w:t>
      </w:r>
    </w:p>
    <w:p w14:paraId="459D4263">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3、血糖数据管理：可通过电视大屏、电脑端、移动设备直观查看当日本科室和全院患者血糖情况，具备数据汇总、分析等功能。管理部门可对全院血糖管理情况进行监控，实现临床端、管理端的全院血糖管控。</w:t>
      </w:r>
    </w:p>
    <w:p w14:paraId="4DB570C7">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4、支持虚拟病房建设，可设定血糖危急值范围，出现危急值患者可自动推送到虚拟病房，医生可在电脑端进入虚拟病房查看危急值患者情况，包括科室，床位，姓名，血糖值、汇总分析等信息，并及时做出诊疗建议。</w:t>
      </w:r>
    </w:p>
    <w:p w14:paraId="461258AF">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5、支持血糖数值弹窗提醒功能，血糖达到设定目标值时自动弹窗：如空腹血糖10-16mmol/L或非空腹血糖16-22mmol/L或血糖≤3.9mmol/L，弹窗信息推送至HIS系统，内分泌科专科医生可线上给予处置意见；血糖≥22mmol/L，立即报警，内分泌科专科医生即时给予线上处置意见。从而实现以内分泌科为主导的全院血糖管理目的。</w:t>
      </w:r>
    </w:p>
    <w:p w14:paraId="1B9F26AF">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6、支持门诊、社区、医联体、居家患者的血糖管理，形成院内院外闭环式管理，避免病人流失。</w:t>
      </w:r>
    </w:p>
    <w:p w14:paraId="7F63F31F">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＃7、软件系统认证：必须获得计算机著作权登记和医疗器械注册许可证、同时具有系统信息安全认证。</w:t>
      </w:r>
    </w:p>
    <w:p w14:paraId="0BFF3985">
      <w:pPr>
        <w:pStyle w:val="11"/>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可根据临床需要灵活设计调整表单，图标等并提供终身免费系统软件升级和终身免费售后服务。</w:t>
      </w:r>
    </w:p>
    <w:p w14:paraId="463D5379">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血糖试纸：</w:t>
      </w:r>
    </w:p>
    <w:p w14:paraId="0854F3D6">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★1、方法学：采用葡萄糖脱氢酶法（适用于毛细血管血、新生儿血、静脉血、 动脉血测量）</w:t>
      </w:r>
    </w:p>
    <w:p w14:paraId="5CAF76F7">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＃2、可测量血糖：0.6-33.3mmol/L</w:t>
      </w:r>
    </w:p>
    <w:p w14:paraId="0AA47033">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＃3、红细胞压积：10-70%</w:t>
      </w:r>
    </w:p>
    <w:p w14:paraId="0D87BE3A">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＃4、需血量：≤0.75uL</w:t>
      </w:r>
    </w:p>
    <w:p w14:paraId="3CF3D524">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 xml:space="preserve">5、准确度和精确度：符合ISO15197 2013标准，①测试范围&lt; 5.5mmol/L，SD（标准差）&lt; 0.42mmol/L；   测试范围≥5.5mmol/L，CV（变异系数）&lt; 7.5%   </w:t>
      </w:r>
    </w:p>
    <w:p w14:paraId="71922B1B">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cs="宋体"/>
        </w:rPr>
      </w:pPr>
      <w:r>
        <w:rPr>
          <w:rFonts w:hint="eastAsia" w:ascii="宋体" w:hAnsi="宋体" w:cs="宋体"/>
        </w:rPr>
        <w:t>②测试范围&lt; 5.5mmol/L，至少95%的检测结果差异在±0.83 mmol/L范围内；测试范围≥ 5.5mmol/L，至少95%的检测结果差异±15%的范围内。</w:t>
      </w:r>
    </w:p>
    <w:p w14:paraId="0B112523">
      <w:pPr>
        <w:pStyle w:val="11"/>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rPr>
        <w:t>6、通过国家临检中心或者自治区临检中心的室间质评评价实验</w:t>
      </w:r>
      <w:r>
        <w:rPr>
          <w:rFonts w:hint="eastAsia" w:ascii="宋体" w:hAnsi="宋体" w:cs="宋体"/>
          <w:lang w:eastAsia="zh-CN"/>
        </w:rPr>
        <w:t>。</w:t>
      </w:r>
    </w:p>
    <w:p w14:paraId="031AB961">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1"/>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1"/>
        <w:ind w:left="-708" w:leftChars="-337"/>
        <w:rPr>
          <w:rFonts w:hint="eastAsia" w:cs="宋体"/>
          <w:b/>
          <w:bCs/>
        </w:rPr>
      </w:pPr>
      <w:r>
        <w:rPr>
          <w:rFonts w:hint="eastAsia" w:cs="宋体"/>
          <w:b/>
          <w:bCs/>
        </w:rPr>
        <w:t>（四）商务要求</w:t>
      </w:r>
    </w:p>
    <w:p w14:paraId="6B26C896">
      <w:pPr>
        <w:pStyle w:val="11"/>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1"/>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1"/>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1"/>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1"/>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36F4B1C">
      <w:pPr>
        <w:pStyle w:val="11"/>
        <w:ind w:left="-708" w:leftChars="-337"/>
        <w:rPr>
          <w:rFonts w:hint="default" w:cs="宋体"/>
          <w:b/>
          <w:bCs/>
          <w:lang w:val="en-US" w:eastAsia="zh-CN"/>
        </w:rPr>
      </w:pPr>
      <w:r>
        <w:rPr>
          <w:rFonts w:hint="eastAsia" w:cs="宋体"/>
          <w:b/>
          <w:bCs/>
          <w:lang w:val="en-US" w:eastAsia="zh-CN"/>
        </w:rPr>
        <w:t>2、投标产品资格要求</w:t>
      </w:r>
    </w:p>
    <w:p w14:paraId="26B5E0B8">
      <w:pPr>
        <w:pStyle w:val="11"/>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ind w:left="-708" w:leftChars="-337"/>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1"/>
        <w:ind w:left="-708" w:leftChars="-337"/>
        <w:rPr>
          <w:rFonts w:hint="eastAsia"/>
        </w:rPr>
      </w:pPr>
      <w:r>
        <w:rPr>
          <w:rFonts w:hint="eastAsia"/>
          <w:b/>
          <w:bCs/>
        </w:rPr>
        <w:t>3、售后服务和</w:t>
      </w:r>
      <w:r>
        <w:rPr>
          <w:rFonts w:hint="eastAsia"/>
          <w:b/>
          <w:bCs/>
          <w:lang w:val="en-US" w:eastAsia="zh-CN"/>
        </w:rPr>
        <w:t>资质</w:t>
      </w:r>
    </w:p>
    <w:p w14:paraId="6A4B446E">
      <w:pPr>
        <w:pStyle w:val="11"/>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1"/>
        <w:ind w:left="-708" w:leftChars="-337"/>
        <w:rPr>
          <w:rFonts w:hint="eastAsia"/>
        </w:rPr>
      </w:pPr>
      <w:r>
        <w:rPr>
          <w:rFonts w:hint="eastAsia"/>
          <w:lang w:val="en-US" w:eastAsia="zh-CN"/>
        </w:rPr>
        <w:t>2）</w:t>
      </w:r>
      <w:r>
        <w:rPr>
          <w:rFonts w:hint="eastAsia"/>
        </w:rPr>
        <w:t>维修备件必须是原厂备件。</w:t>
      </w:r>
    </w:p>
    <w:p w14:paraId="3309615C">
      <w:pPr>
        <w:pStyle w:val="11"/>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29080DB1">
      <w:pPr>
        <w:pStyle w:val="11"/>
        <w:ind w:left="-708" w:leftChars="-337"/>
        <w:rPr>
          <w:rFonts w:hint="default"/>
          <w:highlight w:val="yellow"/>
          <w:lang w:val="en-US" w:eastAsia="zh-CN"/>
        </w:rPr>
      </w:pPr>
      <w:r>
        <w:rPr>
          <w:rFonts w:hint="eastAsia"/>
          <w:highlight w:val="yellow"/>
          <w:lang w:val="en-US" w:eastAsia="zh-CN"/>
        </w:rPr>
        <w:t>4）负责按血糖仪管理规定进行质控检测并作好记录，同时提供给医疗设备组备存。</w:t>
      </w:r>
    </w:p>
    <w:p w14:paraId="36E10A0B">
      <w:pPr>
        <w:pStyle w:val="11"/>
        <w:ind w:left="-708" w:leftChars="-337"/>
        <w:rPr>
          <w:rFonts w:hint="eastAsia"/>
        </w:rPr>
      </w:pPr>
      <w:r>
        <w:rPr>
          <w:rFonts w:hint="eastAsia"/>
          <w:lang w:val="en-US" w:eastAsia="zh-CN"/>
        </w:rPr>
        <w:t>5）</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1"/>
        <w:ind w:left="-708" w:leftChars="-337"/>
        <w:rPr>
          <w:rFonts w:hint="eastAsia" w:cs="宋体"/>
          <w:kern w:val="0"/>
          <w:sz w:val="24"/>
          <w:szCs w:val="24"/>
        </w:rPr>
      </w:pPr>
      <w:r>
        <w:rPr>
          <w:rFonts w:hint="eastAsia"/>
          <w:lang w:val="en-US" w:eastAsia="zh-CN"/>
        </w:rPr>
        <w:t>6）</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1"/>
        <w:ind w:left="-708" w:leftChars="-337"/>
        <w:rPr>
          <w:kern w:val="0"/>
          <w:sz w:val="24"/>
          <w:szCs w:val="24"/>
        </w:rPr>
      </w:pPr>
      <w:r>
        <w:rPr>
          <w:rFonts w:hint="eastAsia" w:cs="宋体"/>
          <w:kern w:val="0"/>
          <w:sz w:val="24"/>
          <w:szCs w:val="24"/>
          <w:lang w:val="en-US" w:eastAsia="zh-CN"/>
        </w:rPr>
        <w:t>7）</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1"/>
        <w:ind w:left="-708" w:leftChars="-337"/>
        <w:rPr>
          <w:kern w:val="0"/>
          <w:sz w:val="24"/>
          <w:szCs w:val="24"/>
        </w:rPr>
      </w:pPr>
      <w:r>
        <w:rPr>
          <w:kern w:val="0"/>
          <w:sz w:val="24"/>
          <w:szCs w:val="24"/>
        </w:rPr>
        <w:t xml:space="preserve">  </w:t>
      </w:r>
    </w:p>
    <w:p w14:paraId="0FA158CE">
      <w:pPr>
        <w:pStyle w:val="11"/>
        <w:ind w:left="-708" w:leftChars="-337"/>
        <w:rPr>
          <w:rFonts w:hint="eastAsia"/>
          <w:b/>
          <w:bCs/>
          <w:kern w:val="0"/>
          <w:sz w:val="24"/>
          <w:szCs w:val="24"/>
          <w:lang w:val="en-US" w:eastAsia="zh-CN"/>
        </w:rPr>
      </w:pPr>
      <w:r>
        <w:rPr>
          <w:rFonts w:hint="eastAsia"/>
          <w:b/>
          <w:bCs/>
          <w:kern w:val="0"/>
          <w:sz w:val="24"/>
          <w:szCs w:val="24"/>
          <w:lang w:val="en-US" w:eastAsia="zh-CN"/>
        </w:rPr>
        <w:t>8）</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eastAsia="宋体"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r>
        <w:rPr>
          <w:rFonts w:hint="eastAsia" w:cs="宋体"/>
          <w:kern w:val="0"/>
          <w:sz w:val="24"/>
          <w:szCs w:val="24"/>
          <w:highlight w:val="yellow"/>
        </w:rPr>
        <w:t>。</w:t>
      </w:r>
      <w:r>
        <w:rPr>
          <w:rFonts w:hint="eastAsia" w:cs="宋体"/>
          <w:kern w:val="0"/>
          <w:sz w:val="24"/>
          <w:szCs w:val="24"/>
          <w:highlight w:val="yellow"/>
          <w:lang w:eastAsia="zh-CN"/>
        </w:rPr>
        <w:t>血糖试纸按实际使用量定期结算并参照耗材采购流程管理进行支付。</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1"/>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13B45921">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lang w:val="en-US" w:eastAsia="zh-CN"/>
        </w:rPr>
        <w:t xml:space="preserve"> 竞争性磋商 </w:t>
      </w:r>
      <w:r>
        <w:rPr>
          <w:rFonts w:hint="eastAsia" w:cs="宋体"/>
          <w:kern w:val="0"/>
          <w:sz w:val="24"/>
          <w:szCs w:val="24"/>
        </w:rPr>
        <w:t>确定中标候选人。</w:t>
      </w:r>
    </w:p>
    <w:p w14:paraId="6F03C816">
      <w:pPr>
        <w:widowControl/>
        <w:spacing w:line="360" w:lineRule="auto"/>
        <w:ind w:firstLine="480" w:firstLineChars="200"/>
        <w:jc w:val="left"/>
        <w:rPr>
          <w:rFonts w:cs="宋体"/>
          <w:b/>
          <w:bCs/>
          <w:kern w:val="0"/>
          <w:sz w:val="28"/>
          <w:szCs w:val="28"/>
        </w:rPr>
      </w:pPr>
      <w:r>
        <w:rPr>
          <w:rFonts w:hint="eastAsia" w:cs="宋体"/>
          <w:kern w:val="0"/>
          <w:sz w:val="24"/>
          <w:szCs w:val="24"/>
          <w:lang w:val="en-US" w:eastAsia="zh-CN"/>
        </w:rPr>
        <w:t xml:space="preserve">   </w:t>
      </w:r>
      <w:r>
        <w:rPr>
          <w:rFonts w:hint="eastAsia" w:cs="宋体"/>
          <w:b/>
          <w:bCs/>
          <w:kern w:val="0"/>
          <w:sz w:val="28"/>
          <w:szCs w:val="28"/>
        </w:rPr>
        <w:t>二、评分标准</w:t>
      </w:r>
    </w:p>
    <w:p w14:paraId="6794C72F">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14:paraId="7CB84913">
      <w:pPr>
        <w:widowControl/>
        <w:numPr>
          <w:ilvl w:val="0"/>
          <w:numId w:val="3"/>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hint="eastAsia" w:cs="宋体"/>
          <w:b/>
          <w:bCs/>
          <w:kern w:val="0"/>
          <w:sz w:val="24"/>
          <w:szCs w:val="24"/>
          <w:lang w:val="en-US" w:eastAsia="zh-CN"/>
        </w:rPr>
        <w:t>60</w:t>
      </w:r>
      <w:r>
        <w:rPr>
          <w:rFonts w:hint="eastAsia" w:cs="宋体"/>
          <w:b/>
          <w:bCs/>
          <w:kern w:val="0"/>
          <w:sz w:val="24"/>
          <w:szCs w:val="24"/>
        </w:rPr>
        <w:t>分）</w:t>
      </w:r>
    </w:p>
    <w:p w14:paraId="78170190">
      <w:pPr>
        <w:widowControl/>
        <w:spacing w:line="360" w:lineRule="auto"/>
        <w:ind w:firstLine="480" w:firstLineChars="200"/>
        <w:jc w:val="left"/>
        <w:rPr>
          <w:rFonts w:hint="eastAsia" w:cs="宋体"/>
          <w:kern w:val="0"/>
          <w:sz w:val="24"/>
          <w:szCs w:val="24"/>
          <w:highlight w:val="yellow"/>
          <w:lang w:val="en-US" w:eastAsia="zh-CN"/>
        </w:rPr>
      </w:pPr>
      <w:r>
        <w:rPr>
          <w:rFonts w:hint="eastAsia" w:cs="宋体"/>
          <w:kern w:val="0"/>
          <w:sz w:val="24"/>
          <w:szCs w:val="24"/>
          <w:highlight w:val="yellow"/>
          <w:lang w:val="en-US" w:eastAsia="zh-CN"/>
        </w:rPr>
        <w:t>1.1血糖仪单价占价格分5% ；配套血糖试纸单价占价格分95%</w:t>
      </w:r>
    </w:p>
    <w:p w14:paraId="7722158F">
      <w:pPr>
        <w:widowControl/>
        <w:spacing w:line="360" w:lineRule="auto"/>
        <w:ind w:firstLine="480" w:firstLineChars="200"/>
        <w:jc w:val="left"/>
        <w:rPr>
          <w:rFonts w:hint="default"/>
          <w:b/>
          <w:bCs/>
          <w:kern w:val="0"/>
          <w:sz w:val="24"/>
          <w:szCs w:val="24"/>
          <w:highlight w:val="yellow"/>
          <w:lang w:val="en-US"/>
        </w:rPr>
      </w:pPr>
      <w:r>
        <w:rPr>
          <w:rFonts w:hint="eastAsia" w:cs="宋体"/>
          <w:kern w:val="0"/>
          <w:sz w:val="24"/>
          <w:szCs w:val="24"/>
          <w:highlight w:val="yellow"/>
          <w:lang w:val="en-US" w:eastAsia="zh-CN"/>
        </w:rPr>
        <w:t>1.2价格分=血糖仪价格分+血糖试纸价格分</w:t>
      </w:r>
    </w:p>
    <w:p w14:paraId="7F618B1D">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hint="eastAsia" w:cs="宋体"/>
          <w:b/>
          <w:bCs/>
          <w:kern w:val="0"/>
          <w:sz w:val="24"/>
          <w:szCs w:val="24"/>
          <w:lang w:val="en-US" w:eastAsia="zh-CN"/>
        </w:rPr>
        <w:t>30</w:t>
      </w:r>
      <w:r>
        <w:rPr>
          <w:rFonts w:hint="eastAsia" w:cs="宋体"/>
          <w:b/>
          <w:bCs/>
          <w:kern w:val="0"/>
          <w:sz w:val="24"/>
          <w:szCs w:val="24"/>
        </w:rPr>
        <w:t>分）</w:t>
      </w:r>
    </w:p>
    <w:p w14:paraId="4D47B3CB">
      <w:pPr>
        <w:pStyle w:val="11"/>
      </w:pPr>
      <w:r>
        <w:rPr>
          <w:rFonts w:hint="eastAsia"/>
        </w:rPr>
        <w:t xml:space="preserve"> </w:t>
      </w:r>
      <w:r>
        <w:t xml:space="preserve">  </w:t>
      </w:r>
      <w:r>
        <w:rPr>
          <w:rFonts w:hint="eastAsia"/>
        </w:rPr>
        <w:t>考察投标人产品技术参数、性能要求、功能特性等响应及偏离情况</w:t>
      </w:r>
    </w:p>
    <w:p w14:paraId="1172755B">
      <w:pPr>
        <w:widowControl/>
        <w:spacing w:line="360" w:lineRule="auto"/>
        <w:ind w:firstLine="482" w:firstLineChars="200"/>
        <w:jc w:val="left"/>
        <w:rPr>
          <w:rFonts w:hint="eastAsia" w:eastAsia="宋体" w:cs="宋体"/>
          <w:b/>
          <w:bCs/>
          <w:kern w:val="0"/>
          <w:sz w:val="24"/>
          <w:szCs w:val="24"/>
          <w:lang w:eastAsia="zh-CN"/>
        </w:rPr>
      </w:pPr>
      <w:bookmarkStart w:id="4" w:name="_GoBack"/>
      <w:bookmarkEnd w:id="4"/>
      <w:r>
        <w:rPr>
          <w:b/>
          <w:bCs/>
          <w:kern w:val="0"/>
          <w:sz w:val="24"/>
          <w:szCs w:val="24"/>
        </w:rPr>
        <w:t xml:space="preserve">3. </w:t>
      </w:r>
      <w:r>
        <w:rPr>
          <w:rFonts w:hint="eastAsia" w:cs="宋体"/>
          <w:b/>
          <w:bCs/>
          <w:kern w:val="0"/>
          <w:sz w:val="24"/>
          <w:szCs w:val="24"/>
        </w:rPr>
        <w:t>售后服务分</w:t>
      </w:r>
      <w:r>
        <w:rPr>
          <w:rFonts w:hint="eastAsia" w:cs="宋体"/>
          <w:b/>
          <w:bCs/>
          <w:kern w:val="0"/>
          <w:sz w:val="24"/>
          <w:szCs w:val="24"/>
          <w:lang w:eastAsia="zh-CN"/>
        </w:rPr>
        <w:t>（</w:t>
      </w:r>
      <w:r>
        <w:rPr>
          <w:rFonts w:hint="eastAsia" w:cs="宋体"/>
          <w:b/>
          <w:bCs/>
          <w:kern w:val="0"/>
          <w:sz w:val="24"/>
          <w:szCs w:val="24"/>
          <w:lang w:val="en-US" w:eastAsia="zh-CN"/>
        </w:rPr>
        <w:t>10分</w:t>
      </w:r>
      <w:r>
        <w:rPr>
          <w:rFonts w:hint="eastAsia" w:cs="宋体"/>
          <w:b/>
          <w:bCs/>
          <w:kern w:val="0"/>
          <w:sz w:val="24"/>
          <w:szCs w:val="24"/>
          <w:lang w:eastAsia="zh-CN"/>
        </w:rPr>
        <w:t>）</w:t>
      </w:r>
    </w:p>
    <w:p w14:paraId="2C642320">
      <w:pPr>
        <w:pStyle w:val="11"/>
        <w:ind w:firstLine="480" w:firstLineChars="200"/>
      </w:pPr>
      <w:r>
        <w:rPr>
          <w:rFonts w:hint="eastAsia"/>
        </w:rPr>
        <w:t>3.1考察投标人的服务方案、售后服务承诺、投入人员、更长保修期等情况</w:t>
      </w:r>
    </w:p>
    <w:p w14:paraId="046EA305">
      <w:pPr>
        <w:pStyle w:val="11"/>
        <w:ind w:firstLine="480" w:firstLineChars="200"/>
      </w:pPr>
      <w:r>
        <w:rPr>
          <w:rFonts w:hint="eastAsia"/>
        </w:rPr>
        <w:t>3.2区间为10-20分</w:t>
      </w:r>
    </w:p>
    <w:p w14:paraId="376CF545">
      <w:pPr>
        <w:pStyle w:val="11"/>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2451b98-46ff-47ce-a496-ad5922d08d4f}"/>
        </w:placeholder>
      </w:sdtPr>
      <w:sdtEndPr>
        <w:rPr>
          <w:rFonts w:hint="default" w:ascii="Times New Roman" w:hAnsi="Times New Roman" w:cs="Times New Roman"/>
          <w:color w:val="000000"/>
          <w:kern w:val="0"/>
          <w:sz w:val="24"/>
          <w:szCs w:val="24"/>
        </w:rPr>
      </w:sdtEndPr>
      <w:sdtContent>
        <w:tbl>
          <w:tblPr>
            <w:tblStyle w:val="7"/>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14:paraId="778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9" w:type="dxa"/>
                <w:vAlign w:val="center"/>
              </w:tcPr>
              <w:p w14:paraId="02A70D6F">
                <w:pPr>
                  <w:spacing w:line="280" w:lineRule="exact"/>
                  <w:rPr>
                    <w:rFonts w:ascii="宋体" w:hAnsi="宋体" w:cs="宋体"/>
                  </w:rPr>
                </w:pPr>
                <w:r>
                  <w:rPr>
                    <w:rFonts w:hint="eastAsia" w:ascii="宋体" w:hAnsi="宋体" w:cs="宋体"/>
                  </w:rPr>
                  <w:t>序号</w:t>
                </w:r>
              </w:p>
            </w:tc>
            <w:tc>
              <w:tcPr>
                <w:tcW w:w="1418" w:type="dxa"/>
                <w:vAlign w:val="center"/>
              </w:tcPr>
              <w:p w14:paraId="6A471000">
                <w:pPr>
                  <w:spacing w:line="280" w:lineRule="exact"/>
                  <w:rPr>
                    <w:rFonts w:ascii="宋体" w:hAnsi="宋体" w:cs="宋体"/>
                  </w:rPr>
                </w:pPr>
                <w:r>
                  <w:rPr>
                    <w:rFonts w:hint="eastAsia" w:ascii="宋体" w:hAnsi="宋体" w:cs="宋体"/>
                  </w:rPr>
                  <w:t>评分内容</w:t>
                </w:r>
              </w:p>
            </w:tc>
            <w:tc>
              <w:tcPr>
                <w:tcW w:w="6409" w:type="dxa"/>
                <w:vAlign w:val="center"/>
              </w:tcPr>
              <w:p w14:paraId="7A847512">
                <w:pPr>
                  <w:spacing w:line="280" w:lineRule="exact"/>
                  <w:rPr>
                    <w:rFonts w:ascii="宋体" w:hAnsi="宋体" w:cs="宋体"/>
                  </w:rPr>
                </w:pPr>
                <w:r>
                  <w:rPr>
                    <w:rFonts w:hint="eastAsia" w:ascii="宋体" w:hAnsi="宋体" w:cs="宋体"/>
                  </w:rPr>
                  <w:t>评分标准</w:t>
                </w:r>
              </w:p>
            </w:tc>
            <w:tc>
              <w:tcPr>
                <w:tcW w:w="1088" w:type="dxa"/>
                <w:vAlign w:val="center"/>
              </w:tcPr>
              <w:p w14:paraId="2849B628">
                <w:pPr>
                  <w:spacing w:line="280" w:lineRule="exact"/>
                  <w:rPr>
                    <w:rFonts w:ascii="宋体" w:hAnsi="宋体" w:cs="宋体"/>
                  </w:rPr>
                </w:pPr>
                <w:r>
                  <w:rPr>
                    <w:rFonts w:hint="eastAsia" w:ascii="宋体" w:hAnsi="宋体" w:cs="宋体"/>
                  </w:rPr>
                  <w:t>最高得分</w:t>
                </w:r>
              </w:p>
            </w:tc>
          </w:tr>
          <w:tr w14:paraId="1735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4E6DE690">
                <w:pPr>
                  <w:spacing w:line="280" w:lineRule="exact"/>
                  <w:rPr>
                    <w:rFonts w:ascii="宋体" w:hAnsi="宋体" w:cs="宋体"/>
                  </w:rPr>
                </w:pPr>
                <w:r>
                  <w:rPr>
                    <w:rFonts w:hint="eastAsia" w:ascii="宋体" w:hAnsi="宋体" w:cs="宋体"/>
                  </w:rPr>
                  <w:t>一</w:t>
                </w:r>
              </w:p>
            </w:tc>
            <w:tc>
              <w:tcPr>
                <w:tcW w:w="1418" w:type="dxa"/>
                <w:vAlign w:val="center"/>
              </w:tcPr>
              <w:p w14:paraId="1DD15EC2">
                <w:pPr>
                  <w:spacing w:line="280" w:lineRule="exact"/>
                  <w:rPr>
                    <w:rFonts w:ascii="宋体" w:hAnsi="宋体" w:cs="宋体"/>
                  </w:rPr>
                </w:pPr>
                <w:r>
                  <w:rPr>
                    <w:rFonts w:hint="eastAsia" w:ascii="宋体" w:hAnsi="宋体" w:cs="宋体"/>
                  </w:rPr>
                  <w:t>投标报价分</w:t>
                </w:r>
              </w:p>
              <w:p w14:paraId="40A85FE1">
                <w:pPr>
                  <w:pStyle w:val="11"/>
                </w:pPr>
                <w:r>
                  <w:rPr>
                    <w:rFonts w:hint="eastAsia"/>
                  </w:rPr>
                  <w:t>（</w:t>
                </w:r>
                <w:r>
                  <w:rPr>
                    <w:color w:val="FF0000"/>
                    <w:u w:val="single"/>
                  </w:rPr>
                  <w:t xml:space="preserve">  </w:t>
                </w:r>
                <w:r>
                  <w:rPr>
                    <w:rFonts w:hint="eastAsia"/>
                    <w:color w:val="FF0000"/>
                    <w:u w:val="single"/>
                    <w:lang w:val="en-US" w:eastAsia="zh-CN"/>
                  </w:rPr>
                  <w:t>60</w:t>
                </w:r>
                <w:r>
                  <w:rPr>
                    <w:color w:val="FF0000"/>
                    <w:u w:val="single"/>
                  </w:rPr>
                  <w:t xml:space="preserve"> </w:t>
                </w:r>
                <w:r>
                  <w:rPr>
                    <w:rFonts w:hint="eastAsia"/>
                  </w:rPr>
                  <w:t>分）</w:t>
                </w:r>
              </w:p>
            </w:tc>
            <w:tc>
              <w:tcPr>
                <w:tcW w:w="6409" w:type="dxa"/>
                <w:vAlign w:val="center"/>
              </w:tcPr>
              <w:p w14:paraId="1B4C3577">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14:paraId="68CF3F5B">
                <w:pPr>
                  <w:pStyle w:val="3"/>
                  <w:spacing w:line="400" w:lineRule="exact"/>
                  <w:outlineLvl w:val="0"/>
                  <w:rPr>
                    <w:rFonts w:ascii="新宋体" w:hAnsi="新宋体" w:eastAsia="新宋体" w:cs="新宋体"/>
                    <w:color w:val="000000"/>
                  </w:rPr>
                </w:pPr>
                <w:r>
                  <w:rPr>
                    <w:rFonts w:hint="eastAsia" w:hAnsi="宋体"/>
                    <w:bCs/>
                  </w:rPr>
                  <w:t>（2）</w:t>
                </w:r>
                <w:r>
                  <w:rPr>
                    <w:rStyle w:val="17"/>
                    <w:rFonts w:hint="default" w:ascii="新宋体" w:hAnsi="新宋体" w:eastAsia="新宋体" w:cs="新宋体"/>
                  </w:rPr>
                  <w:t>价格分应当采用低价优先法计算，即满足磋商</w:t>
                </w:r>
                <w:bookmarkStart w:id="0" w:name="_Toc24090"/>
                <w:bookmarkStart w:id="1" w:name="_Toc3729"/>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14:paraId="56ACC4BE">
                <w:pPr>
                  <w:pStyle w:val="3"/>
                  <w:spacing w:line="400" w:lineRule="exact"/>
                  <w:ind w:left="241" w:hanging="241" w:hangingChars="100"/>
                  <w:outlineLvl w:val="0"/>
                  <w:rPr>
                    <w:rFonts w:hAnsi="宋体" w:cs="宋体"/>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14:paraId="7EF13EE9">
                <w:pPr>
                  <w:spacing w:line="280" w:lineRule="exact"/>
                  <w:rPr>
                    <w:rFonts w:ascii="宋体" w:hAnsi="宋体" w:cs="宋体"/>
                  </w:rPr>
                </w:pPr>
              </w:p>
            </w:tc>
          </w:tr>
          <w:tr w14:paraId="21D8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9" w:type="dxa"/>
                <w:vAlign w:val="center"/>
              </w:tcPr>
              <w:p w14:paraId="400A007E">
                <w:pPr>
                  <w:spacing w:line="280" w:lineRule="exact"/>
                  <w:rPr>
                    <w:rFonts w:ascii="宋体" w:hAnsi="宋体" w:cs="宋体"/>
                  </w:rPr>
                </w:pPr>
                <w:r>
                  <w:rPr>
                    <w:rFonts w:hint="eastAsia" w:ascii="宋体" w:hAnsi="宋体" w:cs="宋体"/>
                  </w:rPr>
                  <w:t>二</w:t>
                </w:r>
              </w:p>
            </w:tc>
            <w:tc>
              <w:tcPr>
                <w:tcW w:w="1418" w:type="dxa"/>
                <w:vAlign w:val="center"/>
              </w:tcPr>
              <w:p w14:paraId="61306FC4">
                <w:pPr>
                  <w:spacing w:line="280" w:lineRule="exact"/>
                  <w:rPr>
                    <w:rFonts w:ascii="宋体" w:hAnsi="宋体" w:cs="宋体"/>
                  </w:rPr>
                </w:pPr>
                <w:r>
                  <w:rPr>
                    <w:rFonts w:hint="eastAsia" w:ascii="宋体" w:hAnsi="宋体" w:cs="宋体"/>
                  </w:rPr>
                  <w:t>技术质量分（</w:t>
                </w:r>
                <w:r>
                  <w:rPr>
                    <w:rFonts w:ascii="宋体" w:hAnsi="宋体" w:cs="宋体"/>
                    <w:color w:val="FF0000"/>
                    <w:u w:val="single"/>
                  </w:rPr>
                  <w:t xml:space="preserve"> </w:t>
                </w:r>
                <w:r>
                  <w:rPr>
                    <w:rFonts w:hint="eastAsia" w:ascii="宋体" w:hAnsi="宋体" w:cs="宋体"/>
                    <w:color w:val="FF0000"/>
                    <w:u w:val="single"/>
                    <w:lang w:val="en-US" w:eastAsia="zh-CN"/>
                  </w:rPr>
                  <w:t>30</w:t>
                </w:r>
                <w:r>
                  <w:rPr>
                    <w:rFonts w:ascii="宋体" w:hAnsi="宋体" w:cs="宋体"/>
                    <w:color w:val="FF0000"/>
                    <w:u w:val="single"/>
                  </w:rPr>
                  <w:t xml:space="preserve">   </w:t>
                </w:r>
                <w:r>
                  <w:rPr>
                    <w:rFonts w:hint="eastAsia" w:ascii="宋体" w:hAnsi="宋体" w:cs="宋体"/>
                  </w:rPr>
                  <w:t>分）</w:t>
                </w:r>
              </w:p>
            </w:tc>
            <w:tc>
              <w:tcPr>
                <w:tcW w:w="6409" w:type="dxa"/>
                <w:vAlign w:val="center"/>
              </w:tcPr>
              <w:p w14:paraId="1FE7CF12">
                <w:pPr>
                  <w:spacing w:line="280" w:lineRule="exact"/>
                  <w:rPr>
                    <w:rFonts w:ascii="宋体" w:hAnsi="宋体" w:cs="宋体"/>
                  </w:rPr>
                </w:pPr>
                <w:r>
                  <w:rPr>
                    <w:rFonts w:hint="eastAsia" w:ascii="宋体" w:hAnsi="宋体" w:cs="宋体"/>
                  </w:rPr>
                  <w:t>完全符合采购文件技术要求无负偏离得</w:t>
                </w:r>
                <w:r>
                  <w:rPr>
                    <w:rFonts w:hint="eastAsia" w:ascii="宋体" w:hAnsi="宋体" w:cs="宋体"/>
                    <w:color w:val="FF0000"/>
                    <w:u w:val="single"/>
                  </w:rPr>
                  <w:t xml:space="preserve">  </w:t>
                </w:r>
                <w:r>
                  <w:rPr>
                    <w:rFonts w:hint="eastAsia" w:ascii="宋体" w:hAnsi="宋体" w:cs="宋体"/>
                    <w:color w:val="FF0000"/>
                    <w:u w:val="single"/>
                    <w:lang w:val="en-US" w:eastAsia="zh-CN"/>
                  </w:rPr>
                  <w:t>30</w:t>
                </w:r>
                <w:r>
                  <w:rPr>
                    <w:rFonts w:hint="eastAsia" w:ascii="宋体" w:hAnsi="宋体" w:cs="宋体"/>
                    <w:color w:val="FF0000"/>
                    <w:u w:val="single"/>
                  </w:rPr>
                  <w:t xml:space="preserve">  </w:t>
                </w:r>
                <w:r>
                  <w:rPr>
                    <w:rFonts w:hint="eastAsia" w:ascii="宋体" w:hAnsi="宋体" w:cs="宋体"/>
                  </w:rPr>
                  <w:t>分。 打★号重要参数不得有负偏离，如有，则废标；</w:t>
                </w:r>
              </w:p>
              <w:p w14:paraId="014A68BF">
                <w:pPr>
                  <w:spacing w:line="280" w:lineRule="exact"/>
                  <w:rPr>
                    <w:rFonts w:ascii="宋体" w:hAnsi="宋体" w:cs="宋体"/>
                  </w:rPr>
                </w:pPr>
                <w:r>
                  <w:rPr>
                    <w:rFonts w:hint="eastAsia" w:ascii="宋体" w:hAnsi="宋体" w:cs="宋体"/>
                  </w:rPr>
                  <w:t>一般参数有负偏离，一项扣</w:t>
                </w:r>
                <w:r>
                  <w:rPr>
                    <w:rFonts w:hint="eastAsia" w:ascii="宋体" w:hAnsi="宋体" w:cs="宋体"/>
                    <w:color w:val="FF0000"/>
                    <w:u w:val="single"/>
                  </w:rPr>
                  <w:t xml:space="preserve">  </w:t>
                </w:r>
                <w:r>
                  <w:rPr>
                    <w:rFonts w:hint="eastAsia" w:ascii="宋体" w:hAnsi="宋体" w:cs="宋体"/>
                    <w:color w:val="FF0000"/>
                    <w:u w:val="single"/>
                    <w:lang w:val="en-US" w:eastAsia="zh-CN"/>
                  </w:rPr>
                  <w:t>2</w:t>
                </w:r>
                <w:r>
                  <w:rPr>
                    <w:rFonts w:hint="eastAsia" w:ascii="宋体" w:hAnsi="宋体" w:cs="宋体"/>
                    <w:color w:val="FF0000"/>
                    <w:u w:val="single"/>
                  </w:rPr>
                  <w:t xml:space="preserve">   </w:t>
                </w:r>
                <w:r>
                  <w:rPr>
                    <w:rFonts w:hint="eastAsia" w:ascii="宋体" w:hAnsi="宋体" w:cs="宋体"/>
                  </w:rPr>
                  <w:t>分为止。</w:t>
                </w:r>
              </w:p>
            </w:tc>
            <w:tc>
              <w:tcPr>
                <w:tcW w:w="1088" w:type="dxa"/>
                <w:vAlign w:val="center"/>
              </w:tcPr>
              <w:p w14:paraId="005F0E5A">
                <w:pPr>
                  <w:tabs>
                    <w:tab w:val="left" w:pos="624"/>
                    <w:tab w:val="left" w:pos="1361"/>
                    <w:tab w:val="left" w:pos="2041"/>
                  </w:tabs>
                  <w:spacing w:after="120" w:line="280" w:lineRule="exact"/>
                  <w:rPr>
                    <w:rFonts w:ascii="宋体" w:hAnsi="宋体" w:cs="宋体"/>
                  </w:rPr>
                </w:pPr>
              </w:p>
            </w:tc>
          </w:tr>
          <w:tr w14:paraId="3BA5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09" w:type="dxa"/>
                <w:vAlign w:val="center"/>
              </w:tcPr>
              <w:p w14:paraId="25EB24BC">
                <w:pPr>
                  <w:spacing w:line="280" w:lineRule="exact"/>
                  <w:rPr>
                    <w:rFonts w:ascii="宋体" w:hAnsi="宋体" w:cs="宋体"/>
                  </w:rPr>
                </w:pPr>
                <w:r>
                  <w:rPr>
                    <w:rFonts w:hint="eastAsia" w:ascii="宋体" w:hAnsi="宋体" w:cs="宋体"/>
                  </w:rPr>
                  <w:t>三</w:t>
                </w:r>
              </w:p>
            </w:tc>
            <w:tc>
              <w:tcPr>
                <w:tcW w:w="1418" w:type="dxa"/>
                <w:vAlign w:val="center"/>
              </w:tcPr>
              <w:p w14:paraId="3B7EAF27">
                <w:pPr>
                  <w:jc w:val="left"/>
                  <w:rPr>
                    <w:rFonts w:ascii="宋体" w:hAnsi="宋体" w:cs="宋体"/>
                    <w:bCs/>
                    <w:color w:val="000000"/>
                    <w:spacing w:val="10"/>
                    <w:kern w:val="0"/>
                  </w:rPr>
                </w:pPr>
                <w:r>
                  <w:rPr>
                    <w:rFonts w:hint="eastAsia"/>
                    <w:bCs/>
                    <w:color w:val="000000"/>
                  </w:rPr>
                  <w:t>售后服务分（</w:t>
                </w:r>
                <w:r>
                  <w:rPr>
                    <w:rFonts w:hAnsi="宋体"/>
                    <w:color w:val="FF0000"/>
                    <w:u w:val="single"/>
                  </w:rPr>
                  <w:t xml:space="preserve">  </w:t>
                </w:r>
                <w:r>
                  <w:rPr>
                    <w:rFonts w:hint="eastAsia" w:hAnsi="宋体"/>
                    <w:color w:val="FF0000"/>
                    <w:u w:val="single"/>
                    <w:lang w:val="en-US" w:eastAsia="zh-CN"/>
                  </w:rPr>
                  <w:t>10</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14:paraId="4CA46537">
                <w:pPr>
                  <w:adjustRightInd w:val="0"/>
                  <w:spacing w:line="360" w:lineRule="exact"/>
                  <w:textAlignment w:val="baseline"/>
                  <w:rPr>
                    <w:rFonts w:ascii="宋体" w:hAnsi="宋体" w:cs="宋体"/>
                  </w:rPr>
                </w:pPr>
                <w:r>
                  <w:rPr>
                    <w:rFonts w:hint="eastAsia" w:ascii="宋体" w:hAnsi="宋体" w:cs="宋体"/>
                  </w:rPr>
                  <w:t>售后服务方案分。（满分</w:t>
                </w:r>
                <w:r>
                  <w:rPr>
                    <w:rFonts w:hint="eastAsia" w:ascii="宋体" w:hAnsi="宋体" w:cs="宋体"/>
                    <w:color w:val="FF0000"/>
                    <w:u w:val="single"/>
                  </w:rPr>
                  <w:t xml:space="preserve"> </w:t>
                </w:r>
                <w:r>
                  <w:rPr>
                    <w:rFonts w:hint="eastAsia" w:ascii="宋体" w:hAnsi="宋体" w:cs="宋体"/>
                    <w:color w:val="FF0000"/>
                    <w:u w:val="single"/>
                    <w:lang w:val="en-US" w:eastAsia="zh-CN"/>
                  </w:rPr>
                  <w:t>10</w:t>
                </w:r>
                <w:r>
                  <w:rPr>
                    <w:rFonts w:hint="eastAsia" w:ascii="宋体" w:hAnsi="宋体" w:cs="宋体"/>
                    <w:color w:val="FF0000"/>
                    <w:u w:val="single"/>
                  </w:rPr>
                  <w:t xml:space="preserve">   </w:t>
                </w:r>
                <w:r>
                  <w:rPr>
                    <w:rFonts w:hint="eastAsia" w:ascii="宋体" w:hAnsi="宋体" w:cs="宋体"/>
                  </w:rPr>
                  <w:t>分）</w:t>
                </w:r>
              </w:p>
              <w:p w14:paraId="0FD9DCEC">
                <w:pPr>
                  <w:adjustRightInd w:val="0"/>
                  <w:spacing w:line="360" w:lineRule="exact"/>
                  <w:textAlignment w:val="baseline"/>
                  <w:rPr>
                    <w:rFonts w:ascii="宋体" w:hAnsi="宋体" w:cs="宋体"/>
                  </w:rPr>
                </w:pPr>
                <w:r>
                  <w:rPr>
                    <w:rFonts w:hint="eastAsia" w:ascii="宋体" w:hAnsi="宋体" w:cs="宋体"/>
                  </w:rPr>
                  <w:t>一档（</w:t>
                </w:r>
                <w:r>
                  <w:rPr>
                    <w:rFonts w:hint="eastAsia" w:ascii="宋体" w:hAnsi="宋体" w:cs="宋体"/>
                    <w:color w:val="FF0000"/>
                    <w:u w:val="single"/>
                  </w:rPr>
                  <w:t xml:space="preserve">  </w:t>
                </w:r>
                <w:r>
                  <w:rPr>
                    <w:rFonts w:hint="eastAsia" w:ascii="宋体" w:hAnsi="宋体" w:cs="宋体"/>
                    <w:color w:val="FF0000"/>
                    <w:u w:val="single"/>
                    <w:lang w:val="en-US" w:eastAsia="zh-CN"/>
                  </w:rPr>
                  <w:t>0</w:t>
                </w:r>
                <w:r>
                  <w:rPr>
                    <w:rFonts w:hint="eastAsia" w:ascii="宋体" w:hAnsi="宋体" w:cs="宋体"/>
                    <w:color w:val="FF0000"/>
                    <w:u w:val="single"/>
                  </w:rPr>
                  <w:t xml:space="preserve">  </w:t>
                </w:r>
                <w:r>
                  <w:rPr>
                    <w:rFonts w:hint="eastAsia" w:ascii="宋体" w:hAnsi="宋体" w:cs="宋体"/>
                  </w:rPr>
                  <w:t>分）：不提供售后服务方案的。</w:t>
                </w:r>
              </w:p>
              <w:p w14:paraId="745BFE16">
                <w:pPr>
                  <w:adjustRightInd w:val="0"/>
                  <w:spacing w:line="360" w:lineRule="exact"/>
                  <w:textAlignment w:val="baseline"/>
                  <w:rPr>
                    <w:rFonts w:ascii="宋体" w:hAnsi="宋体" w:cs="宋体"/>
                  </w:rPr>
                </w:pPr>
                <w:r>
                  <w:rPr>
                    <w:rFonts w:hint="eastAsia" w:ascii="宋体" w:hAnsi="宋体" w:cs="宋体"/>
                  </w:rPr>
                  <w:t>二档（</w:t>
                </w:r>
                <w:r>
                  <w:rPr>
                    <w:rFonts w:hint="eastAsia" w:ascii="宋体" w:hAnsi="宋体" w:cs="宋体"/>
                    <w:color w:val="FF0000"/>
                    <w:u w:val="single"/>
                  </w:rPr>
                  <w:t xml:space="preserve">  </w:t>
                </w:r>
                <w:r>
                  <w:rPr>
                    <w:rFonts w:hint="eastAsia" w:ascii="宋体" w:hAnsi="宋体" w:cs="宋体"/>
                    <w:color w:val="FF0000"/>
                    <w:u w:val="single"/>
                    <w:lang w:val="en-US" w:eastAsia="zh-CN"/>
                  </w:rPr>
                  <w:t>4</w:t>
                </w:r>
                <w:r>
                  <w:rPr>
                    <w:rFonts w:hint="eastAsia" w:ascii="宋体" w:hAnsi="宋体" w:cs="宋体"/>
                    <w:color w:val="FF0000"/>
                    <w:u w:val="single"/>
                  </w:rPr>
                  <w:t xml:space="preserve">  </w:t>
                </w:r>
                <w:r>
                  <w:rPr>
                    <w:rFonts w:hint="eastAsia" w:ascii="宋体" w:hAnsi="宋体" w:cs="宋体"/>
                  </w:rPr>
                  <w:t>分）：能基本满足招标文件要求，未提出详细的售后服务承诺。</w:t>
                </w:r>
              </w:p>
              <w:p w14:paraId="45BCDC6C">
                <w:pPr>
                  <w:adjustRightInd w:val="0"/>
                  <w:spacing w:line="360" w:lineRule="exact"/>
                  <w:textAlignment w:val="baseline"/>
                  <w:rPr>
                    <w:rFonts w:ascii="宋体" w:hAnsi="宋体" w:cs="宋体"/>
                  </w:rPr>
                </w:pPr>
                <w:r>
                  <w:rPr>
                    <w:rFonts w:hint="eastAsia" w:ascii="宋体" w:hAnsi="宋体" w:cs="宋体"/>
                  </w:rPr>
                  <w:t>三档（</w:t>
                </w:r>
                <w:r>
                  <w:rPr>
                    <w:rFonts w:hint="eastAsia" w:ascii="宋体" w:hAnsi="宋体" w:cs="宋体"/>
                    <w:color w:val="FF0000"/>
                    <w:u w:val="single"/>
                  </w:rPr>
                  <w:t xml:space="preserve">  </w:t>
                </w:r>
                <w:r>
                  <w:rPr>
                    <w:rFonts w:hint="eastAsia" w:ascii="宋体" w:hAnsi="宋体" w:cs="宋体"/>
                    <w:color w:val="FF0000"/>
                    <w:u w:val="single"/>
                    <w:lang w:val="en-US" w:eastAsia="zh-CN"/>
                  </w:rPr>
                  <w:t>6</w:t>
                </w:r>
                <w:r>
                  <w:rPr>
                    <w:rFonts w:hint="eastAsia" w:ascii="宋体" w:hAnsi="宋体" w:cs="宋体"/>
                    <w:color w:val="FF0000"/>
                    <w:u w:val="single"/>
                  </w:rPr>
                  <w:t xml:space="preserve">  </w:t>
                </w:r>
                <w:r>
                  <w:rPr>
                    <w:rFonts w:hint="eastAsia" w:ascii="宋体" w:hAnsi="宋体" w:cs="宋体"/>
                  </w:rPr>
                  <w:t>分）：能基本满足招标文件要求，有提出详细的售后服务承诺。</w:t>
                </w:r>
              </w:p>
              <w:p w14:paraId="2A5E2F65">
                <w:pPr>
                  <w:adjustRightInd w:val="0"/>
                  <w:spacing w:line="360" w:lineRule="exact"/>
                  <w:textAlignment w:val="baseline"/>
                  <w:rPr>
                    <w:rFonts w:ascii="宋体" w:hAnsi="宋体" w:cs="宋体"/>
                  </w:rPr>
                </w:pPr>
                <w:r>
                  <w:rPr>
                    <w:rFonts w:hint="eastAsia" w:ascii="宋体" w:hAnsi="宋体" w:cs="宋体"/>
                  </w:rPr>
                  <w:t>四档（</w:t>
                </w:r>
                <w:r>
                  <w:rPr>
                    <w:rFonts w:hint="eastAsia" w:ascii="宋体" w:hAnsi="宋体" w:cs="宋体"/>
                    <w:color w:val="FF0000"/>
                    <w:u w:val="single"/>
                  </w:rPr>
                  <w:t xml:space="preserve"> </w:t>
                </w:r>
                <w:r>
                  <w:rPr>
                    <w:rFonts w:hint="eastAsia" w:ascii="宋体" w:hAnsi="宋体" w:cs="宋体"/>
                    <w:color w:val="FF0000"/>
                    <w:u w:val="single"/>
                    <w:lang w:val="en-US" w:eastAsia="zh-CN"/>
                  </w:rPr>
                  <w:t>10</w:t>
                </w:r>
                <w:r>
                  <w:rPr>
                    <w:rFonts w:hint="eastAsia" w:ascii="宋体" w:hAnsi="宋体" w:cs="宋体"/>
                    <w:color w:val="FF0000"/>
                    <w:u w:val="single"/>
                  </w:rPr>
                  <w:t xml:space="preserve">   </w:t>
                </w:r>
                <w:r>
                  <w:rPr>
                    <w:rFonts w:hint="eastAsia" w:ascii="宋体" w:hAnsi="宋体" w:cs="宋体"/>
                  </w:rPr>
                  <w:t>分）：售后服务方案较好，有该项目详细的售后服务方案及培训计划，保修期限优于采购文件等，有提供售后服务机构及售后服务人员（提供投标单位或生产厂家售后服务机构地址及联系人、联系方式）。</w:t>
                </w:r>
              </w:p>
              <w:p w14:paraId="21752C8F">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14:paraId="7EF161E4">
                <w:pPr>
                  <w:adjustRightInd w:val="0"/>
                  <w:spacing w:line="360" w:lineRule="exact"/>
                  <w:ind w:firstLine="420" w:firstLineChars="200"/>
                  <w:textAlignment w:val="baseline"/>
                  <w:rPr>
                    <w:rFonts w:ascii="宋体" w:hAnsi="宋体" w:cs="宋体"/>
                  </w:rPr>
                </w:pPr>
              </w:p>
            </w:tc>
            <w:tc>
              <w:tcPr>
                <w:tcW w:w="1088" w:type="dxa"/>
                <w:vAlign w:val="center"/>
              </w:tcPr>
              <w:p w14:paraId="0866E76E">
                <w:pPr>
                  <w:spacing w:line="280" w:lineRule="exact"/>
                  <w:rPr>
                    <w:rFonts w:ascii="宋体" w:hAnsi="宋体" w:cs="宋体"/>
                  </w:rPr>
                </w:pPr>
              </w:p>
            </w:tc>
          </w:tr>
          <w:tr w14:paraId="51CB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9" w:type="dxa"/>
                <w:vAlign w:val="center"/>
              </w:tcPr>
              <w:p w14:paraId="7CD9E78A">
                <w:pPr>
                  <w:spacing w:line="280" w:lineRule="exact"/>
                  <w:rPr>
                    <w:rFonts w:hint="eastAsia" w:ascii="宋体" w:hAnsi="宋体" w:eastAsia="宋体" w:cs="宋体"/>
                    <w:lang w:eastAsia="zh-CN"/>
                  </w:rPr>
                </w:pPr>
                <w:r>
                  <w:rPr>
                    <w:rFonts w:hint="eastAsia" w:ascii="宋体" w:hAnsi="宋体" w:cs="宋体"/>
                    <w:lang w:eastAsia="zh-CN"/>
                  </w:rPr>
                  <w:t>四</w:t>
                </w:r>
              </w:p>
            </w:tc>
            <w:tc>
              <w:tcPr>
                <w:tcW w:w="1418" w:type="dxa"/>
                <w:vAlign w:val="center"/>
              </w:tcPr>
              <w:p w14:paraId="71655F23">
                <w:pPr>
                  <w:spacing w:line="280" w:lineRule="exact"/>
                  <w:ind w:firstLine="420" w:firstLineChars="200"/>
                  <w:rPr>
                    <w:rFonts w:ascii="宋体" w:hAnsi="宋体" w:cs="宋体"/>
                  </w:rPr>
                </w:pPr>
                <w:r>
                  <w:rPr>
                    <w:rFonts w:hint="eastAsia" w:ascii="宋体" w:hAnsi="宋体" w:cs="宋体"/>
                  </w:rPr>
                  <w:t>总分</w:t>
                </w:r>
              </w:p>
              <w:p w14:paraId="7F1DBB7A">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14:paraId="355C8F29">
                <w:pPr>
                  <w:pStyle w:val="11"/>
                </w:pPr>
              </w:p>
            </w:tc>
          </w:tr>
        </w:tbl>
      </w:sdtContent>
    </w:sdt>
    <w:p w14:paraId="54C8EEAA">
      <w:pPr>
        <w:pStyle w:val="11"/>
        <w:rPr>
          <w:rFonts w:hint="default" w:eastAsia="宋体"/>
          <w:lang w:val="en-US"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abstractNum w:abstractNumId="2">
    <w:nsid w:val="5EC57E6F"/>
    <w:multiLevelType w:val="singleLevel"/>
    <w:tmpl w:val="5EC57E6F"/>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4430AD1"/>
    <w:rsid w:val="0A4C6D5E"/>
    <w:rsid w:val="0A795D65"/>
    <w:rsid w:val="0CC05EEA"/>
    <w:rsid w:val="10C97A40"/>
    <w:rsid w:val="122B15C9"/>
    <w:rsid w:val="12C97D37"/>
    <w:rsid w:val="166F4544"/>
    <w:rsid w:val="194E5CA2"/>
    <w:rsid w:val="1E0C29DD"/>
    <w:rsid w:val="1EB02FE7"/>
    <w:rsid w:val="21B710F4"/>
    <w:rsid w:val="2218153E"/>
    <w:rsid w:val="25773183"/>
    <w:rsid w:val="26431704"/>
    <w:rsid w:val="26CD4569"/>
    <w:rsid w:val="27D01D3D"/>
    <w:rsid w:val="28110468"/>
    <w:rsid w:val="293A4A87"/>
    <w:rsid w:val="2D8F5580"/>
    <w:rsid w:val="2E44559E"/>
    <w:rsid w:val="311834AF"/>
    <w:rsid w:val="318469E5"/>
    <w:rsid w:val="3194337D"/>
    <w:rsid w:val="3737378F"/>
    <w:rsid w:val="3806606D"/>
    <w:rsid w:val="397701BE"/>
    <w:rsid w:val="3B546CEC"/>
    <w:rsid w:val="3F8769CB"/>
    <w:rsid w:val="41366ED0"/>
    <w:rsid w:val="48D85C25"/>
    <w:rsid w:val="4AEE624A"/>
    <w:rsid w:val="4C1C5576"/>
    <w:rsid w:val="4D442BFB"/>
    <w:rsid w:val="4D781BD4"/>
    <w:rsid w:val="4DA009DA"/>
    <w:rsid w:val="4DA97E72"/>
    <w:rsid w:val="4DB9683E"/>
    <w:rsid w:val="50502E0F"/>
    <w:rsid w:val="51794369"/>
    <w:rsid w:val="51B2246F"/>
    <w:rsid w:val="539906F6"/>
    <w:rsid w:val="587B0F6C"/>
    <w:rsid w:val="589150FF"/>
    <w:rsid w:val="5D1A4465"/>
    <w:rsid w:val="5FFD63C3"/>
    <w:rsid w:val="65706B30"/>
    <w:rsid w:val="67EF0C5A"/>
    <w:rsid w:val="6A513DD5"/>
    <w:rsid w:val="6BF540D9"/>
    <w:rsid w:val="6CD664AB"/>
    <w:rsid w:val="6DD0797D"/>
    <w:rsid w:val="6E1A0EFE"/>
    <w:rsid w:val="71754026"/>
    <w:rsid w:val="74B5471E"/>
    <w:rsid w:val="77E41C8F"/>
    <w:rsid w:val="77FF632E"/>
    <w:rsid w:val="7915336D"/>
    <w:rsid w:val="7AC9322F"/>
    <w:rsid w:val="7B036868"/>
    <w:rsid w:val="7CA915F3"/>
    <w:rsid w:val="7F9C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
      <w:docPartPr>
        <w:name w:val="{d2451b98-46ff-47ce-a496-ad5922d08d4f}"/>
        <w:style w:val=""/>
        <w:category>
          <w:name w:val="常规"/>
          <w:gallery w:val="placeholder"/>
        </w:category>
        <w:types>
          <w:type w:val="bbPlcHdr"/>
        </w:types>
        <w:behaviors>
          <w:behavior w:val="content"/>
        </w:behaviors>
        <w:description w:val=""/>
        <w:guid w:val="{d2451b98-46ff-47ce-a496-ad5922d08d4f}"/>
      </w:docPartPr>
      <w:docPartBody>
        <w:p w14:paraId="29DD34B5">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3382</Words>
  <Characters>3610</Characters>
  <Lines>26</Lines>
  <Paragraphs>7</Paragraphs>
  <TotalTime>2</TotalTime>
  <ScaleCrop>false</ScaleCrop>
  <LinksUpToDate>false</LinksUpToDate>
  <CharactersWithSpaces>3711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黎石宝</cp:lastModifiedBy>
  <cp:lastPrinted>2021-01-18T07:59:00Z</cp:lastPrinted>
  <dcterms:modified xsi:type="dcterms:W3CDTF">2025-02-27T05:26:52Z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B1C8ADB6A08C49D88EF48001F8D355A1_13</vt:lpwstr>
  </property>
  <property fmtid="{D5CDD505-2E9C-101B-9397-08002B2CF9AE}" pid="4" name="KSOTemplateDocerSaveRecord">
    <vt:lpwstr>eyJoZGlkIjoiMTVjZjJlZTlkNjZjNTJlNTRjMmM5NjAzOWNkYmViMjIiLCJ1c2VySWQiOiI0NjAwNjI2MDcifQ==</vt:lpwstr>
  </property>
</Properties>
</file>