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63F63D37">
      <w:pPr>
        <w:pStyle w:val="4"/>
        <w:spacing w:line="420" w:lineRule="exact"/>
        <w:jc w:val="both"/>
        <w:rPr>
          <w:rFonts w:hint="eastAsia" w:ascii="宋体" w:hAnsi="宋体" w:eastAsia="宋体" w:cs="宋体"/>
          <w:b/>
          <w:sz w:val="24"/>
          <w:szCs w:val="24"/>
        </w:rPr>
      </w:pPr>
      <w:r>
        <w:rPr>
          <w:rFonts w:hint="eastAsia" w:ascii="宋体" w:hAnsi="宋体" w:eastAsia="宋体" w:cs="宋体"/>
          <w:b/>
          <w:bCs/>
          <w:sz w:val="24"/>
          <w:szCs w:val="24"/>
          <w:lang w:eastAsia="zh-CN"/>
        </w:rPr>
        <w:t>一、</w:t>
      </w:r>
      <w:r>
        <w:rPr>
          <w:rFonts w:hint="eastAsia" w:ascii="宋体" w:hAnsi="宋体" w:eastAsia="宋体" w:cs="宋体"/>
          <w:b/>
          <w:sz w:val="24"/>
          <w:szCs w:val="24"/>
        </w:rPr>
        <w:t>货物需求一览表</w:t>
      </w:r>
    </w:p>
    <w:p w14:paraId="054397AC">
      <w:pPr>
        <w:spacing w:line="360" w:lineRule="exact"/>
        <w:rPr>
          <w:rFonts w:hint="eastAsia" w:ascii="宋体" w:hAnsi="宋体" w:eastAsia="宋体" w:cs="宋体"/>
          <w:b/>
          <w:kern w:val="0"/>
          <w:sz w:val="24"/>
          <w:szCs w:val="24"/>
        </w:rPr>
      </w:pPr>
      <w:r>
        <w:rPr>
          <w:rFonts w:hint="eastAsia" w:ascii="宋体" w:hAnsi="宋体" w:eastAsia="宋体" w:cs="宋体"/>
          <w:b/>
          <w:kern w:val="0"/>
          <w:sz w:val="24"/>
          <w:szCs w:val="24"/>
        </w:rPr>
        <w:t>采购预算：480000.00元</w:t>
      </w:r>
    </w:p>
    <w:tbl>
      <w:tblPr>
        <w:tblStyle w:val="9"/>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
        <w:gridCol w:w="1281"/>
        <w:gridCol w:w="1266"/>
        <w:gridCol w:w="588"/>
        <w:gridCol w:w="812"/>
        <w:gridCol w:w="2125"/>
        <w:gridCol w:w="1446"/>
        <w:gridCol w:w="1084"/>
      </w:tblGrid>
      <w:tr w14:paraId="014DC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52452138">
            <w:pPr>
              <w:tabs>
                <w:tab w:val="left" w:pos="180"/>
                <w:tab w:val="left" w:pos="1620"/>
              </w:tabs>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81" w:type="dxa"/>
            <w:noWrap w:val="0"/>
            <w:vAlign w:val="center"/>
          </w:tcPr>
          <w:p w14:paraId="7338A58F">
            <w:pPr>
              <w:tabs>
                <w:tab w:val="left" w:pos="180"/>
                <w:tab w:val="left" w:pos="1620"/>
              </w:tabs>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标的的名称</w:t>
            </w:r>
          </w:p>
        </w:tc>
        <w:tc>
          <w:tcPr>
            <w:tcW w:w="1266" w:type="dxa"/>
            <w:noWrap w:val="0"/>
            <w:vAlign w:val="center"/>
          </w:tcPr>
          <w:p w14:paraId="11EFC74D">
            <w:pPr>
              <w:tabs>
                <w:tab w:val="left" w:pos="180"/>
                <w:tab w:val="left" w:pos="1620"/>
              </w:tabs>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588" w:type="dxa"/>
            <w:noWrap w:val="0"/>
            <w:vAlign w:val="center"/>
          </w:tcPr>
          <w:p w14:paraId="7ACB4FF6">
            <w:pPr>
              <w:tabs>
                <w:tab w:val="left" w:pos="180"/>
                <w:tab w:val="left" w:pos="1620"/>
              </w:tabs>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812" w:type="dxa"/>
            <w:noWrap w:val="0"/>
            <w:vAlign w:val="center"/>
          </w:tcPr>
          <w:p w14:paraId="1975791D">
            <w:pPr>
              <w:tabs>
                <w:tab w:val="left" w:pos="180"/>
                <w:tab w:val="left" w:pos="1620"/>
              </w:tabs>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所属</w:t>
            </w:r>
          </w:p>
          <w:p w14:paraId="06C8BB7E">
            <w:pPr>
              <w:tabs>
                <w:tab w:val="left" w:pos="180"/>
                <w:tab w:val="left" w:pos="1620"/>
              </w:tabs>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行业</w:t>
            </w:r>
          </w:p>
        </w:tc>
        <w:tc>
          <w:tcPr>
            <w:tcW w:w="2125" w:type="dxa"/>
            <w:noWrap w:val="0"/>
            <w:vAlign w:val="center"/>
          </w:tcPr>
          <w:p w14:paraId="540710F6">
            <w:pPr>
              <w:tabs>
                <w:tab w:val="left" w:pos="180"/>
                <w:tab w:val="left" w:pos="1620"/>
              </w:tabs>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型号</w:t>
            </w:r>
          </w:p>
        </w:tc>
        <w:tc>
          <w:tcPr>
            <w:tcW w:w="1446" w:type="dxa"/>
            <w:noWrap w:val="0"/>
            <w:vAlign w:val="center"/>
          </w:tcPr>
          <w:p w14:paraId="0EBD4FAB">
            <w:pPr>
              <w:tabs>
                <w:tab w:val="left" w:pos="180"/>
                <w:tab w:val="left" w:pos="1620"/>
              </w:tabs>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规格</w:t>
            </w:r>
          </w:p>
        </w:tc>
        <w:tc>
          <w:tcPr>
            <w:tcW w:w="1084" w:type="dxa"/>
            <w:noWrap w:val="0"/>
            <w:vAlign w:val="center"/>
          </w:tcPr>
          <w:p w14:paraId="153BC1A3">
            <w:pPr>
              <w:tabs>
                <w:tab w:val="left" w:pos="180"/>
                <w:tab w:val="left" w:pos="1620"/>
              </w:tabs>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上控单价（元）</w:t>
            </w:r>
          </w:p>
        </w:tc>
      </w:tr>
      <w:tr w14:paraId="23015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2161E4CF">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281" w:type="dxa"/>
            <w:noWrap w:val="0"/>
            <w:vAlign w:val="center"/>
          </w:tcPr>
          <w:p w14:paraId="054BFACE">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标准气</w:t>
            </w:r>
          </w:p>
        </w:tc>
        <w:tc>
          <w:tcPr>
            <w:tcW w:w="1266" w:type="dxa"/>
            <w:noWrap w:val="0"/>
            <w:vAlign w:val="center"/>
          </w:tcPr>
          <w:p w14:paraId="0940ACF4">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19C8A3FC">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瓶</w:t>
            </w:r>
          </w:p>
        </w:tc>
        <w:tc>
          <w:tcPr>
            <w:tcW w:w="812" w:type="dxa"/>
            <w:noWrap w:val="0"/>
            <w:vAlign w:val="center"/>
          </w:tcPr>
          <w:p w14:paraId="1B556C04">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6217C18D">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CO:0.3%,</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C</w:t>
            </w:r>
            <w:r>
              <w:rPr>
                <w:rStyle w:val="24"/>
                <w:rFonts w:hint="eastAsia" w:ascii="宋体" w:hAnsi="宋体" w:eastAsia="宋体" w:cs="宋体"/>
                <w:color w:val="auto"/>
                <w:sz w:val="24"/>
                <w:szCs w:val="24"/>
                <w:lang w:bidi="ar"/>
              </w:rPr>
              <w:t>2</w:t>
            </w:r>
            <w:r>
              <w:rPr>
                <w:rStyle w:val="25"/>
                <w:rFonts w:hint="eastAsia" w:ascii="宋体" w:hAnsi="宋体" w:eastAsia="宋体" w:cs="宋体"/>
                <w:color w:val="auto"/>
                <w:sz w:val="24"/>
                <w:szCs w:val="24"/>
                <w:lang w:bidi="ar"/>
              </w:rPr>
              <w:t>H</w:t>
            </w:r>
            <w:r>
              <w:rPr>
                <w:rStyle w:val="24"/>
                <w:rFonts w:hint="eastAsia" w:ascii="宋体" w:hAnsi="宋体" w:eastAsia="宋体" w:cs="宋体"/>
                <w:color w:val="auto"/>
                <w:sz w:val="24"/>
                <w:szCs w:val="24"/>
                <w:lang w:bidi="ar"/>
              </w:rPr>
              <w:t>2</w:t>
            </w:r>
            <w:r>
              <w:rPr>
                <w:rStyle w:val="25"/>
                <w:rFonts w:hint="eastAsia" w:ascii="宋体" w:hAnsi="宋体" w:eastAsia="宋体" w:cs="宋体"/>
                <w:color w:val="auto"/>
                <w:sz w:val="24"/>
                <w:szCs w:val="24"/>
                <w:lang w:bidi="ar"/>
              </w:rPr>
              <w:t>:0.3%</w:t>
            </w:r>
            <w:r>
              <w:rPr>
                <w:rStyle w:val="25"/>
                <w:rFonts w:hint="eastAsia" w:ascii="宋体" w:hAnsi="宋体" w:eastAsia="宋体" w:cs="宋体"/>
                <w:color w:val="auto"/>
                <w:sz w:val="24"/>
                <w:szCs w:val="24"/>
                <w:lang w:bidi="ar"/>
              </w:rPr>
              <w:br w:type="textWrapping"/>
            </w:r>
            <w:r>
              <w:rPr>
                <w:rStyle w:val="25"/>
                <w:rFonts w:hint="eastAsia" w:ascii="宋体" w:hAnsi="宋体" w:eastAsia="宋体" w:cs="宋体"/>
                <w:color w:val="auto"/>
                <w:sz w:val="24"/>
                <w:szCs w:val="24"/>
                <w:lang w:bidi="ar"/>
              </w:rPr>
              <w:t>CH</w:t>
            </w:r>
            <w:r>
              <w:rPr>
                <w:rStyle w:val="24"/>
                <w:rFonts w:hint="eastAsia" w:ascii="宋体" w:hAnsi="宋体" w:eastAsia="宋体" w:cs="宋体"/>
                <w:color w:val="auto"/>
                <w:sz w:val="24"/>
                <w:szCs w:val="24"/>
                <w:lang w:bidi="ar"/>
              </w:rPr>
              <w:t>4</w:t>
            </w:r>
            <w:r>
              <w:rPr>
                <w:rStyle w:val="25"/>
                <w:rFonts w:hint="eastAsia" w:ascii="宋体" w:hAnsi="宋体" w:eastAsia="宋体" w:cs="宋体"/>
                <w:color w:val="auto"/>
                <w:sz w:val="24"/>
                <w:szCs w:val="24"/>
                <w:lang w:bidi="ar"/>
              </w:rPr>
              <w:t>:0.3%</w:t>
            </w:r>
            <w:r>
              <w:rPr>
                <w:rStyle w:val="25"/>
                <w:rFonts w:hint="eastAsia" w:ascii="宋体" w:hAnsi="宋体" w:eastAsia="宋体" w:cs="宋体"/>
                <w:color w:val="auto"/>
                <w:sz w:val="24"/>
                <w:szCs w:val="24"/>
                <w:lang w:bidi="ar"/>
              </w:rPr>
              <w:br w:type="textWrapping"/>
            </w:r>
            <w:r>
              <w:rPr>
                <w:rStyle w:val="25"/>
                <w:rFonts w:hint="eastAsia" w:ascii="宋体" w:hAnsi="宋体" w:eastAsia="宋体" w:cs="宋体"/>
                <w:color w:val="auto"/>
                <w:sz w:val="24"/>
                <w:szCs w:val="24"/>
                <w:lang w:bidi="ar"/>
              </w:rPr>
              <w:t>O</w:t>
            </w:r>
            <w:r>
              <w:rPr>
                <w:rStyle w:val="24"/>
                <w:rFonts w:hint="eastAsia" w:ascii="宋体" w:hAnsi="宋体" w:eastAsia="宋体" w:cs="宋体"/>
                <w:color w:val="auto"/>
                <w:sz w:val="24"/>
                <w:szCs w:val="24"/>
                <w:lang w:bidi="ar"/>
              </w:rPr>
              <w:t>2</w:t>
            </w:r>
            <w:r>
              <w:rPr>
                <w:rStyle w:val="25"/>
                <w:rFonts w:hint="eastAsia" w:ascii="宋体" w:hAnsi="宋体" w:eastAsia="宋体" w:cs="宋体"/>
                <w:color w:val="auto"/>
                <w:sz w:val="24"/>
                <w:szCs w:val="24"/>
                <w:lang w:bidi="ar"/>
              </w:rPr>
              <w:t>:21%</w:t>
            </w:r>
            <w:r>
              <w:rPr>
                <w:rStyle w:val="25"/>
                <w:rFonts w:hint="eastAsia" w:ascii="宋体" w:hAnsi="宋体" w:eastAsia="宋体" w:cs="宋体"/>
                <w:color w:val="auto"/>
                <w:sz w:val="24"/>
                <w:szCs w:val="24"/>
                <w:lang w:bidi="ar"/>
              </w:rPr>
              <w:br w:type="textWrapping"/>
            </w:r>
            <w:r>
              <w:rPr>
                <w:rStyle w:val="25"/>
                <w:rFonts w:hint="eastAsia" w:ascii="宋体" w:hAnsi="宋体" w:eastAsia="宋体" w:cs="宋体"/>
                <w:color w:val="auto"/>
                <w:sz w:val="24"/>
                <w:szCs w:val="24"/>
                <w:lang w:bidi="ar"/>
              </w:rPr>
              <w:t>N</w:t>
            </w:r>
            <w:r>
              <w:rPr>
                <w:rStyle w:val="24"/>
                <w:rFonts w:hint="eastAsia" w:ascii="宋体" w:hAnsi="宋体" w:eastAsia="宋体" w:cs="宋体"/>
                <w:color w:val="auto"/>
                <w:sz w:val="24"/>
                <w:szCs w:val="24"/>
                <w:lang w:bidi="ar"/>
              </w:rPr>
              <w:t>2</w:t>
            </w:r>
            <w:r>
              <w:rPr>
                <w:rStyle w:val="25"/>
                <w:rFonts w:hint="eastAsia" w:ascii="宋体" w:hAnsi="宋体" w:eastAsia="宋体" w:cs="宋体"/>
                <w:color w:val="auto"/>
                <w:sz w:val="24"/>
                <w:szCs w:val="24"/>
                <w:lang w:bidi="ar"/>
              </w:rPr>
              <w:t>:平衡</w:t>
            </w:r>
          </w:p>
        </w:tc>
        <w:tc>
          <w:tcPr>
            <w:tcW w:w="1446" w:type="dxa"/>
            <w:noWrap w:val="0"/>
            <w:vAlign w:val="center"/>
          </w:tcPr>
          <w:p w14:paraId="13AA8AA4">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40L,10mPa</w:t>
            </w:r>
          </w:p>
        </w:tc>
        <w:tc>
          <w:tcPr>
            <w:tcW w:w="1084" w:type="dxa"/>
            <w:noWrap w:val="0"/>
            <w:vAlign w:val="center"/>
          </w:tcPr>
          <w:p w14:paraId="61B2A208">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1850</w:t>
            </w:r>
          </w:p>
        </w:tc>
      </w:tr>
      <w:tr w14:paraId="4D959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3C9E693A">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281" w:type="dxa"/>
            <w:noWrap w:val="0"/>
            <w:vAlign w:val="center"/>
          </w:tcPr>
          <w:p w14:paraId="419299FB">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二氧化碳</w:t>
            </w:r>
          </w:p>
        </w:tc>
        <w:tc>
          <w:tcPr>
            <w:tcW w:w="1266" w:type="dxa"/>
            <w:noWrap w:val="0"/>
            <w:vAlign w:val="center"/>
          </w:tcPr>
          <w:p w14:paraId="168A19F8">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79CC13B4">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瓶</w:t>
            </w:r>
          </w:p>
        </w:tc>
        <w:tc>
          <w:tcPr>
            <w:tcW w:w="812" w:type="dxa"/>
            <w:noWrap w:val="0"/>
            <w:vAlign w:val="center"/>
          </w:tcPr>
          <w:p w14:paraId="75E0900A">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5F09E05F">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高纯级，纯度≥99.999%</w:t>
            </w:r>
          </w:p>
        </w:tc>
        <w:tc>
          <w:tcPr>
            <w:tcW w:w="1446" w:type="dxa"/>
            <w:noWrap w:val="0"/>
            <w:vAlign w:val="center"/>
          </w:tcPr>
          <w:p w14:paraId="6D9FA733">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40L,20±0.5kg</w:t>
            </w:r>
          </w:p>
        </w:tc>
        <w:tc>
          <w:tcPr>
            <w:tcW w:w="1084" w:type="dxa"/>
            <w:noWrap w:val="0"/>
            <w:vAlign w:val="center"/>
          </w:tcPr>
          <w:p w14:paraId="0FE97CC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1100</w:t>
            </w:r>
          </w:p>
        </w:tc>
      </w:tr>
      <w:tr w14:paraId="7A774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0FCD20C7">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281" w:type="dxa"/>
            <w:noWrap w:val="0"/>
            <w:vAlign w:val="center"/>
          </w:tcPr>
          <w:p w14:paraId="4EC1199C">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二氧化碳</w:t>
            </w:r>
          </w:p>
        </w:tc>
        <w:tc>
          <w:tcPr>
            <w:tcW w:w="1266" w:type="dxa"/>
            <w:noWrap w:val="0"/>
            <w:vAlign w:val="center"/>
          </w:tcPr>
          <w:p w14:paraId="43E58FDA">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0EF65446">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瓶</w:t>
            </w:r>
          </w:p>
        </w:tc>
        <w:tc>
          <w:tcPr>
            <w:tcW w:w="812" w:type="dxa"/>
            <w:noWrap w:val="0"/>
            <w:vAlign w:val="center"/>
          </w:tcPr>
          <w:p w14:paraId="7376DE9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0A076C65">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药用级（符合《中国药典》），纯度≥99.99%</w:t>
            </w:r>
          </w:p>
        </w:tc>
        <w:tc>
          <w:tcPr>
            <w:tcW w:w="1446" w:type="dxa"/>
            <w:noWrap w:val="0"/>
            <w:vAlign w:val="center"/>
          </w:tcPr>
          <w:p w14:paraId="690D0A07">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40L,20±0.5kg</w:t>
            </w:r>
          </w:p>
        </w:tc>
        <w:tc>
          <w:tcPr>
            <w:tcW w:w="1084" w:type="dxa"/>
            <w:noWrap w:val="0"/>
            <w:vAlign w:val="center"/>
          </w:tcPr>
          <w:p w14:paraId="4859DF7A">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450</w:t>
            </w:r>
          </w:p>
        </w:tc>
      </w:tr>
      <w:tr w14:paraId="31722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2C0B4FEC">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1281" w:type="dxa"/>
            <w:noWrap w:val="0"/>
            <w:vAlign w:val="center"/>
          </w:tcPr>
          <w:p w14:paraId="6A17B3D7">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高纯氦</w:t>
            </w:r>
          </w:p>
        </w:tc>
        <w:tc>
          <w:tcPr>
            <w:tcW w:w="1266" w:type="dxa"/>
            <w:noWrap w:val="0"/>
            <w:vAlign w:val="center"/>
          </w:tcPr>
          <w:p w14:paraId="76FEE7AA">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21C406B1">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瓶</w:t>
            </w:r>
          </w:p>
        </w:tc>
        <w:tc>
          <w:tcPr>
            <w:tcW w:w="812" w:type="dxa"/>
            <w:noWrap w:val="0"/>
            <w:vAlign w:val="center"/>
          </w:tcPr>
          <w:p w14:paraId="54837CC2">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2D3795C6">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高纯级，纯度≥99.999%</w:t>
            </w:r>
          </w:p>
        </w:tc>
        <w:tc>
          <w:tcPr>
            <w:tcW w:w="1446" w:type="dxa"/>
            <w:noWrap w:val="0"/>
            <w:vAlign w:val="center"/>
          </w:tcPr>
          <w:p w14:paraId="20B9C414">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40L,13±0.5mPa</w:t>
            </w:r>
          </w:p>
        </w:tc>
        <w:tc>
          <w:tcPr>
            <w:tcW w:w="1084" w:type="dxa"/>
            <w:noWrap w:val="0"/>
            <w:vAlign w:val="center"/>
          </w:tcPr>
          <w:p w14:paraId="0E0FBB6C">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1800</w:t>
            </w:r>
          </w:p>
        </w:tc>
      </w:tr>
      <w:tr w14:paraId="0319C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1CF01019">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1281" w:type="dxa"/>
            <w:noWrap w:val="0"/>
            <w:vAlign w:val="center"/>
          </w:tcPr>
          <w:p w14:paraId="2AC7188D">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高纯氩</w:t>
            </w:r>
          </w:p>
        </w:tc>
        <w:tc>
          <w:tcPr>
            <w:tcW w:w="1266" w:type="dxa"/>
            <w:noWrap w:val="0"/>
            <w:vAlign w:val="center"/>
          </w:tcPr>
          <w:p w14:paraId="0B0D6973">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09737324">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瓶</w:t>
            </w:r>
          </w:p>
        </w:tc>
        <w:tc>
          <w:tcPr>
            <w:tcW w:w="812" w:type="dxa"/>
            <w:noWrap w:val="0"/>
            <w:vAlign w:val="center"/>
          </w:tcPr>
          <w:p w14:paraId="15AE3785">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1864ECCE">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高纯级，纯度≥99.999%</w:t>
            </w:r>
          </w:p>
        </w:tc>
        <w:tc>
          <w:tcPr>
            <w:tcW w:w="1446" w:type="dxa"/>
            <w:noWrap w:val="0"/>
            <w:vAlign w:val="center"/>
          </w:tcPr>
          <w:p w14:paraId="6EDBF426">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40L,13±0.5mPa</w:t>
            </w:r>
          </w:p>
        </w:tc>
        <w:tc>
          <w:tcPr>
            <w:tcW w:w="1084" w:type="dxa"/>
            <w:noWrap w:val="0"/>
            <w:vAlign w:val="center"/>
          </w:tcPr>
          <w:p w14:paraId="46EF3508">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500</w:t>
            </w:r>
          </w:p>
        </w:tc>
      </w:tr>
      <w:tr w14:paraId="5133F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2BBAB991">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281" w:type="dxa"/>
            <w:noWrap w:val="0"/>
            <w:vAlign w:val="center"/>
          </w:tcPr>
          <w:p w14:paraId="46F71420">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高纯氮</w:t>
            </w:r>
          </w:p>
        </w:tc>
        <w:tc>
          <w:tcPr>
            <w:tcW w:w="1266" w:type="dxa"/>
            <w:noWrap w:val="0"/>
            <w:vAlign w:val="center"/>
          </w:tcPr>
          <w:p w14:paraId="50B7BCEB">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7EE4D1B2">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瓶</w:t>
            </w:r>
          </w:p>
        </w:tc>
        <w:tc>
          <w:tcPr>
            <w:tcW w:w="812" w:type="dxa"/>
            <w:noWrap w:val="0"/>
            <w:vAlign w:val="center"/>
          </w:tcPr>
          <w:p w14:paraId="60A32301">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6DF952EA">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高纯级，纯度≥99.999%</w:t>
            </w:r>
          </w:p>
        </w:tc>
        <w:tc>
          <w:tcPr>
            <w:tcW w:w="1446" w:type="dxa"/>
            <w:noWrap w:val="0"/>
            <w:vAlign w:val="center"/>
          </w:tcPr>
          <w:p w14:paraId="38374535">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40L,13±0.5mPa</w:t>
            </w:r>
          </w:p>
        </w:tc>
        <w:tc>
          <w:tcPr>
            <w:tcW w:w="1084" w:type="dxa"/>
            <w:noWrap w:val="0"/>
            <w:vAlign w:val="center"/>
          </w:tcPr>
          <w:p w14:paraId="0B50645C">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400</w:t>
            </w:r>
          </w:p>
        </w:tc>
      </w:tr>
      <w:tr w14:paraId="09769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1BD8CFD4">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1281" w:type="dxa"/>
            <w:noWrap w:val="0"/>
            <w:vAlign w:val="center"/>
          </w:tcPr>
          <w:p w14:paraId="741FC019">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氩气</w:t>
            </w:r>
          </w:p>
        </w:tc>
        <w:tc>
          <w:tcPr>
            <w:tcW w:w="1266" w:type="dxa"/>
            <w:noWrap w:val="0"/>
            <w:vAlign w:val="center"/>
          </w:tcPr>
          <w:p w14:paraId="59BE8675">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2C6C3BE3">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瓶</w:t>
            </w:r>
          </w:p>
        </w:tc>
        <w:tc>
          <w:tcPr>
            <w:tcW w:w="812" w:type="dxa"/>
            <w:noWrap w:val="0"/>
            <w:vAlign w:val="center"/>
          </w:tcPr>
          <w:p w14:paraId="400CC431">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140023B5">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工业级，纯度≥99.95%</w:t>
            </w:r>
          </w:p>
        </w:tc>
        <w:tc>
          <w:tcPr>
            <w:tcW w:w="1446" w:type="dxa"/>
            <w:noWrap w:val="0"/>
            <w:vAlign w:val="center"/>
          </w:tcPr>
          <w:p w14:paraId="34208BFB">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40L,13±0.5mPa</w:t>
            </w:r>
          </w:p>
        </w:tc>
        <w:tc>
          <w:tcPr>
            <w:tcW w:w="1084" w:type="dxa"/>
            <w:noWrap w:val="0"/>
            <w:vAlign w:val="center"/>
          </w:tcPr>
          <w:p w14:paraId="4E7BB145">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120</w:t>
            </w:r>
          </w:p>
        </w:tc>
      </w:tr>
      <w:tr w14:paraId="12EBD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33B63D27">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1281" w:type="dxa"/>
            <w:noWrap w:val="0"/>
            <w:vAlign w:val="center"/>
          </w:tcPr>
          <w:p w14:paraId="68303E80">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食品级液氮</w:t>
            </w:r>
          </w:p>
        </w:tc>
        <w:tc>
          <w:tcPr>
            <w:tcW w:w="1266" w:type="dxa"/>
            <w:noWrap w:val="0"/>
            <w:vAlign w:val="center"/>
          </w:tcPr>
          <w:p w14:paraId="38743E9E">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14F07E61">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罐</w:t>
            </w:r>
          </w:p>
        </w:tc>
        <w:tc>
          <w:tcPr>
            <w:tcW w:w="812" w:type="dxa"/>
            <w:noWrap w:val="0"/>
            <w:vAlign w:val="center"/>
          </w:tcPr>
          <w:p w14:paraId="71BD6537">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2B14B84D">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食品级，纯度≥99.9%</w:t>
            </w:r>
          </w:p>
        </w:tc>
        <w:tc>
          <w:tcPr>
            <w:tcW w:w="1446" w:type="dxa"/>
            <w:noWrap w:val="0"/>
            <w:vAlign w:val="center"/>
          </w:tcPr>
          <w:p w14:paraId="471D0E3A">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175升杜瓦罐</w:t>
            </w:r>
          </w:p>
        </w:tc>
        <w:tc>
          <w:tcPr>
            <w:tcW w:w="1084" w:type="dxa"/>
            <w:noWrap w:val="0"/>
            <w:vAlign w:val="center"/>
          </w:tcPr>
          <w:p w14:paraId="1F2AA284">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600</w:t>
            </w:r>
          </w:p>
        </w:tc>
      </w:tr>
      <w:tr w14:paraId="361AF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21E216F7">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1281" w:type="dxa"/>
            <w:noWrap w:val="0"/>
            <w:vAlign w:val="center"/>
          </w:tcPr>
          <w:p w14:paraId="09DFFC79">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食品级液氮</w:t>
            </w:r>
          </w:p>
        </w:tc>
        <w:tc>
          <w:tcPr>
            <w:tcW w:w="1266" w:type="dxa"/>
            <w:noWrap w:val="0"/>
            <w:vAlign w:val="center"/>
          </w:tcPr>
          <w:p w14:paraId="7F675EF4">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50ADC7B2">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罐</w:t>
            </w:r>
          </w:p>
        </w:tc>
        <w:tc>
          <w:tcPr>
            <w:tcW w:w="812" w:type="dxa"/>
            <w:noWrap w:val="0"/>
            <w:vAlign w:val="center"/>
          </w:tcPr>
          <w:p w14:paraId="2526F9C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038D4790">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食品级，纯度≥99.9%</w:t>
            </w:r>
          </w:p>
        </w:tc>
        <w:tc>
          <w:tcPr>
            <w:tcW w:w="1446" w:type="dxa"/>
            <w:noWrap w:val="0"/>
            <w:vAlign w:val="center"/>
          </w:tcPr>
          <w:p w14:paraId="1420280F">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40升生物罐</w:t>
            </w:r>
          </w:p>
        </w:tc>
        <w:tc>
          <w:tcPr>
            <w:tcW w:w="1084" w:type="dxa"/>
            <w:noWrap w:val="0"/>
            <w:vAlign w:val="center"/>
          </w:tcPr>
          <w:p w14:paraId="1DEBA6DA">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400</w:t>
            </w:r>
          </w:p>
        </w:tc>
      </w:tr>
      <w:tr w14:paraId="4FA83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0E4413A2">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1281" w:type="dxa"/>
            <w:noWrap w:val="0"/>
            <w:vAlign w:val="center"/>
          </w:tcPr>
          <w:p w14:paraId="78B82EAE">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医用液氧</w:t>
            </w:r>
          </w:p>
        </w:tc>
        <w:tc>
          <w:tcPr>
            <w:tcW w:w="1266" w:type="dxa"/>
            <w:noWrap w:val="0"/>
            <w:vAlign w:val="center"/>
          </w:tcPr>
          <w:p w14:paraId="353A91AA">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2C4532C8">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罐</w:t>
            </w:r>
          </w:p>
        </w:tc>
        <w:tc>
          <w:tcPr>
            <w:tcW w:w="812" w:type="dxa"/>
            <w:noWrap w:val="0"/>
            <w:vAlign w:val="center"/>
          </w:tcPr>
          <w:p w14:paraId="613390E0">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12D643E6">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（符合《中国药典》），纯度≥99.5%</w:t>
            </w:r>
          </w:p>
        </w:tc>
        <w:tc>
          <w:tcPr>
            <w:tcW w:w="1446" w:type="dxa"/>
            <w:noWrap w:val="0"/>
            <w:vAlign w:val="center"/>
          </w:tcPr>
          <w:p w14:paraId="78D5F5D5">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210升杜瓦罐</w:t>
            </w:r>
          </w:p>
        </w:tc>
        <w:tc>
          <w:tcPr>
            <w:tcW w:w="1084" w:type="dxa"/>
            <w:noWrap w:val="0"/>
            <w:vAlign w:val="center"/>
          </w:tcPr>
          <w:p w14:paraId="555BB0CB">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720</w:t>
            </w:r>
          </w:p>
        </w:tc>
      </w:tr>
      <w:tr w14:paraId="48D6F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67B62C83">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c>
          <w:tcPr>
            <w:tcW w:w="1281" w:type="dxa"/>
            <w:noWrap w:val="0"/>
            <w:vAlign w:val="center"/>
          </w:tcPr>
          <w:p w14:paraId="4AC587DC">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医用液氧</w:t>
            </w:r>
          </w:p>
        </w:tc>
        <w:tc>
          <w:tcPr>
            <w:tcW w:w="1266" w:type="dxa"/>
            <w:noWrap w:val="0"/>
            <w:vAlign w:val="center"/>
          </w:tcPr>
          <w:p w14:paraId="5C35C13D">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5F058BD1">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罐</w:t>
            </w:r>
          </w:p>
        </w:tc>
        <w:tc>
          <w:tcPr>
            <w:tcW w:w="812" w:type="dxa"/>
            <w:noWrap w:val="0"/>
            <w:vAlign w:val="center"/>
          </w:tcPr>
          <w:p w14:paraId="3B79F4DD">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32846687">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（符合《中国药典》），纯度≥99.5%</w:t>
            </w:r>
          </w:p>
        </w:tc>
        <w:tc>
          <w:tcPr>
            <w:tcW w:w="1446" w:type="dxa"/>
            <w:noWrap w:val="0"/>
            <w:vAlign w:val="center"/>
          </w:tcPr>
          <w:p w14:paraId="76832168">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195升杜瓦罐</w:t>
            </w:r>
          </w:p>
        </w:tc>
        <w:tc>
          <w:tcPr>
            <w:tcW w:w="1084" w:type="dxa"/>
            <w:noWrap w:val="0"/>
            <w:vAlign w:val="center"/>
          </w:tcPr>
          <w:p w14:paraId="7C5532B1">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670</w:t>
            </w:r>
          </w:p>
        </w:tc>
      </w:tr>
      <w:tr w14:paraId="6DCF0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0D935880">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12</w:t>
            </w:r>
          </w:p>
        </w:tc>
        <w:tc>
          <w:tcPr>
            <w:tcW w:w="1281" w:type="dxa"/>
            <w:noWrap w:val="0"/>
            <w:vAlign w:val="center"/>
          </w:tcPr>
          <w:p w14:paraId="70F7C357">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医用液氧</w:t>
            </w:r>
          </w:p>
        </w:tc>
        <w:tc>
          <w:tcPr>
            <w:tcW w:w="1266" w:type="dxa"/>
            <w:noWrap w:val="0"/>
            <w:vAlign w:val="center"/>
          </w:tcPr>
          <w:p w14:paraId="6263753C">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22B5EB24">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罐</w:t>
            </w:r>
          </w:p>
        </w:tc>
        <w:tc>
          <w:tcPr>
            <w:tcW w:w="812" w:type="dxa"/>
            <w:noWrap w:val="0"/>
            <w:vAlign w:val="center"/>
          </w:tcPr>
          <w:p w14:paraId="0B44DC94">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7E86B454">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（符合《中国药典》），纯度≥99.5%</w:t>
            </w:r>
          </w:p>
        </w:tc>
        <w:tc>
          <w:tcPr>
            <w:tcW w:w="1446" w:type="dxa"/>
            <w:noWrap w:val="0"/>
            <w:vAlign w:val="center"/>
          </w:tcPr>
          <w:p w14:paraId="10EC024A">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175升杜瓦罐</w:t>
            </w:r>
          </w:p>
        </w:tc>
        <w:tc>
          <w:tcPr>
            <w:tcW w:w="1084" w:type="dxa"/>
            <w:noWrap w:val="0"/>
            <w:vAlign w:val="center"/>
          </w:tcPr>
          <w:p w14:paraId="7B7215DB">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600</w:t>
            </w:r>
          </w:p>
        </w:tc>
      </w:tr>
      <w:tr w14:paraId="4F569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163C97CA">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13</w:t>
            </w:r>
          </w:p>
        </w:tc>
        <w:tc>
          <w:tcPr>
            <w:tcW w:w="1281" w:type="dxa"/>
            <w:noWrap w:val="0"/>
            <w:vAlign w:val="center"/>
          </w:tcPr>
          <w:p w14:paraId="4D4EC2AE">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医用气态氧</w:t>
            </w:r>
          </w:p>
        </w:tc>
        <w:tc>
          <w:tcPr>
            <w:tcW w:w="1266" w:type="dxa"/>
            <w:noWrap w:val="0"/>
            <w:vAlign w:val="center"/>
          </w:tcPr>
          <w:p w14:paraId="5018BA50">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75400DEF">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瓶</w:t>
            </w:r>
          </w:p>
        </w:tc>
        <w:tc>
          <w:tcPr>
            <w:tcW w:w="812" w:type="dxa"/>
            <w:noWrap w:val="0"/>
            <w:vAlign w:val="center"/>
          </w:tcPr>
          <w:p w14:paraId="604879BC">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51247A60">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（符合《中国药典》），纯度≥99.5%</w:t>
            </w:r>
          </w:p>
        </w:tc>
        <w:tc>
          <w:tcPr>
            <w:tcW w:w="1446" w:type="dxa"/>
            <w:noWrap w:val="0"/>
            <w:vAlign w:val="center"/>
          </w:tcPr>
          <w:p w14:paraId="7ACB1065">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40L,13±0.5mPa</w:t>
            </w:r>
          </w:p>
        </w:tc>
        <w:tc>
          <w:tcPr>
            <w:tcW w:w="1084" w:type="dxa"/>
            <w:noWrap w:val="0"/>
            <w:vAlign w:val="center"/>
          </w:tcPr>
          <w:p w14:paraId="354A0BF2">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45</w:t>
            </w:r>
          </w:p>
        </w:tc>
      </w:tr>
      <w:tr w14:paraId="2CCF9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3128FD5A">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14</w:t>
            </w:r>
          </w:p>
        </w:tc>
        <w:tc>
          <w:tcPr>
            <w:tcW w:w="1281" w:type="dxa"/>
            <w:noWrap w:val="0"/>
            <w:vAlign w:val="center"/>
          </w:tcPr>
          <w:p w14:paraId="55BCA1DB">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医用气态氧</w:t>
            </w:r>
          </w:p>
        </w:tc>
        <w:tc>
          <w:tcPr>
            <w:tcW w:w="1266" w:type="dxa"/>
            <w:noWrap w:val="0"/>
            <w:vAlign w:val="center"/>
          </w:tcPr>
          <w:p w14:paraId="1EACC9B8">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7B5D4CD9">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瓶</w:t>
            </w:r>
          </w:p>
        </w:tc>
        <w:tc>
          <w:tcPr>
            <w:tcW w:w="812" w:type="dxa"/>
            <w:noWrap w:val="0"/>
            <w:vAlign w:val="center"/>
          </w:tcPr>
          <w:p w14:paraId="03F4E791">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195EA60F">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（符合《中国药典》），纯度≥99.5%</w:t>
            </w:r>
          </w:p>
        </w:tc>
        <w:tc>
          <w:tcPr>
            <w:tcW w:w="1446" w:type="dxa"/>
            <w:noWrap w:val="0"/>
            <w:vAlign w:val="center"/>
          </w:tcPr>
          <w:p w14:paraId="75D339D4">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15L,13±0.5mPa</w:t>
            </w:r>
          </w:p>
        </w:tc>
        <w:tc>
          <w:tcPr>
            <w:tcW w:w="1084" w:type="dxa"/>
            <w:noWrap w:val="0"/>
            <w:vAlign w:val="center"/>
          </w:tcPr>
          <w:p w14:paraId="169C7EBB">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25</w:t>
            </w:r>
          </w:p>
        </w:tc>
      </w:tr>
      <w:tr w14:paraId="4A20E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006BE212">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1281" w:type="dxa"/>
            <w:noWrap w:val="0"/>
            <w:vAlign w:val="center"/>
          </w:tcPr>
          <w:p w14:paraId="694B66D0">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医用气态氧</w:t>
            </w:r>
          </w:p>
        </w:tc>
        <w:tc>
          <w:tcPr>
            <w:tcW w:w="1266" w:type="dxa"/>
            <w:noWrap w:val="0"/>
            <w:vAlign w:val="center"/>
          </w:tcPr>
          <w:p w14:paraId="5B2EC425">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3F8D4CE8">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瓶</w:t>
            </w:r>
          </w:p>
        </w:tc>
        <w:tc>
          <w:tcPr>
            <w:tcW w:w="812" w:type="dxa"/>
            <w:noWrap w:val="0"/>
            <w:vAlign w:val="center"/>
          </w:tcPr>
          <w:p w14:paraId="7F6AC945">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43811C19">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（符合《中国药典》），纯度≥99.5%</w:t>
            </w:r>
          </w:p>
        </w:tc>
        <w:tc>
          <w:tcPr>
            <w:tcW w:w="1446" w:type="dxa"/>
            <w:noWrap w:val="0"/>
            <w:vAlign w:val="center"/>
          </w:tcPr>
          <w:p w14:paraId="720150FE">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10L,13±0.5mPa</w:t>
            </w:r>
          </w:p>
        </w:tc>
        <w:tc>
          <w:tcPr>
            <w:tcW w:w="1084" w:type="dxa"/>
            <w:noWrap w:val="0"/>
            <w:vAlign w:val="center"/>
          </w:tcPr>
          <w:p w14:paraId="32EAE777">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25</w:t>
            </w:r>
          </w:p>
        </w:tc>
      </w:tr>
      <w:tr w14:paraId="5BA7D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007584A7">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16</w:t>
            </w:r>
          </w:p>
        </w:tc>
        <w:tc>
          <w:tcPr>
            <w:tcW w:w="1281" w:type="dxa"/>
            <w:noWrap w:val="0"/>
            <w:vAlign w:val="top"/>
          </w:tcPr>
          <w:p w14:paraId="2F72D3B5">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医用气态氧</w:t>
            </w:r>
          </w:p>
        </w:tc>
        <w:tc>
          <w:tcPr>
            <w:tcW w:w="1266" w:type="dxa"/>
            <w:noWrap w:val="0"/>
            <w:vAlign w:val="center"/>
          </w:tcPr>
          <w:p w14:paraId="28706CF5">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7BECBE07">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瓶</w:t>
            </w:r>
          </w:p>
        </w:tc>
        <w:tc>
          <w:tcPr>
            <w:tcW w:w="812" w:type="dxa"/>
            <w:noWrap w:val="0"/>
            <w:vAlign w:val="center"/>
          </w:tcPr>
          <w:p w14:paraId="103B52BD">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2115A993">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（符合《中国药典》），纯度≥99.5%</w:t>
            </w:r>
          </w:p>
        </w:tc>
        <w:tc>
          <w:tcPr>
            <w:tcW w:w="1446" w:type="dxa"/>
            <w:noWrap w:val="0"/>
            <w:vAlign w:val="center"/>
          </w:tcPr>
          <w:p w14:paraId="59772163">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8L,13±0.5mPa</w:t>
            </w:r>
          </w:p>
        </w:tc>
        <w:tc>
          <w:tcPr>
            <w:tcW w:w="1084" w:type="dxa"/>
            <w:noWrap w:val="0"/>
            <w:vAlign w:val="center"/>
          </w:tcPr>
          <w:p w14:paraId="4FA3F5D1">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25</w:t>
            </w:r>
          </w:p>
        </w:tc>
      </w:tr>
      <w:tr w14:paraId="39AF6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dxa"/>
            <w:noWrap w:val="0"/>
            <w:vAlign w:val="center"/>
          </w:tcPr>
          <w:p w14:paraId="73A0B724">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17</w:t>
            </w:r>
          </w:p>
        </w:tc>
        <w:tc>
          <w:tcPr>
            <w:tcW w:w="1281" w:type="dxa"/>
            <w:noWrap w:val="0"/>
            <w:vAlign w:val="top"/>
          </w:tcPr>
          <w:p w14:paraId="0ED3233C">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医用气态氧</w:t>
            </w:r>
          </w:p>
        </w:tc>
        <w:tc>
          <w:tcPr>
            <w:tcW w:w="1266" w:type="dxa"/>
            <w:noWrap w:val="0"/>
            <w:vAlign w:val="center"/>
          </w:tcPr>
          <w:p w14:paraId="4ADC8159">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按实际需要求</w:t>
            </w:r>
          </w:p>
        </w:tc>
        <w:tc>
          <w:tcPr>
            <w:tcW w:w="588" w:type="dxa"/>
            <w:noWrap w:val="0"/>
            <w:vAlign w:val="center"/>
          </w:tcPr>
          <w:p w14:paraId="48036362">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瓶</w:t>
            </w:r>
          </w:p>
        </w:tc>
        <w:tc>
          <w:tcPr>
            <w:tcW w:w="812" w:type="dxa"/>
            <w:noWrap w:val="0"/>
            <w:vAlign w:val="center"/>
          </w:tcPr>
          <w:p w14:paraId="1714B2AF">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25" w:type="dxa"/>
            <w:noWrap w:val="0"/>
            <w:vAlign w:val="center"/>
          </w:tcPr>
          <w:p w14:paraId="3D742EBC">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（符合《中国药典》），纯度≥99.5%</w:t>
            </w:r>
          </w:p>
        </w:tc>
        <w:tc>
          <w:tcPr>
            <w:tcW w:w="1446" w:type="dxa"/>
            <w:noWrap w:val="0"/>
            <w:vAlign w:val="center"/>
          </w:tcPr>
          <w:p w14:paraId="18A609C3">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5L,13±0.5mPa</w:t>
            </w:r>
          </w:p>
        </w:tc>
        <w:tc>
          <w:tcPr>
            <w:tcW w:w="1084" w:type="dxa"/>
            <w:noWrap w:val="0"/>
            <w:vAlign w:val="center"/>
          </w:tcPr>
          <w:p w14:paraId="1B983171">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25</w:t>
            </w:r>
          </w:p>
        </w:tc>
      </w:tr>
    </w:tbl>
    <w:p w14:paraId="2DA74005">
      <w:pPr>
        <w:spacing w:line="428" w:lineRule="exact"/>
        <w:rPr>
          <w:rFonts w:hint="eastAsia" w:ascii="宋体" w:hAnsi="宋体" w:eastAsia="宋体" w:cs="宋体"/>
          <w:b/>
          <w:bCs/>
          <w:sz w:val="24"/>
          <w:szCs w:val="24"/>
        </w:rPr>
      </w:pPr>
      <w:r>
        <w:rPr>
          <w:rFonts w:hint="eastAsia" w:ascii="宋体" w:hAnsi="宋体" w:eastAsia="宋体" w:cs="宋体"/>
          <w:b/>
          <w:bCs/>
          <w:sz w:val="24"/>
          <w:szCs w:val="24"/>
        </w:rPr>
        <w:t>备注：1.所提供的医用氧气必须符合:药品注册标准编号《中国药典》2020年版二部;具备药品注册批件。</w:t>
      </w:r>
    </w:p>
    <w:p w14:paraId="2124D930">
      <w:pPr>
        <w:spacing w:line="428" w:lineRule="exact"/>
        <w:ind w:firstLine="723" w:firstLineChars="300"/>
        <w:rPr>
          <w:rFonts w:hint="eastAsia" w:ascii="宋体" w:hAnsi="宋体" w:eastAsia="宋体" w:cs="宋体"/>
          <w:b/>
          <w:bCs/>
          <w:sz w:val="24"/>
          <w:szCs w:val="24"/>
        </w:rPr>
      </w:pPr>
      <w:r>
        <w:rPr>
          <w:rFonts w:hint="eastAsia" w:ascii="宋体" w:hAnsi="宋体" w:eastAsia="宋体" w:cs="宋体"/>
          <w:b/>
          <w:bCs/>
          <w:sz w:val="24"/>
          <w:szCs w:val="24"/>
        </w:rPr>
        <w:t>2.供应商的各项报价均不得超出上述的各项上控单价。</w:t>
      </w:r>
    </w:p>
    <w:p w14:paraId="62D0C40F">
      <w:pPr>
        <w:spacing w:line="428" w:lineRule="exact"/>
        <w:ind w:firstLine="480" w:firstLineChars="200"/>
        <w:rPr>
          <w:rFonts w:hint="eastAsia" w:ascii="宋体" w:hAnsi="宋体" w:eastAsia="宋体" w:cs="宋体"/>
          <w:b/>
          <w:bCs/>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本次招标</w:t>
      </w:r>
      <w:r>
        <w:rPr>
          <w:rFonts w:hint="eastAsia" w:ascii="宋体" w:hAnsi="宋体" w:eastAsia="宋体" w:cs="宋体"/>
          <w:color w:val="auto"/>
          <w:kern w:val="0"/>
          <w:sz w:val="24"/>
          <w:szCs w:val="24"/>
          <w:lang w:eastAsia="zh-CN"/>
        </w:rPr>
        <w:t>为</w:t>
      </w:r>
      <w:r>
        <w:rPr>
          <w:rFonts w:hint="eastAsia" w:ascii="宋体" w:hAnsi="宋体" w:eastAsia="宋体" w:cs="宋体"/>
          <w:b/>
          <w:bCs/>
          <w:sz w:val="24"/>
          <w:szCs w:val="24"/>
        </w:rPr>
        <w:t>遴选出3家</w:t>
      </w:r>
      <w:r>
        <w:rPr>
          <w:rFonts w:hint="eastAsia" w:ascii="宋体" w:hAnsi="宋体" w:eastAsia="宋体" w:cs="宋体"/>
          <w:b/>
          <w:bCs/>
          <w:sz w:val="24"/>
          <w:szCs w:val="24"/>
          <w:lang w:eastAsia="zh-CN"/>
        </w:rPr>
        <w:t>供应商负责我院气体使用的</w:t>
      </w:r>
      <w:r>
        <w:rPr>
          <w:rFonts w:hint="eastAsia" w:ascii="宋体" w:hAnsi="宋体" w:eastAsia="宋体" w:cs="宋体"/>
          <w:b/>
          <w:bCs/>
          <w:sz w:val="24"/>
          <w:szCs w:val="24"/>
        </w:rPr>
        <w:t>配送</w:t>
      </w:r>
      <w:r>
        <w:rPr>
          <w:rFonts w:hint="eastAsia" w:ascii="宋体" w:hAnsi="宋体" w:eastAsia="宋体" w:cs="宋体"/>
          <w:b/>
          <w:bCs/>
          <w:sz w:val="24"/>
          <w:szCs w:val="24"/>
          <w:lang w:eastAsia="zh-CN"/>
        </w:rPr>
        <w:t>，报名公司可对我院的需求选择报价（可</w:t>
      </w:r>
      <w:r>
        <w:rPr>
          <w:rFonts w:hint="eastAsia" w:ascii="宋体" w:hAnsi="宋体" w:cs="宋体"/>
          <w:b/>
          <w:bCs/>
          <w:sz w:val="24"/>
          <w:szCs w:val="24"/>
          <w:lang w:eastAsia="zh-CN"/>
        </w:rPr>
        <w:t>对所有标的</w:t>
      </w:r>
      <w:bookmarkStart w:id="0" w:name="_GoBack"/>
      <w:bookmarkEnd w:id="0"/>
      <w:r>
        <w:rPr>
          <w:rFonts w:hint="eastAsia" w:ascii="宋体" w:hAnsi="宋体" w:eastAsia="宋体" w:cs="宋体"/>
          <w:b/>
          <w:bCs/>
          <w:sz w:val="24"/>
          <w:szCs w:val="24"/>
          <w:lang w:eastAsia="zh-CN"/>
        </w:rPr>
        <w:t>全部报名，也可只报其中的一项或多项）</w:t>
      </w:r>
    </w:p>
    <w:p w14:paraId="77BECB76">
      <w:pPr>
        <w:widowControl/>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商务条款：</w:t>
      </w:r>
    </w:p>
    <w:p w14:paraId="736EF5DB">
      <w:pPr>
        <w:widowControl/>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合同签订期：</w:t>
      </w:r>
      <w:r>
        <w:rPr>
          <w:rFonts w:hint="eastAsia" w:ascii="宋体" w:hAnsi="宋体" w:eastAsia="宋体" w:cs="宋体"/>
          <w:sz w:val="24"/>
          <w:szCs w:val="24"/>
        </w:rPr>
        <w:t>自成交通知书发出之日起</w:t>
      </w:r>
      <w:r>
        <w:rPr>
          <w:rFonts w:hint="eastAsia" w:ascii="宋体" w:hAnsi="宋体" w:eastAsia="宋体" w:cs="宋体"/>
          <w:sz w:val="24"/>
          <w:szCs w:val="24"/>
          <w:u w:val="single"/>
        </w:rPr>
        <w:t>25</w:t>
      </w:r>
      <w:r>
        <w:rPr>
          <w:rFonts w:hint="eastAsia" w:ascii="宋体" w:hAnsi="宋体" w:eastAsia="宋体" w:cs="宋体"/>
          <w:sz w:val="24"/>
          <w:szCs w:val="24"/>
        </w:rPr>
        <w:t>日内</w:t>
      </w:r>
    </w:p>
    <w:p w14:paraId="75B458AB">
      <w:pPr>
        <w:widowControl/>
        <w:spacing w:line="360" w:lineRule="auto"/>
        <w:rPr>
          <w:rFonts w:hint="eastAsia" w:ascii="宋体" w:hAnsi="宋体" w:eastAsia="宋体" w:cs="宋体"/>
          <w:kern w:val="0"/>
          <w:sz w:val="24"/>
          <w:szCs w:val="24"/>
        </w:rPr>
      </w:pPr>
      <w:r>
        <w:rPr>
          <w:rFonts w:hint="eastAsia" w:ascii="宋体" w:hAnsi="宋体" w:eastAsia="宋体" w:cs="宋体"/>
          <w:sz w:val="24"/>
          <w:szCs w:val="24"/>
          <w:lang w:eastAsia="zh-CN"/>
        </w:rPr>
        <w:t>（二）</w:t>
      </w:r>
      <w:r>
        <w:rPr>
          <w:rFonts w:hint="eastAsia" w:ascii="宋体" w:hAnsi="宋体" w:eastAsia="宋体" w:cs="宋体"/>
          <w:b/>
          <w:sz w:val="24"/>
          <w:szCs w:val="24"/>
        </w:rPr>
        <w:t>交付使用期</w:t>
      </w:r>
      <w:r>
        <w:rPr>
          <w:rFonts w:hint="eastAsia" w:ascii="宋体" w:hAnsi="宋体" w:eastAsia="宋体" w:cs="宋体"/>
          <w:bCs/>
          <w:sz w:val="24"/>
          <w:szCs w:val="24"/>
        </w:rPr>
        <w:t>：采购人发出采购指令后，供应商必须在1小时内采取实质性行动。</w:t>
      </w:r>
      <w:r>
        <w:rPr>
          <w:rFonts w:hint="eastAsia" w:ascii="宋体" w:hAnsi="宋体" w:eastAsia="宋体" w:cs="宋体"/>
          <w:sz w:val="24"/>
          <w:szCs w:val="24"/>
        </w:rPr>
        <w:t>24小时内将</w:t>
      </w:r>
      <w:r>
        <w:rPr>
          <w:rFonts w:hint="eastAsia" w:ascii="宋体" w:hAnsi="宋体" w:eastAsia="宋体" w:cs="宋体"/>
          <w:bCs/>
          <w:sz w:val="24"/>
          <w:szCs w:val="24"/>
        </w:rPr>
        <w:t>商品送达指定地点；紧急情况后，6小时内将满足应急供货量的指定规格气体送达指定地点，并根据实际情况提供不间断的持续供给</w:t>
      </w:r>
      <w:r>
        <w:rPr>
          <w:rFonts w:hint="eastAsia" w:ascii="宋体" w:hAnsi="宋体" w:eastAsia="宋体" w:cs="宋体"/>
          <w:kern w:val="0"/>
          <w:sz w:val="24"/>
          <w:szCs w:val="24"/>
        </w:rPr>
        <w:t>。</w:t>
      </w:r>
    </w:p>
    <w:p w14:paraId="6EED3F44">
      <w:pPr>
        <w:widowControl/>
        <w:spacing w:line="360" w:lineRule="auto"/>
        <w:ind w:left="482" w:hanging="482" w:hangingChars="200"/>
        <w:rPr>
          <w:rFonts w:hint="eastAsia" w:ascii="宋体" w:hAnsi="宋体" w:eastAsia="宋体" w:cs="宋体"/>
          <w:bCs/>
          <w:sz w:val="24"/>
          <w:szCs w:val="24"/>
        </w:rPr>
      </w:pPr>
      <w:r>
        <w:rPr>
          <w:rFonts w:hint="eastAsia" w:ascii="宋体" w:hAnsi="宋体" w:eastAsia="宋体" w:cs="宋体"/>
          <w:b/>
          <w:sz w:val="24"/>
          <w:szCs w:val="24"/>
        </w:rPr>
        <w:t>三、服务时间:</w:t>
      </w:r>
      <w:r>
        <w:rPr>
          <w:rFonts w:hint="eastAsia" w:ascii="宋体" w:hAnsi="宋体" w:eastAsia="宋体" w:cs="宋体"/>
          <w:bCs/>
          <w:sz w:val="24"/>
          <w:szCs w:val="24"/>
        </w:rPr>
        <w:t>2025年 月 日至2026年 月 日（具体时间自签订合同之日起计算），本项目采购总额限价为48万元，如在服务期内采购金额达48万元，采购合同即</w:t>
      </w:r>
    </w:p>
    <w:p w14:paraId="59725D00">
      <w:pPr>
        <w:widowControl/>
        <w:spacing w:line="360" w:lineRule="auto"/>
        <w:ind w:left="482" w:hanging="480" w:hangingChars="200"/>
        <w:rPr>
          <w:rFonts w:hint="eastAsia" w:ascii="宋体" w:hAnsi="宋体" w:eastAsia="宋体" w:cs="宋体"/>
          <w:bCs/>
          <w:sz w:val="24"/>
          <w:szCs w:val="24"/>
        </w:rPr>
      </w:pPr>
      <w:r>
        <w:rPr>
          <w:rFonts w:hint="eastAsia" w:ascii="宋体" w:hAnsi="宋体" w:eastAsia="宋体" w:cs="宋体"/>
          <w:bCs/>
          <w:sz w:val="24"/>
          <w:szCs w:val="24"/>
        </w:rPr>
        <w:t>自动终止。</w:t>
      </w:r>
    </w:p>
    <w:p w14:paraId="33DC2A56">
      <w:pPr>
        <w:widowControl/>
        <w:spacing w:line="360" w:lineRule="auto"/>
        <w:rPr>
          <w:rFonts w:hint="eastAsia" w:ascii="宋体" w:hAnsi="宋体" w:eastAsia="宋体" w:cs="宋体"/>
          <w:sz w:val="24"/>
          <w:szCs w:val="24"/>
        </w:rPr>
      </w:pPr>
      <w:r>
        <w:rPr>
          <w:rFonts w:hint="eastAsia" w:ascii="宋体" w:hAnsi="宋体" w:eastAsia="宋体" w:cs="宋体"/>
          <w:b/>
          <w:bCs/>
          <w:sz w:val="24"/>
          <w:szCs w:val="24"/>
        </w:rPr>
        <w:t>四、</w:t>
      </w:r>
      <w:r>
        <w:rPr>
          <w:rFonts w:hint="eastAsia" w:ascii="宋体" w:hAnsi="宋体" w:eastAsia="宋体" w:cs="宋体"/>
          <w:b/>
          <w:sz w:val="24"/>
          <w:szCs w:val="24"/>
        </w:rPr>
        <w:t>交付</w:t>
      </w:r>
      <w:r>
        <w:rPr>
          <w:rFonts w:hint="eastAsia" w:ascii="宋体" w:hAnsi="宋体" w:eastAsia="宋体" w:cs="宋体"/>
          <w:b/>
          <w:bCs/>
          <w:sz w:val="24"/>
          <w:szCs w:val="24"/>
        </w:rPr>
        <w:t>地点：</w:t>
      </w:r>
      <w:r>
        <w:rPr>
          <w:rFonts w:hint="eastAsia" w:ascii="宋体" w:hAnsi="宋体" w:eastAsia="宋体" w:cs="宋体"/>
          <w:sz w:val="24"/>
          <w:szCs w:val="24"/>
        </w:rPr>
        <w:t>广西壮族自治区桂东人民医院，采购人指定地点。</w:t>
      </w:r>
    </w:p>
    <w:p w14:paraId="073A1052">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、验收要求：</w:t>
      </w:r>
    </w:p>
    <w:p w14:paraId="7368F5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1.安装调试合格后，双方对产品进行性能考核，通过考核且达到采购人要求，方可签署验收合格文件。</w:t>
      </w:r>
    </w:p>
    <w:p w14:paraId="65743CE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 氧气瓶/罐应标识清晰（药品名称、批准文号、生产批号、有效期、压力值 、规格、生产厂家），瓶体无锈蚀、无泄漏</w:t>
      </w:r>
    </w:p>
    <w:p w14:paraId="42273D8A">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3.每批次氧气交接需附：质量检测报告，生产批号相符</w:t>
      </w:r>
    </w:p>
    <w:p w14:paraId="1CA83F1D">
      <w:pPr>
        <w:spacing w:line="360" w:lineRule="auto"/>
        <w:rPr>
          <w:rFonts w:hint="eastAsia" w:ascii="宋体" w:hAnsi="宋体" w:eastAsia="宋体" w:cs="宋体"/>
          <w:sz w:val="24"/>
          <w:szCs w:val="24"/>
        </w:rPr>
      </w:pPr>
      <w:r>
        <w:rPr>
          <w:rFonts w:hint="eastAsia" w:ascii="宋体" w:hAnsi="宋体" w:eastAsia="宋体" w:cs="宋体"/>
          <w:b/>
          <w:spacing w:val="-8"/>
          <w:sz w:val="24"/>
          <w:szCs w:val="24"/>
          <w:lang w:eastAsia="zh-CN"/>
        </w:rPr>
        <w:t>六</w:t>
      </w:r>
      <w:r>
        <w:rPr>
          <w:rFonts w:hint="eastAsia" w:ascii="宋体" w:hAnsi="宋体" w:eastAsia="宋体" w:cs="宋体"/>
          <w:b/>
          <w:spacing w:val="-8"/>
          <w:sz w:val="24"/>
          <w:szCs w:val="24"/>
        </w:rPr>
        <w:t>、质保期：</w:t>
      </w:r>
      <w:r>
        <w:rPr>
          <w:rFonts w:hint="eastAsia" w:ascii="宋体" w:hAnsi="宋体" w:eastAsia="宋体" w:cs="宋体"/>
          <w:sz w:val="24"/>
          <w:szCs w:val="24"/>
        </w:rPr>
        <w:t>所提供的气体有效期不少于1年。</w:t>
      </w:r>
    </w:p>
    <w:p w14:paraId="102CD360">
      <w:pPr>
        <w:pStyle w:val="13"/>
        <w:ind w:left="-708" w:leftChars="-337" w:firstLine="720" w:firstLineChars="300"/>
        <w:rPr>
          <w:rFonts w:hint="eastAsia" w:ascii="宋体" w:hAnsi="宋体" w:eastAsia="宋体" w:cs="宋体"/>
          <w:b/>
          <w:bCs/>
          <w:kern w:val="0"/>
          <w:sz w:val="24"/>
          <w:szCs w:val="24"/>
          <w:lang w:val="en-US" w:eastAsia="zh-CN"/>
        </w:rPr>
      </w:pPr>
      <w:r>
        <w:rPr>
          <w:rFonts w:hint="eastAsia" w:ascii="宋体" w:hAnsi="宋体" w:eastAsia="宋体" w:cs="宋体"/>
          <w:b w:val="0"/>
          <w:bCs w:val="0"/>
          <w:kern w:val="0"/>
          <w:sz w:val="24"/>
          <w:szCs w:val="24"/>
          <w:lang w:val="en-US" w:eastAsia="zh-CN"/>
        </w:rPr>
        <w:t>七、付款条件（进度和方式）：</w:t>
      </w:r>
    </w:p>
    <w:p w14:paraId="3B7BCFC1">
      <w:pPr>
        <w:widowControl/>
        <w:spacing w:line="400" w:lineRule="exact"/>
        <w:ind w:left="-227" w:leftChars="-108"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签订合同待全部货物到达指定地点、安装调试并验收合格后，凭双方签署验收合格证，按</w:t>
      </w:r>
      <w:r>
        <w:rPr>
          <w:rFonts w:hint="eastAsia" w:ascii="宋体" w:hAnsi="宋体" w:eastAsia="宋体" w:cs="宋体"/>
          <w:kern w:val="0"/>
          <w:sz w:val="24"/>
          <w:szCs w:val="24"/>
          <w:lang w:eastAsia="zh-CN"/>
        </w:rPr>
        <w:t>季度</w:t>
      </w:r>
      <w:r>
        <w:rPr>
          <w:rFonts w:hint="eastAsia" w:ascii="宋体" w:hAnsi="宋体" w:eastAsia="宋体" w:cs="宋体"/>
          <w:kern w:val="0"/>
          <w:sz w:val="24"/>
          <w:szCs w:val="24"/>
          <w:lang w:val="en-US" w:eastAsia="zh-CN"/>
        </w:rPr>
        <w:t>使用实际数量付款。</w:t>
      </w:r>
      <w:r>
        <w:rPr>
          <w:rFonts w:hint="eastAsia" w:ascii="宋体" w:hAnsi="宋体" w:eastAsia="宋体" w:cs="宋体"/>
          <w:kern w:val="0"/>
          <w:sz w:val="24"/>
          <w:szCs w:val="24"/>
        </w:rPr>
        <w:t>乙方开具全额发票给甲方，</w:t>
      </w:r>
      <w:r>
        <w:rPr>
          <w:rFonts w:hint="eastAsia" w:ascii="宋体" w:hAnsi="宋体" w:eastAsia="宋体" w:cs="宋体"/>
          <w:kern w:val="0"/>
          <w:sz w:val="24"/>
          <w:szCs w:val="24"/>
          <w:lang w:val="en-US" w:eastAsia="zh-CN"/>
        </w:rPr>
        <w:t>甲方自收到发票之日起 30 日内总额100%支付给乙方。</w:t>
      </w:r>
    </w:p>
    <w:p w14:paraId="522D975A">
      <w:pPr>
        <w:widowControl/>
        <w:spacing w:line="400" w:lineRule="exact"/>
        <w:ind w:left="-227" w:leftChars="-108"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如验收不合格以及发现伪劣产品等，招标人将视情形采取退货、拒付款、终止合同、索赔等措施，直至通过有关部门，依法维权。</w:t>
      </w:r>
    </w:p>
    <w:p w14:paraId="38FB3A1F">
      <w:pPr>
        <w:widowControl/>
        <w:spacing w:line="360" w:lineRule="auto"/>
        <w:rPr>
          <w:rFonts w:ascii="宋体" w:hAnsi="宋体"/>
          <w:b/>
          <w:bCs/>
          <w:szCs w:val="21"/>
        </w:rPr>
      </w:pPr>
    </w:p>
    <w:p w14:paraId="6C272030">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最低评标价法 </w:t>
      </w:r>
      <w:r>
        <w:rPr>
          <w:rFonts w:hint="eastAsia" w:cs="宋体"/>
          <w:kern w:val="0"/>
          <w:sz w:val="24"/>
          <w:szCs w:val="24"/>
        </w:rPr>
        <w:t>确定中标候选人。</w:t>
      </w:r>
    </w:p>
    <w:p w14:paraId="13B45921">
      <w:pPr>
        <w:pStyle w:val="13"/>
      </w:pPr>
    </w:p>
    <w:p w14:paraId="17EB9BDF">
      <w:pPr>
        <w:pStyle w:val="13"/>
      </w:pPr>
    </w:p>
    <w:p w14:paraId="7F734BE7">
      <w:pPr>
        <w:snapToGrid w:val="0"/>
        <w:spacing w:line="400" w:lineRule="exact"/>
        <w:jc w:val="center"/>
        <w:rPr>
          <w:rFonts w:hint="eastAsia" w:ascii="宋体" w:hAnsi="宋体"/>
          <w:b/>
          <w:bCs/>
          <w:sz w:val="32"/>
          <w:szCs w:val="32"/>
        </w:rPr>
      </w:pPr>
      <w:r>
        <w:rPr>
          <w:rFonts w:hint="eastAsia" w:ascii="宋体" w:hAnsi="宋体"/>
          <w:b/>
          <w:bCs/>
          <w:sz w:val="32"/>
          <w:szCs w:val="32"/>
        </w:rPr>
        <w:t>《广西壮族自治区政府采购合同》</w:t>
      </w:r>
    </w:p>
    <w:p w14:paraId="0D200714">
      <w:pPr>
        <w:snapToGrid w:val="0"/>
        <w:spacing w:line="400" w:lineRule="exact"/>
        <w:jc w:val="center"/>
        <w:rPr>
          <w:rFonts w:hint="eastAsia" w:ascii="宋体" w:hAnsi="宋体"/>
          <w:b/>
          <w:bCs/>
          <w:sz w:val="32"/>
          <w:szCs w:val="32"/>
        </w:rPr>
      </w:pPr>
      <w:r>
        <w:rPr>
          <w:rFonts w:hint="eastAsia" w:ascii="宋体" w:hAnsi="宋体"/>
          <w:b/>
          <w:sz w:val="32"/>
          <w:szCs w:val="32"/>
        </w:rPr>
        <w:t>文本</w:t>
      </w:r>
    </w:p>
    <w:p w14:paraId="4DE6DDC7">
      <w:pPr>
        <w:snapToGrid w:val="0"/>
        <w:spacing w:line="400" w:lineRule="exact"/>
        <w:ind w:right="480" w:firstLine="5250" w:firstLineChars="2500"/>
        <w:rPr>
          <w:rFonts w:hint="eastAsia" w:ascii="宋体" w:hAnsi="宋体"/>
          <w:bCs/>
          <w:szCs w:val="21"/>
          <w:u w:val="single"/>
        </w:rPr>
      </w:pPr>
      <w:r>
        <w:rPr>
          <w:rFonts w:hint="eastAsia" w:ascii="宋体" w:hAnsi="宋体"/>
          <w:bCs/>
          <w:szCs w:val="21"/>
        </w:rPr>
        <w:t>合同编号：</w:t>
      </w:r>
    </w:p>
    <w:p w14:paraId="211F7B73">
      <w:pPr>
        <w:snapToGrid w:val="0"/>
        <w:spacing w:line="360" w:lineRule="exact"/>
        <w:rPr>
          <w:rFonts w:hint="eastAsia" w:ascii="宋体" w:hAnsi="宋体"/>
          <w:szCs w:val="21"/>
        </w:rPr>
      </w:pPr>
    </w:p>
    <w:p w14:paraId="73E99D87">
      <w:pPr>
        <w:snapToGrid w:val="0"/>
        <w:spacing w:line="360" w:lineRule="auto"/>
        <w:rPr>
          <w:rFonts w:hint="eastAsia" w:ascii="宋体" w:hAnsi="宋体"/>
          <w:szCs w:val="21"/>
          <w:u w:val="single"/>
        </w:rPr>
      </w:pPr>
      <w:r>
        <w:rPr>
          <w:rFonts w:hint="eastAsia" w:ascii="宋体" w:hAnsi="宋体"/>
          <w:szCs w:val="21"/>
        </w:rPr>
        <w:t>采购人（甲方）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14:paraId="2CA4DD70">
      <w:pPr>
        <w:snapToGrid w:val="0"/>
        <w:spacing w:line="360" w:lineRule="auto"/>
        <w:rPr>
          <w:rFonts w:hint="eastAsia" w:ascii="宋体" w:hAnsi="宋体"/>
          <w:szCs w:val="21"/>
          <w:u w:val="single"/>
        </w:rPr>
      </w:pPr>
      <w:r>
        <w:rPr>
          <w:rFonts w:hint="eastAsia" w:ascii="宋体" w:hAnsi="宋体"/>
          <w:szCs w:val="21"/>
        </w:rPr>
        <w:t>供 应 商（乙方）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招  标  编  号</w:t>
      </w:r>
      <w:r>
        <w:rPr>
          <w:rFonts w:hint="eastAsia" w:ascii="宋体" w:hAnsi="宋体"/>
          <w:szCs w:val="21"/>
          <w:u w:val="single"/>
        </w:rPr>
        <w:t xml:space="preserve">             </w:t>
      </w:r>
    </w:p>
    <w:p w14:paraId="3FBBE581">
      <w:pPr>
        <w:snapToGrid w:val="0"/>
        <w:spacing w:line="360" w:lineRule="auto"/>
        <w:rPr>
          <w:rFonts w:hint="eastAsia"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14:paraId="294A96F3">
      <w:pPr>
        <w:snapToGrid w:val="0"/>
        <w:spacing w:line="360" w:lineRule="auto"/>
        <w:ind w:firstLine="420" w:firstLineChars="200"/>
        <w:rPr>
          <w:rFonts w:hint="eastAsia" w:ascii="宋体" w:hAnsi="宋体"/>
          <w:szCs w:val="21"/>
        </w:rPr>
      </w:pPr>
    </w:p>
    <w:p w14:paraId="15E4669F">
      <w:pPr>
        <w:snapToGrid w:val="0"/>
        <w:spacing w:line="360" w:lineRule="auto"/>
        <w:ind w:firstLine="420" w:firstLineChars="200"/>
        <w:rPr>
          <w:rFonts w:hint="eastAsia" w:ascii="宋体" w:hAnsi="宋体"/>
          <w:szCs w:val="21"/>
        </w:rPr>
      </w:pPr>
      <w:r>
        <w:rPr>
          <w:rFonts w:hint="eastAsia" w:ascii="宋体" w:hAnsi="宋体"/>
          <w:szCs w:val="21"/>
        </w:rPr>
        <w:t>根据《中华人民共和国招标投标法》、《中华人民共和国民法典》等法律、法规规定，按照招标文件（采购文件）规定条款和中标（成交）供应商承诺，甲乙双方签订本合同。</w:t>
      </w:r>
    </w:p>
    <w:p w14:paraId="11D7FFB5">
      <w:pPr>
        <w:snapToGrid w:val="0"/>
        <w:spacing w:line="360" w:lineRule="auto"/>
        <w:ind w:firstLine="422" w:firstLineChars="200"/>
        <w:rPr>
          <w:rFonts w:hint="eastAsia" w:ascii="宋体" w:hAnsi="宋体"/>
          <w:b/>
          <w:szCs w:val="21"/>
        </w:rPr>
      </w:pPr>
      <w:r>
        <w:rPr>
          <w:rFonts w:hint="eastAsia" w:ascii="宋体" w:hAnsi="宋体"/>
          <w:b/>
          <w:szCs w:val="21"/>
        </w:rPr>
        <w:t>第一条　合同标的</w:t>
      </w:r>
    </w:p>
    <w:p w14:paraId="569D2A4B">
      <w:pPr>
        <w:snapToGrid w:val="0"/>
        <w:spacing w:line="360" w:lineRule="auto"/>
        <w:ind w:firstLine="420" w:firstLineChars="200"/>
        <w:rPr>
          <w:rFonts w:hint="eastAsia" w:ascii="宋体" w:hAnsi="宋体"/>
          <w:szCs w:val="21"/>
        </w:rPr>
      </w:pPr>
      <w:r>
        <w:rPr>
          <w:rFonts w:hint="eastAsia" w:ascii="宋体" w:hAnsi="宋体"/>
          <w:szCs w:val="21"/>
        </w:rPr>
        <w:t>1.供货一览表</w:t>
      </w:r>
    </w:p>
    <w:tbl>
      <w:tblPr>
        <w:tblStyle w:val="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14:paraId="6D9B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14:paraId="43022777">
            <w:pPr>
              <w:snapToGrid w:val="0"/>
              <w:spacing w:line="360" w:lineRule="auto"/>
              <w:jc w:val="center"/>
              <w:rPr>
                <w:rFonts w:hint="eastAsia" w:ascii="宋体" w:hAnsi="宋体"/>
                <w:szCs w:val="21"/>
              </w:rPr>
            </w:pPr>
            <w:r>
              <w:rPr>
                <w:rFonts w:hint="eastAsia" w:ascii="宋体" w:hAnsi="宋体"/>
                <w:szCs w:val="21"/>
              </w:rPr>
              <w:t>序号</w:t>
            </w:r>
          </w:p>
        </w:tc>
        <w:tc>
          <w:tcPr>
            <w:tcW w:w="1233" w:type="dxa"/>
            <w:noWrap w:val="0"/>
            <w:vAlign w:val="center"/>
          </w:tcPr>
          <w:p w14:paraId="4DC2D4B2">
            <w:pPr>
              <w:snapToGrid w:val="0"/>
              <w:spacing w:line="360" w:lineRule="auto"/>
              <w:jc w:val="center"/>
              <w:rPr>
                <w:rFonts w:hint="eastAsia" w:ascii="宋体" w:hAnsi="宋体"/>
                <w:szCs w:val="21"/>
              </w:rPr>
            </w:pPr>
            <w:r>
              <w:rPr>
                <w:rFonts w:hint="eastAsia" w:ascii="宋体" w:hAnsi="宋体"/>
                <w:szCs w:val="21"/>
              </w:rPr>
              <w:t>产品名称</w:t>
            </w:r>
          </w:p>
        </w:tc>
        <w:tc>
          <w:tcPr>
            <w:tcW w:w="1059" w:type="dxa"/>
            <w:noWrap w:val="0"/>
            <w:vAlign w:val="center"/>
          </w:tcPr>
          <w:p w14:paraId="2225AAFD">
            <w:pPr>
              <w:snapToGrid w:val="0"/>
              <w:spacing w:line="360" w:lineRule="auto"/>
              <w:jc w:val="center"/>
              <w:rPr>
                <w:rFonts w:hint="eastAsia" w:ascii="宋体" w:hAnsi="宋体"/>
                <w:szCs w:val="21"/>
              </w:rPr>
            </w:pPr>
            <w:r>
              <w:rPr>
                <w:rFonts w:hint="eastAsia" w:ascii="宋体" w:hAnsi="宋体"/>
                <w:szCs w:val="21"/>
              </w:rPr>
              <w:t>商标品牌</w:t>
            </w:r>
          </w:p>
        </w:tc>
        <w:tc>
          <w:tcPr>
            <w:tcW w:w="1233" w:type="dxa"/>
            <w:noWrap w:val="0"/>
            <w:vAlign w:val="center"/>
          </w:tcPr>
          <w:p w14:paraId="1F29E3CA">
            <w:pPr>
              <w:snapToGrid w:val="0"/>
              <w:spacing w:line="360" w:lineRule="auto"/>
              <w:jc w:val="center"/>
              <w:rPr>
                <w:rFonts w:hint="eastAsia" w:ascii="宋体" w:hAnsi="宋体"/>
                <w:szCs w:val="21"/>
              </w:rPr>
            </w:pPr>
            <w:r>
              <w:rPr>
                <w:rFonts w:hint="eastAsia" w:ascii="宋体" w:hAnsi="宋体"/>
                <w:szCs w:val="21"/>
              </w:rPr>
              <w:t>规格型号</w:t>
            </w:r>
          </w:p>
        </w:tc>
        <w:tc>
          <w:tcPr>
            <w:tcW w:w="1210" w:type="dxa"/>
            <w:noWrap w:val="0"/>
            <w:vAlign w:val="center"/>
          </w:tcPr>
          <w:p w14:paraId="419050D2">
            <w:pPr>
              <w:snapToGrid w:val="0"/>
              <w:spacing w:line="360" w:lineRule="auto"/>
              <w:jc w:val="center"/>
              <w:rPr>
                <w:rFonts w:hint="eastAsia" w:ascii="宋体" w:hAnsi="宋体"/>
                <w:szCs w:val="21"/>
              </w:rPr>
            </w:pPr>
            <w:r>
              <w:rPr>
                <w:rFonts w:hint="eastAsia" w:ascii="宋体" w:hAnsi="宋体"/>
                <w:szCs w:val="21"/>
              </w:rPr>
              <w:t>生产厂家</w:t>
            </w:r>
          </w:p>
        </w:tc>
        <w:tc>
          <w:tcPr>
            <w:tcW w:w="908" w:type="dxa"/>
            <w:noWrap w:val="0"/>
            <w:vAlign w:val="center"/>
          </w:tcPr>
          <w:p w14:paraId="0A7EAFF3">
            <w:pPr>
              <w:snapToGrid w:val="0"/>
              <w:spacing w:line="360" w:lineRule="auto"/>
              <w:jc w:val="center"/>
              <w:rPr>
                <w:rFonts w:hint="eastAsia" w:ascii="宋体" w:hAnsi="宋体"/>
                <w:szCs w:val="21"/>
              </w:rPr>
            </w:pPr>
            <w:r>
              <w:rPr>
                <w:rFonts w:hint="eastAsia" w:ascii="宋体" w:hAnsi="宋体"/>
                <w:szCs w:val="21"/>
              </w:rPr>
              <w:t>数  量</w:t>
            </w:r>
          </w:p>
        </w:tc>
        <w:tc>
          <w:tcPr>
            <w:tcW w:w="668" w:type="dxa"/>
            <w:noWrap w:val="0"/>
            <w:vAlign w:val="center"/>
          </w:tcPr>
          <w:p w14:paraId="688713CC">
            <w:pPr>
              <w:snapToGrid w:val="0"/>
              <w:spacing w:line="360" w:lineRule="auto"/>
              <w:jc w:val="center"/>
              <w:rPr>
                <w:rFonts w:hint="eastAsia" w:ascii="宋体" w:hAnsi="宋体"/>
                <w:szCs w:val="21"/>
              </w:rPr>
            </w:pPr>
            <w:r>
              <w:rPr>
                <w:rFonts w:hint="eastAsia" w:ascii="宋体" w:hAnsi="宋体"/>
                <w:szCs w:val="21"/>
              </w:rPr>
              <w:t>单位</w:t>
            </w:r>
          </w:p>
        </w:tc>
        <w:tc>
          <w:tcPr>
            <w:tcW w:w="947" w:type="dxa"/>
            <w:noWrap w:val="0"/>
            <w:vAlign w:val="center"/>
          </w:tcPr>
          <w:p w14:paraId="6E8BAB36">
            <w:pPr>
              <w:snapToGrid w:val="0"/>
              <w:spacing w:line="360" w:lineRule="auto"/>
              <w:jc w:val="center"/>
              <w:rPr>
                <w:rFonts w:hint="eastAsia" w:ascii="宋体" w:hAnsi="宋体"/>
                <w:szCs w:val="21"/>
              </w:rPr>
            </w:pPr>
            <w:r>
              <w:rPr>
                <w:rFonts w:hint="eastAsia" w:ascii="宋体" w:hAnsi="宋体"/>
                <w:szCs w:val="21"/>
              </w:rPr>
              <w:t>单  价</w:t>
            </w:r>
          </w:p>
          <w:p w14:paraId="41EAB01E">
            <w:pPr>
              <w:snapToGrid w:val="0"/>
              <w:spacing w:line="360" w:lineRule="auto"/>
              <w:jc w:val="center"/>
              <w:rPr>
                <w:rFonts w:hint="eastAsia" w:ascii="宋体" w:hAnsi="宋体"/>
                <w:szCs w:val="21"/>
              </w:rPr>
            </w:pPr>
            <w:r>
              <w:rPr>
                <w:rFonts w:hint="eastAsia" w:ascii="宋体" w:hAnsi="宋体"/>
                <w:szCs w:val="21"/>
              </w:rPr>
              <w:t>（元）</w:t>
            </w:r>
          </w:p>
        </w:tc>
        <w:tc>
          <w:tcPr>
            <w:tcW w:w="1189" w:type="dxa"/>
            <w:noWrap w:val="0"/>
            <w:vAlign w:val="center"/>
          </w:tcPr>
          <w:p w14:paraId="65C2B659">
            <w:pPr>
              <w:snapToGrid w:val="0"/>
              <w:spacing w:line="360" w:lineRule="auto"/>
              <w:jc w:val="center"/>
              <w:rPr>
                <w:rFonts w:hint="eastAsia" w:ascii="宋体" w:hAnsi="宋体"/>
                <w:szCs w:val="21"/>
              </w:rPr>
            </w:pPr>
            <w:r>
              <w:rPr>
                <w:rFonts w:hint="eastAsia" w:ascii="宋体" w:hAnsi="宋体"/>
                <w:szCs w:val="21"/>
              </w:rPr>
              <w:t>金  额</w:t>
            </w:r>
          </w:p>
          <w:p w14:paraId="1F1FA251">
            <w:pPr>
              <w:snapToGrid w:val="0"/>
              <w:spacing w:line="360" w:lineRule="auto"/>
              <w:jc w:val="center"/>
              <w:rPr>
                <w:rFonts w:hint="eastAsia" w:ascii="宋体" w:hAnsi="宋体"/>
                <w:szCs w:val="21"/>
              </w:rPr>
            </w:pPr>
            <w:r>
              <w:rPr>
                <w:rFonts w:hint="eastAsia" w:ascii="宋体" w:hAnsi="宋体"/>
                <w:szCs w:val="21"/>
              </w:rPr>
              <w:t>（元）</w:t>
            </w:r>
          </w:p>
        </w:tc>
      </w:tr>
      <w:tr w14:paraId="7877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144509F2">
            <w:pPr>
              <w:snapToGrid w:val="0"/>
              <w:spacing w:line="360" w:lineRule="auto"/>
              <w:jc w:val="center"/>
              <w:rPr>
                <w:rFonts w:hint="eastAsia" w:ascii="宋体" w:hAnsi="宋体"/>
                <w:szCs w:val="21"/>
              </w:rPr>
            </w:pPr>
            <w:r>
              <w:rPr>
                <w:rFonts w:hint="eastAsia" w:ascii="宋体" w:hAnsi="宋体"/>
                <w:szCs w:val="21"/>
              </w:rPr>
              <w:t>1</w:t>
            </w:r>
          </w:p>
        </w:tc>
        <w:tc>
          <w:tcPr>
            <w:tcW w:w="1233" w:type="dxa"/>
            <w:noWrap w:val="0"/>
            <w:vAlign w:val="center"/>
          </w:tcPr>
          <w:p w14:paraId="79D3965E">
            <w:pPr>
              <w:snapToGrid w:val="0"/>
              <w:spacing w:line="360" w:lineRule="auto"/>
              <w:jc w:val="center"/>
              <w:rPr>
                <w:rFonts w:hint="eastAsia" w:ascii="宋体" w:hAnsi="宋体"/>
                <w:szCs w:val="21"/>
              </w:rPr>
            </w:pPr>
          </w:p>
        </w:tc>
        <w:tc>
          <w:tcPr>
            <w:tcW w:w="1059" w:type="dxa"/>
            <w:noWrap w:val="0"/>
            <w:vAlign w:val="center"/>
          </w:tcPr>
          <w:p w14:paraId="5B032B6E">
            <w:pPr>
              <w:snapToGrid w:val="0"/>
              <w:spacing w:line="360" w:lineRule="auto"/>
              <w:jc w:val="center"/>
              <w:rPr>
                <w:rFonts w:hint="eastAsia" w:ascii="宋体" w:hAnsi="宋体"/>
                <w:szCs w:val="21"/>
              </w:rPr>
            </w:pPr>
          </w:p>
        </w:tc>
        <w:tc>
          <w:tcPr>
            <w:tcW w:w="1233" w:type="dxa"/>
            <w:noWrap w:val="0"/>
            <w:vAlign w:val="center"/>
          </w:tcPr>
          <w:p w14:paraId="48F230D9">
            <w:pPr>
              <w:snapToGrid w:val="0"/>
              <w:spacing w:line="360" w:lineRule="auto"/>
              <w:jc w:val="center"/>
              <w:rPr>
                <w:rFonts w:hint="eastAsia" w:ascii="宋体" w:hAnsi="宋体"/>
                <w:szCs w:val="21"/>
              </w:rPr>
            </w:pPr>
          </w:p>
        </w:tc>
        <w:tc>
          <w:tcPr>
            <w:tcW w:w="1210" w:type="dxa"/>
            <w:noWrap w:val="0"/>
            <w:vAlign w:val="top"/>
          </w:tcPr>
          <w:p w14:paraId="58780B0E">
            <w:pPr>
              <w:snapToGrid w:val="0"/>
              <w:spacing w:line="360" w:lineRule="auto"/>
              <w:jc w:val="center"/>
              <w:rPr>
                <w:rFonts w:hint="eastAsia" w:ascii="宋体" w:hAnsi="宋体"/>
                <w:szCs w:val="21"/>
              </w:rPr>
            </w:pPr>
          </w:p>
        </w:tc>
        <w:tc>
          <w:tcPr>
            <w:tcW w:w="908" w:type="dxa"/>
            <w:noWrap w:val="0"/>
            <w:vAlign w:val="top"/>
          </w:tcPr>
          <w:p w14:paraId="08ED4928">
            <w:pPr>
              <w:snapToGrid w:val="0"/>
              <w:spacing w:line="360" w:lineRule="auto"/>
              <w:jc w:val="center"/>
              <w:rPr>
                <w:rFonts w:hint="eastAsia" w:ascii="宋体" w:hAnsi="宋体"/>
                <w:szCs w:val="21"/>
              </w:rPr>
            </w:pPr>
          </w:p>
        </w:tc>
        <w:tc>
          <w:tcPr>
            <w:tcW w:w="668" w:type="dxa"/>
            <w:noWrap w:val="0"/>
            <w:vAlign w:val="top"/>
          </w:tcPr>
          <w:p w14:paraId="6861A746">
            <w:pPr>
              <w:snapToGrid w:val="0"/>
              <w:spacing w:line="360" w:lineRule="auto"/>
              <w:jc w:val="center"/>
              <w:rPr>
                <w:rFonts w:hint="eastAsia" w:ascii="宋体" w:hAnsi="宋体"/>
                <w:szCs w:val="21"/>
              </w:rPr>
            </w:pPr>
          </w:p>
        </w:tc>
        <w:tc>
          <w:tcPr>
            <w:tcW w:w="947" w:type="dxa"/>
            <w:noWrap w:val="0"/>
            <w:vAlign w:val="center"/>
          </w:tcPr>
          <w:p w14:paraId="048BA34F">
            <w:pPr>
              <w:snapToGrid w:val="0"/>
              <w:spacing w:line="360" w:lineRule="auto"/>
              <w:jc w:val="center"/>
              <w:rPr>
                <w:rFonts w:hint="eastAsia" w:ascii="宋体" w:hAnsi="宋体"/>
                <w:szCs w:val="21"/>
              </w:rPr>
            </w:pPr>
          </w:p>
        </w:tc>
        <w:tc>
          <w:tcPr>
            <w:tcW w:w="1189" w:type="dxa"/>
            <w:noWrap w:val="0"/>
            <w:vAlign w:val="center"/>
          </w:tcPr>
          <w:p w14:paraId="50A7EE55">
            <w:pPr>
              <w:snapToGrid w:val="0"/>
              <w:spacing w:line="360" w:lineRule="auto"/>
              <w:jc w:val="center"/>
              <w:rPr>
                <w:rFonts w:hint="eastAsia" w:ascii="宋体" w:hAnsi="宋体"/>
                <w:szCs w:val="21"/>
              </w:rPr>
            </w:pPr>
          </w:p>
        </w:tc>
      </w:tr>
      <w:tr w14:paraId="1F57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6E037AC3">
            <w:pPr>
              <w:snapToGrid w:val="0"/>
              <w:spacing w:line="360" w:lineRule="auto"/>
              <w:jc w:val="center"/>
              <w:rPr>
                <w:rFonts w:hint="eastAsia" w:ascii="宋体" w:hAnsi="宋体"/>
                <w:szCs w:val="21"/>
              </w:rPr>
            </w:pPr>
            <w:r>
              <w:rPr>
                <w:rFonts w:hint="eastAsia" w:ascii="宋体" w:hAnsi="宋体"/>
                <w:szCs w:val="21"/>
              </w:rPr>
              <w:t>2</w:t>
            </w:r>
          </w:p>
        </w:tc>
        <w:tc>
          <w:tcPr>
            <w:tcW w:w="1233" w:type="dxa"/>
            <w:noWrap w:val="0"/>
            <w:vAlign w:val="center"/>
          </w:tcPr>
          <w:p w14:paraId="035A6ACF">
            <w:pPr>
              <w:snapToGrid w:val="0"/>
              <w:spacing w:line="360" w:lineRule="auto"/>
              <w:jc w:val="center"/>
              <w:rPr>
                <w:rFonts w:hint="eastAsia" w:ascii="宋体" w:hAnsi="宋体"/>
                <w:szCs w:val="21"/>
              </w:rPr>
            </w:pPr>
          </w:p>
        </w:tc>
        <w:tc>
          <w:tcPr>
            <w:tcW w:w="1059" w:type="dxa"/>
            <w:noWrap w:val="0"/>
            <w:vAlign w:val="center"/>
          </w:tcPr>
          <w:p w14:paraId="37D3E9E0">
            <w:pPr>
              <w:snapToGrid w:val="0"/>
              <w:spacing w:line="360" w:lineRule="auto"/>
              <w:jc w:val="center"/>
              <w:rPr>
                <w:rFonts w:hint="eastAsia" w:ascii="宋体" w:hAnsi="宋体"/>
                <w:szCs w:val="21"/>
              </w:rPr>
            </w:pPr>
          </w:p>
        </w:tc>
        <w:tc>
          <w:tcPr>
            <w:tcW w:w="1233" w:type="dxa"/>
            <w:noWrap w:val="0"/>
            <w:vAlign w:val="center"/>
          </w:tcPr>
          <w:p w14:paraId="238F02FE">
            <w:pPr>
              <w:snapToGrid w:val="0"/>
              <w:spacing w:line="360" w:lineRule="auto"/>
              <w:jc w:val="center"/>
              <w:rPr>
                <w:rFonts w:hint="eastAsia" w:ascii="宋体" w:hAnsi="宋体"/>
                <w:szCs w:val="21"/>
              </w:rPr>
            </w:pPr>
          </w:p>
        </w:tc>
        <w:tc>
          <w:tcPr>
            <w:tcW w:w="1210" w:type="dxa"/>
            <w:noWrap w:val="0"/>
            <w:vAlign w:val="top"/>
          </w:tcPr>
          <w:p w14:paraId="37D94D28">
            <w:pPr>
              <w:snapToGrid w:val="0"/>
              <w:spacing w:line="360" w:lineRule="auto"/>
              <w:jc w:val="center"/>
              <w:rPr>
                <w:rFonts w:hint="eastAsia" w:ascii="宋体" w:hAnsi="宋体"/>
                <w:szCs w:val="21"/>
              </w:rPr>
            </w:pPr>
          </w:p>
        </w:tc>
        <w:tc>
          <w:tcPr>
            <w:tcW w:w="908" w:type="dxa"/>
            <w:noWrap w:val="0"/>
            <w:vAlign w:val="top"/>
          </w:tcPr>
          <w:p w14:paraId="2690C1BE">
            <w:pPr>
              <w:snapToGrid w:val="0"/>
              <w:spacing w:line="360" w:lineRule="auto"/>
              <w:jc w:val="center"/>
              <w:rPr>
                <w:rFonts w:hint="eastAsia" w:ascii="宋体" w:hAnsi="宋体"/>
                <w:szCs w:val="21"/>
              </w:rPr>
            </w:pPr>
          </w:p>
        </w:tc>
        <w:tc>
          <w:tcPr>
            <w:tcW w:w="668" w:type="dxa"/>
            <w:noWrap w:val="0"/>
            <w:vAlign w:val="top"/>
          </w:tcPr>
          <w:p w14:paraId="082ED9F5">
            <w:pPr>
              <w:snapToGrid w:val="0"/>
              <w:spacing w:line="360" w:lineRule="auto"/>
              <w:jc w:val="center"/>
              <w:rPr>
                <w:rFonts w:hint="eastAsia" w:ascii="宋体" w:hAnsi="宋体"/>
                <w:szCs w:val="21"/>
              </w:rPr>
            </w:pPr>
          </w:p>
        </w:tc>
        <w:tc>
          <w:tcPr>
            <w:tcW w:w="947" w:type="dxa"/>
            <w:noWrap w:val="0"/>
            <w:vAlign w:val="center"/>
          </w:tcPr>
          <w:p w14:paraId="238EB45C">
            <w:pPr>
              <w:snapToGrid w:val="0"/>
              <w:spacing w:line="360" w:lineRule="auto"/>
              <w:jc w:val="center"/>
              <w:rPr>
                <w:rFonts w:hint="eastAsia" w:ascii="宋体" w:hAnsi="宋体"/>
                <w:szCs w:val="21"/>
              </w:rPr>
            </w:pPr>
          </w:p>
        </w:tc>
        <w:tc>
          <w:tcPr>
            <w:tcW w:w="1189" w:type="dxa"/>
            <w:noWrap w:val="0"/>
            <w:vAlign w:val="center"/>
          </w:tcPr>
          <w:p w14:paraId="34D2EE61">
            <w:pPr>
              <w:snapToGrid w:val="0"/>
              <w:spacing w:line="360" w:lineRule="auto"/>
              <w:jc w:val="center"/>
              <w:rPr>
                <w:rFonts w:hint="eastAsia" w:ascii="宋体" w:hAnsi="宋体"/>
                <w:szCs w:val="21"/>
              </w:rPr>
            </w:pPr>
          </w:p>
        </w:tc>
      </w:tr>
      <w:tr w14:paraId="5CE1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7A990636">
            <w:pPr>
              <w:snapToGrid w:val="0"/>
              <w:spacing w:line="360" w:lineRule="auto"/>
              <w:jc w:val="center"/>
              <w:rPr>
                <w:rFonts w:hint="eastAsia" w:ascii="宋体" w:hAnsi="宋体"/>
                <w:szCs w:val="21"/>
              </w:rPr>
            </w:pPr>
            <w:r>
              <w:rPr>
                <w:rFonts w:hint="eastAsia" w:ascii="宋体" w:hAnsi="宋体"/>
                <w:szCs w:val="21"/>
              </w:rPr>
              <w:t>3</w:t>
            </w:r>
          </w:p>
        </w:tc>
        <w:tc>
          <w:tcPr>
            <w:tcW w:w="1233" w:type="dxa"/>
            <w:noWrap w:val="0"/>
            <w:vAlign w:val="center"/>
          </w:tcPr>
          <w:p w14:paraId="74B219D8">
            <w:pPr>
              <w:snapToGrid w:val="0"/>
              <w:spacing w:line="360" w:lineRule="auto"/>
              <w:jc w:val="center"/>
              <w:rPr>
                <w:rFonts w:hint="eastAsia" w:ascii="宋体" w:hAnsi="宋体"/>
                <w:szCs w:val="21"/>
              </w:rPr>
            </w:pPr>
          </w:p>
        </w:tc>
        <w:tc>
          <w:tcPr>
            <w:tcW w:w="1059" w:type="dxa"/>
            <w:noWrap w:val="0"/>
            <w:vAlign w:val="center"/>
          </w:tcPr>
          <w:p w14:paraId="65B430C4">
            <w:pPr>
              <w:snapToGrid w:val="0"/>
              <w:spacing w:line="360" w:lineRule="auto"/>
              <w:jc w:val="center"/>
              <w:rPr>
                <w:rFonts w:hint="eastAsia" w:ascii="宋体" w:hAnsi="宋体"/>
                <w:szCs w:val="21"/>
              </w:rPr>
            </w:pPr>
          </w:p>
        </w:tc>
        <w:tc>
          <w:tcPr>
            <w:tcW w:w="1233" w:type="dxa"/>
            <w:noWrap w:val="0"/>
            <w:vAlign w:val="center"/>
          </w:tcPr>
          <w:p w14:paraId="4219C0C1">
            <w:pPr>
              <w:snapToGrid w:val="0"/>
              <w:spacing w:line="360" w:lineRule="auto"/>
              <w:jc w:val="center"/>
              <w:rPr>
                <w:rFonts w:hint="eastAsia" w:ascii="宋体" w:hAnsi="宋体"/>
                <w:szCs w:val="21"/>
              </w:rPr>
            </w:pPr>
          </w:p>
        </w:tc>
        <w:tc>
          <w:tcPr>
            <w:tcW w:w="1210" w:type="dxa"/>
            <w:noWrap w:val="0"/>
            <w:vAlign w:val="top"/>
          </w:tcPr>
          <w:p w14:paraId="12B12517">
            <w:pPr>
              <w:snapToGrid w:val="0"/>
              <w:spacing w:line="360" w:lineRule="auto"/>
              <w:jc w:val="center"/>
              <w:rPr>
                <w:rFonts w:hint="eastAsia" w:ascii="宋体" w:hAnsi="宋体"/>
                <w:szCs w:val="21"/>
              </w:rPr>
            </w:pPr>
          </w:p>
        </w:tc>
        <w:tc>
          <w:tcPr>
            <w:tcW w:w="908" w:type="dxa"/>
            <w:noWrap w:val="0"/>
            <w:vAlign w:val="top"/>
          </w:tcPr>
          <w:p w14:paraId="057708A0">
            <w:pPr>
              <w:snapToGrid w:val="0"/>
              <w:spacing w:line="360" w:lineRule="auto"/>
              <w:jc w:val="center"/>
              <w:rPr>
                <w:rFonts w:hint="eastAsia" w:ascii="宋体" w:hAnsi="宋体"/>
                <w:szCs w:val="21"/>
              </w:rPr>
            </w:pPr>
          </w:p>
        </w:tc>
        <w:tc>
          <w:tcPr>
            <w:tcW w:w="668" w:type="dxa"/>
            <w:noWrap w:val="0"/>
            <w:vAlign w:val="top"/>
          </w:tcPr>
          <w:p w14:paraId="7BFE7292">
            <w:pPr>
              <w:snapToGrid w:val="0"/>
              <w:spacing w:line="360" w:lineRule="auto"/>
              <w:jc w:val="center"/>
              <w:rPr>
                <w:rFonts w:hint="eastAsia" w:ascii="宋体" w:hAnsi="宋体"/>
                <w:szCs w:val="21"/>
              </w:rPr>
            </w:pPr>
          </w:p>
        </w:tc>
        <w:tc>
          <w:tcPr>
            <w:tcW w:w="947" w:type="dxa"/>
            <w:noWrap w:val="0"/>
            <w:vAlign w:val="center"/>
          </w:tcPr>
          <w:p w14:paraId="221F3F95">
            <w:pPr>
              <w:snapToGrid w:val="0"/>
              <w:spacing w:line="360" w:lineRule="auto"/>
              <w:jc w:val="center"/>
              <w:rPr>
                <w:rFonts w:hint="eastAsia" w:ascii="宋体" w:hAnsi="宋体"/>
                <w:szCs w:val="21"/>
              </w:rPr>
            </w:pPr>
          </w:p>
        </w:tc>
        <w:tc>
          <w:tcPr>
            <w:tcW w:w="1189" w:type="dxa"/>
            <w:noWrap w:val="0"/>
            <w:vAlign w:val="center"/>
          </w:tcPr>
          <w:p w14:paraId="6B527E8B">
            <w:pPr>
              <w:snapToGrid w:val="0"/>
              <w:spacing w:line="360" w:lineRule="auto"/>
              <w:jc w:val="center"/>
              <w:rPr>
                <w:rFonts w:hint="eastAsia" w:ascii="宋体" w:hAnsi="宋体"/>
                <w:szCs w:val="21"/>
              </w:rPr>
            </w:pPr>
          </w:p>
        </w:tc>
      </w:tr>
      <w:tr w14:paraId="2BD8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noWrap w:val="0"/>
            <w:vAlign w:val="center"/>
          </w:tcPr>
          <w:p w14:paraId="29891FC6">
            <w:pPr>
              <w:snapToGrid w:val="0"/>
              <w:spacing w:line="360" w:lineRule="auto"/>
              <w:rPr>
                <w:rFonts w:hint="eastAsia" w:ascii="宋体" w:hAnsi="宋体"/>
                <w:szCs w:val="21"/>
              </w:rPr>
            </w:pPr>
            <w:r>
              <w:rPr>
                <w:rFonts w:hint="eastAsia" w:ascii="宋体" w:hAnsi="宋体"/>
                <w:szCs w:val="21"/>
              </w:rPr>
              <w:t xml:space="preserve">人民币合计金额（大写）                          （小写）                 </w:t>
            </w:r>
          </w:p>
        </w:tc>
      </w:tr>
    </w:tbl>
    <w:p w14:paraId="4AC5CD91">
      <w:pPr>
        <w:snapToGrid w:val="0"/>
        <w:spacing w:line="360" w:lineRule="auto"/>
        <w:ind w:right="420" w:firstLine="420" w:firstLineChars="200"/>
        <w:rPr>
          <w:rFonts w:hint="eastAsia" w:ascii="宋体" w:hAnsi="宋体"/>
          <w:szCs w:val="21"/>
        </w:rPr>
      </w:pPr>
      <w:r>
        <w:rPr>
          <w:rFonts w:hint="eastAsia" w:ascii="宋体" w:hAnsi="宋体"/>
          <w:szCs w:val="21"/>
        </w:rPr>
        <w:t>2.合同合计金额包括货物价款，备件、专用工具、安装、调试、检验、技术培训及技术资料和包装、运输等全部费用。</w:t>
      </w:r>
    </w:p>
    <w:p w14:paraId="1D9C7AEA">
      <w:pPr>
        <w:snapToGrid w:val="0"/>
        <w:spacing w:line="360" w:lineRule="auto"/>
        <w:ind w:firstLine="422" w:firstLineChars="200"/>
        <w:rPr>
          <w:rFonts w:hint="eastAsia" w:ascii="宋体" w:hAnsi="宋体"/>
          <w:szCs w:val="21"/>
        </w:rPr>
      </w:pPr>
      <w:r>
        <w:rPr>
          <w:rFonts w:hint="eastAsia" w:ascii="宋体" w:hAnsi="宋体"/>
          <w:b/>
          <w:szCs w:val="21"/>
        </w:rPr>
        <w:t>第二条　质量要求</w:t>
      </w:r>
    </w:p>
    <w:p w14:paraId="4CD80C85">
      <w:pPr>
        <w:snapToGrid w:val="0"/>
        <w:spacing w:line="360" w:lineRule="auto"/>
        <w:ind w:firstLine="420" w:firstLineChars="200"/>
        <w:rPr>
          <w:rFonts w:hint="eastAsia" w:ascii="宋体" w:hAnsi="宋体"/>
          <w:szCs w:val="21"/>
        </w:rPr>
      </w:pPr>
      <w:r>
        <w:rPr>
          <w:rFonts w:hint="eastAsia" w:ascii="宋体" w:hAnsi="宋体"/>
          <w:szCs w:val="21"/>
        </w:rPr>
        <w:t>1.乙方所提供的产品名称、商标品牌、生产厂家、规格型号、技术参数等质量必须与招标文件规定及投标文件承诺相一致。乙方提供的节能和环保产品必须是列入政府采购品目清单的产品。</w:t>
      </w:r>
    </w:p>
    <w:p w14:paraId="44B921C9">
      <w:pPr>
        <w:snapToGrid w:val="0"/>
        <w:spacing w:line="360" w:lineRule="auto"/>
        <w:ind w:firstLine="420" w:firstLineChars="200"/>
        <w:rPr>
          <w:rFonts w:hint="eastAsia" w:ascii="宋体" w:hAnsi="宋体"/>
          <w:szCs w:val="21"/>
          <w:u w:val="single"/>
        </w:rPr>
      </w:pPr>
      <w:r>
        <w:rPr>
          <w:rFonts w:hint="eastAsia" w:ascii="宋体" w:hAnsi="宋体"/>
          <w:szCs w:val="21"/>
        </w:rPr>
        <w:t>2.乙方所提供的货物必须是全新、未使用的原装产品，且在正常安装、使用和保养条件下，其使用寿命期内各项指标均达到招标文件规定或者投标文件承诺的质量要求。</w:t>
      </w:r>
    </w:p>
    <w:p w14:paraId="5F7CF025">
      <w:pPr>
        <w:snapToGrid w:val="0"/>
        <w:spacing w:line="360" w:lineRule="auto"/>
        <w:ind w:firstLine="422" w:firstLineChars="200"/>
        <w:rPr>
          <w:rFonts w:hint="eastAsia" w:ascii="宋体" w:hAnsi="宋体"/>
          <w:szCs w:val="21"/>
        </w:rPr>
      </w:pPr>
      <w:r>
        <w:rPr>
          <w:rFonts w:hint="eastAsia" w:ascii="宋体" w:hAnsi="宋体"/>
          <w:b/>
          <w:szCs w:val="21"/>
        </w:rPr>
        <w:t>第三条　权利保证</w:t>
      </w:r>
    </w:p>
    <w:p w14:paraId="79FD8EAF">
      <w:pPr>
        <w:snapToGrid w:val="0"/>
        <w:spacing w:line="360" w:lineRule="auto"/>
        <w:ind w:firstLine="420" w:firstLineChars="200"/>
        <w:rPr>
          <w:rFonts w:hint="eastAsia" w:ascii="宋体" w:hAnsi="宋体"/>
          <w:szCs w:val="21"/>
        </w:rPr>
      </w:pPr>
      <w:r>
        <w:rPr>
          <w:rFonts w:hint="eastAsia" w:ascii="宋体" w:hAnsi="宋体"/>
          <w:szCs w:val="21"/>
        </w:rPr>
        <w:t>1.乙方应保证所提供货物在使用时不会侵犯任何第三方的专利权、商标权、工业设计权或者其他权利。</w:t>
      </w:r>
    </w:p>
    <w:p w14:paraId="50683058">
      <w:pPr>
        <w:snapToGrid w:val="0"/>
        <w:spacing w:line="360" w:lineRule="auto"/>
        <w:ind w:firstLine="420" w:firstLineChars="200"/>
        <w:rPr>
          <w:rFonts w:hint="eastAsia" w:ascii="宋体" w:hAnsi="宋体"/>
          <w:szCs w:val="21"/>
        </w:rPr>
      </w:pPr>
      <w:r>
        <w:rPr>
          <w:rFonts w:hint="eastAsia" w:ascii="宋体" w:hAnsi="宋体"/>
          <w:szCs w:val="21"/>
        </w:rPr>
        <w:t>2.乙方应按招标文件规定或者投标文件承诺的时间向甲方提供使用货物的有关技术资料。</w:t>
      </w:r>
    </w:p>
    <w:p w14:paraId="608CD474">
      <w:pPr>
        <w:snapToGrid w:val="0"/>
        <w:spacing w:line="360" w:lineRule="auto"/>
        <w:ind w:firstLine="420" w:firstLineChars="200"/>
        <w:rPr>
          <w:rFonts w:hint="eastAsia" w:ascii="宋体" w:hAnsi="宋体"/>
          <w:szCs w:val="21"/>
        </w:rPr>
      </w:pPr>
      <w:r>
        <w:rPr>
          <w:rFonts w:hint="eastAsia" w:ascii="宋体" w:hAnsi="宋体"/>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09EECC34">
      <w:pPr>
        <w:snapToGrid w:val="0"/>
        <w:spacing w:line="360" w:lineRule="auto"/>
        <w:ind w:firstLine="420" w:firstLineChars="200"/>
        <w:rPr>
          <w:rFonts w:hint="eastAsia" w:ascii="宋体" w:hAnsi="宋体"/>
          <w:szCs w:val="21"/>
        </w:rPr>
      </w:pPr>
      <w:r>
        <w:rPr>
          <w:rFonts w:hint="eastAsia" w:ascii="宋体" w:hAnsi="宋体"/>
          <w:szCs w:val="21"/>
        </w:rPr>
        <w:t>4.乙方保证将要交付的货物的所有权完全属于乙方且无任何抵押、质押、查封等产权瑕疵。</w:t>
      </w:r>
    </w:p>
    <w:p w14:paraId="4EF80557">
      <w:pPr>
        <w:snapToGrid w:val="0"/>
        <w:spacing w:line="360" w:lineRule="auto"/>
        <w:ind w:firstLine="422" w:firstLineChars="200"/>
        <w:rPr>
          <w:rFonts w:hint="eastAsia" w:ascii="宋体" w:hAnsi="宋体"/>
          <w:b/>
          <w:szCs w:val="21"/>
        </w:rPr>
      </w:pPr>
      <w:r>
        <w:rPr>
          <w:rFonts w:hint="eastAsia" w:ascii="宋体" w:hAnsi="宋体"/>
          <w:b/>
          <w:szCs w:val="21"/>
        </w:rPr>
        <w:t>第四条　包装和运输</w:t>
      </w:r>
    </w:p>
    <w:p w14:paraId="7F03CEC6">
      <w:pPr>
        <w:snapToGrid w:val="0"/>
        <w:spacing w:line="360" w:lineRule="auto"/>
        <w:ind w:firstLine="420" w:firstLineChars="200"/>
        <w:rPr>
          <w:rFonts w:hint="eastAsia" w:ascii="宋体" w:hAnsi="宋体"/>
          <w:szCs w:val="21"/>
        </w:rPr>
      </w:pPr>
      <w:r>
        <w:rPr>
          <w:rFonts w:hint="eastAsia" w:ascii="宋体" w:hAnsi="宋体"/>
          <w:szCs w:val="21"/>
        </w:rPr>
        <w:t>1.乙方提供的货物均应按招标文件规定或者投标文件承诺的要求的包装材料、包装标准、包装方式进行包装，每一包装单元内应附详细的装箱单和质量合格证。</w:t>
      </w:r>
    </w:p>
    <w:p w14:paraId="55FB48AD">
      <w:pPr>
        <w:snapToGrid w:val="0"/>
        <w:spacing w:line="360" w:lineRule="auto"/>
        <w:ind w:firstLine="420" w:firstLineChars="200"/>
        <w:rPr>
          <w:rFonts w:hint="eastAsia" w:ascii="宋体" w:hAnsi="宋体"/>
          <w:szCs w:val="21"/>
        </w:rPr>
      </w:pPr>
      <w:r>
        <w:rPr>
          <w:rFonts w:hint="eastAsia" w:ascii="宋体" w:hAnsi="宋体"/>
          <w:szCs w:val="21"/>
        </w:rPr>
        <w:t>2.货物的运输方式：</w:t>
      </w:r>
      <w:r>
        <w:rPr>
          <w:rFonts w:hint="eastAsia" w:ascii="宋体" w:hAnsi="宋体"/>
          <w:szCs w:val="21"/>
          <w:u w:val="single"/>
        </w:rPr>
        <w:t xml:space="preserve">             。</w:t>
      </w:r>
    </w:p>
    <w:p w14:paraId="2BD8E0B3">
      <w:pPr>
        <w:snapToGrid w:val="0"/>
        <w:spacing w:line="360" w:lineRule="auto"/>
        <w:ind w:firstLine="420" w:firstLineChars="200"/>
        <w:rPr>
          <w:rFonts w:hint="eastAsia" w:ascii="宋体" w:hAnsi="宋体"/>
          <w:szCs w:val="21"/>
          <w:u w:val="single"/>
        </w:rPr>
      </w:pPr>
      <w:r>
        <w:rPr>
          <w:rFonts w:hint="eastAsia" w:ascii="宋体" w:hAnsi="宋体"/>
          <w:szCs w:val="21"/>
        </w:rPr>
        <w:t>3.乙方负责货物运输，货物运输合理损耗及计算方法：</w:t>
      </w:r>
      <w:r>
        <w:rPr>
          <w:rFonts w:hint="eastAsia" w:ascii="宋体" w:hAnsi="宋体"/>
          <w:szCs w:val="21"/>
          <w:u w:val="single"/>
        </w:rPr>
        <w:t xml:space="preserve">                 。</w:t>
      </w:r>
    </w:p>
    <w:p w14:paraId="610486AE">
      <w:pPr>
        <w:snapToGrid w:val="0"/>
        <w:spacing w:line="360" w:lineRule="auto"/>
        <w:ind w:firstLine="422" w:firstLineChars="200"/>
        <w:rPr>
          <w:rFonts w:hint="eastAsia" w:ascii="宋体" w:hAnsi="宋体"/>
          <w:szCs w:val="21"/>
        </w:rPr>
      </w:pPr>
      <w:r>
        <w:rPr>
          <w:rFonts w:hint="eastAsia" w:ascii="宋体" w:hAnsi="宋体"/>
          <w:b/>
          <w:szCs w:val="21"/>
        </w:rPr>
        <w:t>第五条　交付和验收</w:t>
      </w:r>
    </w:p>
    <w:p w14:paraId="0565323D">
      <w:pPr>
        <w:snapToGrid w:val="0"/>
        <w:spacing w:line="360" w:lineRule="auto"/>
        <w:ind w:firstLine="420" w:firstLineChars="200"/>
        <w:rPr>
          <w:rFonts w:ascii="宋体" w:hAnsi="宋体"/>
          <w:szCs w:val="21"/>
        </w:rPr>
      </w:pPr>
      <w:r>
        <w:rPr>
          <w:rFonts w:hint="eastAsia" w:ascii="宋体" w:hAnsi="宋体"/>
          <w:szCs w:val="21"/>
        </w:rPr>
        <w:t>1.交付时间：</w:t>
      </w:r>
      <w:r>
        <w:rPr>
          <w:rFonts w:hint="eastAsia" w:ascii="宋体" w:hAnsi="宋体"/>
          <w:szCs w:val="21"/>
          <w:u w:val="single"/>
        </w:rPr>
        <w:t xml:space="preserve">                 </w:t>
      </w:r>
      <w:r>
        <w:rPr>
          <w:rFonts w:hint="eastAsia" w:ascii="宋体" w:hAnsi="宋体"/>
          <w:szCs w:val="21"/>
        </w:rPr>
        <w:t>；交付地点：</w:t>
      </w:r>
      <w:r>
        <w:rPr>
          <w:rFonts w:hint="eastAsia" w:ascii="宋体" w:hAnsi="宋体"/>
          <w:szCs w:val="21"/>
          <w:u w:val="single"/>
        </w:rPr>
        <w:t xml:space="preserve">                          </w:t>
      </w:r>
      <w:r>
        <w:rPr>
          <w:rFonts w:hint="eastAsia" w:ascii="宋体" w:hAnsi="宋体"/>
          <w:szCs w:val="21"/>
        </w:rPr>
        <w:t>。</w:t>
      </w:r>
    </w:p>
    <w:p w14:paraId="4F781E2F">
      <w:pPr>
        <w:snapToGrid w:val="0"/>
        <w:spacing w:line="360" w:lineRule="auto"/>
        <w:ind w:firstLine="420" w:firstLineChars="200"/>
        <w:rPr>
          <w:rFonts w:hint="eastAsia" w:ascii="宋体" w:hAnsi="宋体"/>
          <w:szCs w:val="21"/>
        </w:rPr>
      </w:pPr>
      <w:r>
        <w:rPr>
          <w:rFonts w:hint="eastAsia" w:ascii="宋体" w:hAnsi="宋体"/>
          <w:szCs w:val="21"/>
        </w:rPr>
        <w:t>服务时间:2025年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日至2025年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日，本合同采购总额限价为48万元，如在服务期内采购金额达48万元，合同即自动终止。</w:t>
      </w:r>
    </w:p>
    <w:p w14:paraId="231694F0">
      <w:pPr>
        <w:snapToGrid w:val="0"/>
        <w:spacing w:line="360" w:lineRule="auto"/>
        <w:ind w:firstLine="420" w:firstLineChars="200"/>
        <w:rPr>
          <w:rFonts w:hint="eastAsia" w:ascii="宋体" w:hAnsi="宋体"/>
          <w:szCs w:val="21"/>
        </w:rPr>
      </w:pPr>
      <w:r>
        <w:rPr>
          <w:rFonts w:hint="eastAsia" w:ascii="宋体" w:hAnsi="宋体"/>
          <w:szCs w:val="21"/>
        </w:rPr>
        <w:t>2.乙方提供不符合招标文件规定或者投标文件承诺的和本合同规定的货物，甲方有权拒绝接受。</w:t>
      </w:r>
    </w:p>
    <w:p w14:paraId="153173B4">
      <w:pPr>
        <w:spacing w:line="360" w:lineRule="auto"/>
        <w:ind w:firstLine="420" w:firstLineChars="200"/>
        <w:rPr>
          <w:rFonts w:hint="eastAsia" w:ascii="宋体" w:hAnsi="宋体"/>
          <w:szCs w:val="21"/>
        </w:rPr>
      </w:pPr>
      <w:r>
        <w:rPr>
          <w:rFonts w:hint="eastAsia" w:ascii="宋体" w:hAnsi="宋体"/>
          <w:szCs w:val="21"/>
        </w:rPr>
        <w:t>3.乙方应将所提供氧气瓶/罐应标识清晰（药品名称、批准文号、生产批号、有效期、压力值 、规格、生产厂家），瓶体无锈蚀、无泄漏；每批次氧气交接需附：质量检测报告，生产批号相符。</w:t>
      </w:r>
      <w:r>
        <w:rPr>
          <w:rFonts w:hint="eastAsia" w:ascii="宋体" w:hAnsi="宋体"/>
          <w:b/>
          <w:bCs/>
          <w:szCs w:val="21"/>
        </w:rPr>
        <w:t xml:space="preserve"> </w:t>
      </w:r>
    </w:p>
    <w:p w14:paraId="3E06864D">
      <w:pPr>
        <w:snapToGrid w:val="0"/>
        <w:spacing w:line="360" w:lineRule="auto"/>
        <w:ind w:firstLine="420" w:firstLineChars="200"/>
        <w:rPr>
          <w:rFonts w:hint="eastAsia" w:ascii="宋体" w:hAnsi="宋体"/>
          <w:szCs w:val="21"/>
        </w:rPr>
      </w:pPr>
      <w:r>
        <w:rPr>
          <w:rFonts w:hint="eastAsia" w:ascii="宋体" w:hAnsi="宋体"/>
          <w:szCs w:val="21"/>
        </w:rPr>
        <w:t>4.甲方应当在到货（安装、调试完）后七个工作日内进行验收，逾期不验收的，乙方可视同验收合格。验收合格后由甲乙双方签署货物验收单并加盖采购人公章，甲乙双方各执一份。</w:t>
      </w:r>
    </w:p>
    <w:p w14:paraId="3F59A9FB">
      <w:pPr>
        <w:snapToGrid w:val="0"/>
        <w:spacing w:line="360" w:lineRule="auto"/>
        <w:ind w:firstLine="420" w:firstLineChars="200"/>
        <w:rPr>
          <w:rFonts w:hint="eastAsia" w:ascii="宋体" w:hAnsi="宋体"/>
          <w:szCs w:val="21"/>
        </w:rPr>
      </w:pPr>
      <w:r>
        <w:rPr>
          <w:rFonts w:hint="eastAsia" w:ascii="宋体" w:hAnsi="宋体"/>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A092C6F">
      <w:pPr>
        <w:snapToGrid w:val="0"/>
        <w:spacing w:line="360" w:lineRule="auto"/>
        <w:ind w:firstLine="420" w:firstLineChars="200"/>
        <w:rPr>
          <w:rFonts w:hint="eastAsia" w:ascii="宋体" w:hAnsi="宋体"/>
          <w:szCs w:val="21"/>
        </w:rPr>
      </w:pPr>
      <w:r>
        <w:rPr>
          <w:rFonts w:hint="eastAsia" w:ascii="宋体" w:hAnsi="宋体"/>
          <w:szCs w:val="21"/>
        </w:rPr>
        <w:t>6.甲方对验收有异议的，在验收后五个工作日内以书面形式向乙方提出，乙方应自收到甲方书面异议后</w:t>
      </w:r>
      <w:r>
        <w:rPr>
          <w:rFonts w:hint="eastAsia"/>
        </w:rPr>
        <w:t>3</w:t>
      </w:r>
      <w:r>
        <w:rPr>
          <w:rFonts w:hint="eastAsia" w:ascii="宋体" w:hAnsi="宋体"/>
          <w:szCs w:val="21"/>
        </w:rPr>
        <w:t>日内及时予以解决。</w:t>
      </w:r>
    </w:p>
    <w:p w14:paraId="7529089A">
      <w:pPr>
        <w:snapToGrid w:val="0"/>
        <w:spacing w:line="360" w:lineRule="auto"/>
        <w:ind w:firstLine="422" w:firstLineChars="200"/>
        <w:rPr>
          <w:rFonts w:hint="eastAsia" w:ascii="宋体" w:hAnsi="宋体"/>
          <w:b/>
          <w:szCs w:val="21"/>
        </w:rPr>
      </w:pPr>
      <w:r>
        <w:rPr>
          <w:rFonts w:hint="eastAsia" w:ascii="宋体" w:hAnsi="宋体"/>
          <w:b/>
          <w:szCs w:val="21"/>
        </w:rPr>
        <w:t>第六条　安装和培训</w:t>
      </w:r>
    </w:p>
    <w:p w14:paraId="3D241A4C">
      <w:pPr>
        <w:snapToGrid w:val="0"/>
        <w:spacing w:line="360" w:lineRule="auto"/>
        <w:ind w:firstLine="420" w:firstLineChars="200"/>
        <w:rPr>
          <w:rFonts w:hint="eastAsia" w:ascii="宋体" w:hAnsi="宋体"/>
          <w:szCs w:val="21"/>
        </w:rPr>
      </w:pPr>
      <w:r>
        <w:rPr>
          <w:rFonts w:hint="eastAsia" w:ascii="宋体" w:hAnsi="宋体"/>
          <w:szCs w:val="21"/>
        </w:rPr>
        <w:t>1.甲方应提供必要安装条件（如场地、电源、水源等）。</w:t>
      </w:r>
    </w:p>
    <w:p w14:paraId="487BFE66">
      <w:pPr>
        <w:snapToGrid w:val="0"/>
        <w:spacing w:line="360" w:lineRule="auto"/>
        <w:ind w:firstLine="420" w:firstLineChars="200"/>
        <w:rPr>
          <w:rFonts w:hint="eastAsia" w:ascii="宋体" w:hAnsi="宋体"/>
          <w:szCs w:val="21"/>
          <w:u w:val="single"/>
        </w:rPr>
      </w:pPr>
      <w:r>
        <w:rPr>
          <w:rFonts w:hint="eastAsia" w:ascii="宋体" w:hAnsi="宋体"/>
          <w:szCs w:val="21"/>
        </w:rPr>
        <w:t>2.乙方投标文件承诺负责甲方有关人员的培训。培训时间、地点：</w:t>
      </w:r>
      <w:r>
        <w:rPr>
          <w:rFonts w:hint="eastAsia" w:ascii="宋体" w:hAnsi="宋体"/>
          <w:szCs w:val="21"/>
          <w:u w:val="single"/>
        </w:rPr>
        <w:t xml:space="preserve">                   。</w:t>
      </w:r>
    </w:p>
    <w:p w14:paraId="36A1B2D2">
      <w:pPr>
        <w:snapToGrid w:val="0"/>
        <w:spacing w:line="360" w:lineRule="auto"/>
        <w:ind w:firstLine="422" w:firstLineChars="200"/>
        <w:rPr>
          <w:rFonts w:hint="eastAsia" w:ascii="宋体" w:hAnsi="宋体"/>
          <w:b/>
          <w:szCs w:val="21"/>
        </w:rPr>
      </w:pPr>
      <w:r>
        <w:rPr>
          <w:rFonts w:hint="eastAsia" w:ascii="宋体" w:hAnsi="宋体"/>
          <w:b/>
          <w:szCs w:val="21"/>
        </w:rPr>
        <w:t>第七条  售后服务、质保期</w:t>
      </w:r>
    </w:p>
    <w:p w14:paraId="5A3EF53B">
      <w:pPr>
        <w:snapToGrid w:val="0"/>
        <w:spacing w:line="360" w:lineRule="auto"/>
        <w:ind w:firstLine="420" w:firstLineChars="200"/>
        <w:rPr>
          <w:rFonts w:hint="eastAsia" w:ascii="宋体" w:hAnsi="宋体"/>
          <w:szCs w:val="21"/>
        </w:rPr>
      </w:pPr>
      <w:r>
        <w:rPr>
          <w:rFonts w:hint="eastAsia" w:ascii="宋体" w:hAnsi="宋体"/>
          <w:szCs w:val="21"/>
        </w:rPr>
        <w:t>1.乙方应按照国家有关法律法规和“三包”规定以及本合同所附的《服务承诺》，为甲方提供售后服务。</w:t>
      </w:r>
    </w:p>
    <w:p w14:paraId="10B3CFC8">
      <w:pPr>
        <w:snapToGrid w:val="0"/>
        <w:spacing w:line="360" w:lineRule="auto"/>
        <w:ind w:firstLine="420" w:firstLineChars="200"/>
        <w:rPr>
          <w:rFonts w:hint="eastAsia" w:ascii="宋体" w:hAnsi="宋体"/>
          <w:szCs w:val="21"/>
          <w:u w:val="single"/>
        </w:rPr>
      </w:pPr>
      <w:r>
        <w:rPr>
          <w:rFonts w:hint="eastAsia" w:ascii="宋体" w:hAnsi="宋体"/>
          <w:szCs w:val="21"/>
        </w:rPr>
        <w:t>2.货物质保期：</w:t>
      </w:r>
      <w:r>
        <w:rPr>
          <w:rFonts w:hint="eastAsia" w:ascii="宋体" w:hAnsi="宋体"/>
          <w:szCs w:val="21"/>
          <w:u w:val="single"/>
        </w:rPr>
        <w:t xml:space="preserve">  1年    。</w:t>
      </w:r>
    </w:p>
    <w:p w14:paraId="6396831B">
      <w:pPr>
        <w:snapToGrid w:val="0"/>
        <w:spacing w:line="360" w:lineRule="auto"/>
        <w:ind w:firstLine="420" w:firstLineChars="200"/>
        <w:rPr>
          <w:rFonts w:hint="eastAsia" w:ascii="宋体" w:hAnsi="宋体"/>
          <w:szCs w:val="21"/>
          <w:u w:val="single"/>
        </w:rPr>
      </w:pPr>
      <w:r>
        <w:rPr>
          <w:rFonts w:hint="eastAsia" w:ascii="宋体" w:hAnsi="宋体"/>
          <w:szCs w:val="21"/>
        </w:rPr>
        <w:t>3.乙方提供的服务承诺和售后服务及保修期责任等其它具体约定事项。（见合同附件）</w:t>
      </w:r>
    </w:p>
    <w:p w14:paraId="7AD1F3D0">
      <w:pPr>
        <w:snapToGrid w:val="0"/>
        <w:spacing w:line="360" w:lineRule="auto"/>
        <w:ind w:firstLine="422" w:firstLineChars="200"/>
        <w:rPr>
          <w:rFonts w:hint="eastAsia" w:ascii="宋体" w:hAnsi="宋体"/>
          <w:szCs w:val="21"/>
        </w:rPr>
      </w:pPr>
      <w:r>
        <w:rPr>
          <w:rFonts w:hint="eastAsia" w:ascii="宋体" w:hAnsi="宋体"/>
          <w:b/>
          <w:szCs w:val="21"/>
        </w:rPr>
        <w:t>第八条　付款方式</w:t>
      </w:r>
    </w:p>
    <w:p w14:paraId="42FA6228">
      <w:pPr>
        <w:snapToGrid w:val="0"/>
        <w:spacing w:line="360" w:lineRule="auto"/>
        <w:ind w:firstLine="420" w:firstLineChars="200"/>
        <w:rPr>
          <w:rFonts w:hint="eastAsia" w:ascii="宋体" w:hAnsi="宋体"/>
          <w:kern w:val="0"/>
          <w:szCs w:val="21"/>
        </w:rPr>
      </w:pPr>
      <w:r>
        <w:rPr>
          <w:rFonts w:hint="eastAsia" w:ascii="宋体" w:hAnsi="宋体"/>
          <w:bCs/>
          <w:kern w:val="0"/>
          <w:szCs w:val="21"/>
        </w:rPr>
        <w:t>1</w:t>
      </w:r>
      <w:r>
        <w:rPr>
          <w:rFonts w:hint="eastAsia" w:ascii="宋体" w:hAnsi="宋体"/>
          <w:kern w:val="0"/>
          <w:szCs w:val="21"/>
        </w:rPr>
        <w:t>.当采购数量与实际使用数量不一致时，乙方应根据实际使用量供货，合同的最终结算金额按实际使用量乘以成交单价进行计算，但不得超出合同价的10%。</w:t>
      </w:r>
    </w:p>
    <w:p w14:paraId="1E9EAEC9">
      <w:pPr>
        <w:spacing w:line="360" w:lineRule="auto"/>
        <w:ind w:firstLine="420" w:firstLineChars="200"/>
        <w:rPr>
          <w:rFonts w:ascii="宋体" w:hAnsi="宋体"/>
          <w:szCs w:val="21"/>
        </w:rPr>
      </w:pPr>
      <w:r>
        <w:rPr>
          <w:rFonts w:hint="eastAsia" w:ascii="宋体" w:hAnsi="宋体"/>
          <w:kern w:val="0"/>
          <w:szCs w:val="21"/>
        </w:rPr>
        <w:t>2.付款方式</w:t>
      </w:r>
      <w:r>
        <w:rPr>
          <w:rFonts w:hint="eastAsia" w:ascii="宋体" w:hAnsi="宋体" w:cs="宋体"/>
        </w:rPr>
        <w:t>：</w:t>
      </w:r>
      <w:r>
        <w:rPr>
          <w:rFonts w:hint="eastAsia" w:ascii="宋体" w:hAnsi="宋体"/>
          <w:szCs w:val="21"/>
        </w:rPr>
        <w:t>签订合同待全部货物到达指定地点、安装调试并验收合格后，凭双方签署验收合格证，按季度使用实际数量付款。乙方开具全额发票给甲方，</w:t>
      </w:r>
      <w:r>
        <w:rPr>
          <w:rFonts w:ascii="宋体" w:hAnsi="宋体"/>
          <w:szCs w:val="21"/>
        </w:rPr>
        <w:t>甲方自收到发票之日起 30 日内总额支付</w:t>
      </w:r>
      <w:r>
        <w:rPr>
          <w:rFonts w:hint="eastAsia" w:ascii="宋体" w:hAnsi="宋体"/>
          <w:szCs w:val="21"/>
        </w:rPr>
        <w:t>给乙方100%。</w:t>
      </w:r>
    </w:p>
    <w:p w14:paraId="5725C2A0">
      <w:pPr>
        <w:snapToGrid w:val="0"/>
        <w:spacing w:line="360" w:lineRule="auto"/>
        <w:ind w:firstLine="420" w:firstLineChars="200"/>
        <w:rPr>
          <w:rFonts w:hint="eastAsia" w:ascii="宋体" w:hAnsi="宋体"/>
          <w:kern w:val="0"/>
          <w:szCs w:val="21"/>
        </w:rPr>
      </w:pPr>
      <w:r>
        <w:rPr>
          <w:rFonts w:hint="eastAsia" w:ascii="宋体" w:hAnsi="宋体"/>
          <w:szCs w:val="21"/>
        </w:rPr>
        <w:t>如验收不合格以及发现伪劣产品等，招标人将视情形采取退货、拒付款、终止合同、索赔等措施，直至通过有关部门，依法维权。</w:t>
      </w:r>
    </w:p>
    <w:p w14:paraId="1D865F5C">
      <w:pPr>
        <w:snapToGrid w:val="0"/>
        <w:spacing w:line="360" w:lineRule="auto"/>
        <w:ind w:left="-61" w:leftChars="-29" w:firstLine="517" w:firstLineChars="245"/>
        <w:rPr>
          <w:rFonts w:ascii="宋体" w:hAnsi="宋体"/>
          <w:b/>
          <w:szCs w:val="21"/>
        </w:rPr>
      </w:pPr>
    </w:p>
    <w:p w14:paraId="0E196529">
      <w:pPr>
        <w:snapToGrid w:val="0"/>
        <w:spacing w:line="360" w:lineRule="auto"/>
        <w:ind w:left="-61" w:leftChars="-29" w:firstLine="517" w:firstLineChars="245"/>
        <w:rPr>
          <w:rFonts w:hint="eastAsia" w:ascii="宋体" w:hAnsi="宋体"/>
          <w:b/>
          <w:szCs w:val="21"/>
        </w:rPr>
      </w:pPr>
      <w:r>
        <w:rPr>
          <w:rFonts w:hint="eastAsia" w:ascii="宋体" w:hAnsi="宋体"/>
          <w:b/>
          <w:szCs w:val="21"/>
        </w:rPr>
        <w:t>第九条　履约保证金</w:t>
      </w:r>
    </w:p>
    <w:p w14:paraId="265024E2">
      <w:pPr>
        <w:autoSpaceDE w:val="0"/>
        <w:autoSpaceDN w:val="0"/>
        <w:snapToGrid w:val="0"/>
        <w:spacing w:line="360" w:lineRule="auto"/>
        <w:ind w:firstLine="424" w:firstLineChars="202"/>
        <w:textAlignment w:val="bottom"/>
        <w:rPr>
          <w:rFonts w:hint="eastAsia" w:ascii="宋体" w:hAnsi="宋体" w:cs="宋体"/>
          <w:szCs w:val="21"/>
        </w:rPr>
      </w:pPr>
      <w:r>
        <w:rPr>
          <w:rFonts w:hint="eastAsia" w:ascii="宋体" w:hAnsi="宋体" w:cs="宋体"/>
          <w:szCs w:val="21"/>
        </w:rPr>
        <w:t>履约保证金金额：本项目不要求缴纳履约保证金。</w:t>
      </w:r>
    </w:p>
    <w:p w14:paraId="11A7510A">
      <w:pPr>
        <w:snapToGrid w:val="0"/>
        <w:spacing w:line="360" w:lineRule="auto"/>
        <w:ind w:left="-61" w:firstLine="514"/>
        <w:rPr>
          <w:rFonts w:hint="eastAsia" w:ascii="宋体" w:hAnsi="宋体"/>
          <w:b/>
          <w:szCs w:val="21"/>
        </w:rPr>
      </w:pPr>
      <w:r>
        <w:rPr>
          <w:rFonts w:hint="eastAsia" w:ascii="宋体" w:hAnsi="宋体"/>
          <w:b/>
          <w:szCs w:val="21"/>
        </w:rPr>
        <w:t>第十条  税费</w:t>
      </w:r>
    </w:p>
    <w:p w14:paraId="4770C837">
      <w:pPr>
        <w:snapToGrid w:val="0"/>
        <w:spacing w:line="360" w:lineRule="auto"/>
        <w:ind w:left="-61" w:firstLine="514"/>
        <w:rPr>
          <w:rFonts w:hint="eastAsia" w:ascii="宋体" w:hAnsi="宋体"/>
          <w:szCs w:val="21"/>
        </w:rPr>
      </w:pPr>
      <w:r>
        <w:rPr>
          <w:rFonts w:hint="eastAsia" w:ascii="宋体" w:hAnsi="宋体"/>
          <w:szCs w:val="21"/>
        </w:rPr>
        <w:t>本合同执行中相关的一切税费均由乙方负担，合同另有约定的除外。</w:t>
      </w:r>
    </w:p>
    <w:p w14:paraId="53904209">
      <w:pPr>
        <w:snapToGrid w:val="0"/>
        <w:spacing w:line="360" w:lineRule="auto"/>
        <w:ind w:left="-61" w:firstLine="514"/>
        <w:rPr>
          <w:rFonts w:hint="eastAsia" w:ascii="宋体" w:hAnsi="宋体"/>
          <w:szCs w:val="21"/>
        </w:rPr>
      </w:pPr>
      <w:r>
        <w:rPr>
          <w:rFonts w:hint="eastAsia" w:ascii="宋体" w:hAnsi="宋体"/>
          <w:b/>
          <w:szCs w:val="21"/>
        </w:rPr>
        <w:t>第十一条  质量保证及售后服务</w:t>
      </w:r>
    </w:p>
    <w:p w14:paraId="6FEC9094">
      <w:pPr>
        <w:snapToGrid w:val="0"/>
        <w:spacing w:line="360" w:lineRule="auto"/>
        <w:ind w:firstLine="420" w:firstLineChars="200"/>
        <w:rPr>
          <w:rFonts w:hint="eastAsia" w:ascii="宋体" w:hAnsi="宋体"/>
          <w:kern w:val="0"/>
          <w:szCs w:val="21"/>
        </w:rPr>
      </w:pPr>
      <w:r>
        <w:rPr>
          <w:rFonts w:hint="eastAsia" w:ascii="宋体" w:hAnsi="宋体"/>
          <w:bCs/>
          <w:kern w:val="0"/>
          <w:szCs w:val="21"/>
        </w:rPr>
        <w:t>1.</w:t>
      </w:r>
      <w:r>
        <w:rPr>
          <w:rFonts w:hint="eastAsia" w:ascii="宋体" w:hAnsi="宋体"/>
          <w:kern w:val="0"/>
          <w:szCs w:val="21"/>
        </w:rPr>
        <w:t>乙方应按招标文件规定的产品名称、商标品牌、生产厂家、规格型号、技术参数、质量标准向甲方提供未经使用的全新产品。不符合要求的，根据实际情况，经双方协商，可按以下办法处理：</w:t>
      </w:r>
    </w:p>
    <w:p w14:paraId="7956E79F">
      <w:pPr>
        <w:snapToGrid w:val="0"/>
        <w:spacing w:line="360" w:lineRule="auto"/>
        <w:ind w:firstLine="420" w:firstLineChars="200"/>
        <w:rPr>
          <w:rFonts w:hint="eastAsia" w:ascii="宋体" w:hAnsi="宋体"/>
          <w:kern w:val="0"/>
          <w:szCs w:val="21"/>
        </w:rPr>
      </w:pPr>
      <w:r>
        <w:rPr>
          <w:rFonts w:hint="eastAsia" w:ascii="宋体" w:hAnsi="宋体"/>
          <w:kern w:val="0"/>
          <w:szCs w:val="21"/>
        </w:rPr>
        <w:t>⑴更换：由乙方承担所发生的全部费用。</w:t>
      </w:r>
    </w:p>
    <w:p w14:paraId="015BB0B0">
      <w:pPr>
        <w:snapToGrid w:val="0"/>
        <w:spacing w:line="360" w:lineRule="auto"/>
        <w:ind w:firstLine="420"/>
        <w:rPr>
          <w:rFonts w:hint="eastAsia" w:ascii="宋体" w:hAnsi="宋体"/>
          <w:kern w:val="0"/>
          <w:szCs w:val="21"/>
        </w:rPr>
      </w:pPr>
      <w:r>
        <w:rPr>
          <w:rFonts w:hint="eastAsia" w:ascii="宋体" w:hAnsi="宋体"/>
          <w:kern w:val="0"/>
          <w:szCs w:val="21"/>
        </w:rPr>
        <w:t>⑵贬值处理：由甲乙双方合议定价。</w:t>
      </w:r>
    </w:p>
    <w:p w14:paraId="23E2F717">
      <w:pPr>
        <w:snapToGrid w:val="0"/>
        <w:spacing w:line="360" w:lineRule="auto"/>
        <w:ind w:firstLine="420" w:firstLineChars="200"/>
        <w:rPr>
          <w:rFonts w:hint="eastAsia" w:ascii="宋体" w:hAnsi="宋体"/>
          <w:kern w:val="0"/>
          <w:szCs w:val="21"/>
        </w:rPr>
      </w:pPr>
      <w:r>
        <w:rPr>
          <w:rFonts w:hint="eastAsia" w:ascii="宋体" w:hAnsi="宋体"/>
          <w:kern w:val="0"/>
          <w:szCs w:val="21"/>
        </w:rPr>
        <w:t>⑶退货处理：乙方应退还甲方支付的合同款，同时应承担该货物的直接费用（运输、保险、检验、货款利息及银行手续费等）。</w:t>
      </w:r>
    </w:p>
    <w:p w14:paraId="62380A62">
      <w:pPr>
        <w:snapToGrid w:val="0"/>
        <w:spacing w:line="360" w:lineRule="auto"/>
        <w:ind w:firstLine="420" w:firstLineChars="200"/>
        <w:rPr>
          <w:rFonts w:hint="eastAsia" w:ascii="宋体" w:hAnsi="宋体"/>
          <w:kern w:val="0"/>
          <w:szCs w:val="21"/>
        </w:rPr>
      </w:pPr>
      <w:r>
        <w:rPr>
          <w:rFonts w:hint="eastAsia" w:ascii="宋体" w:hAnsi="宋体"/>
          <w:kern w:val="0"/>
          <w:szCs w:val="21"/>
        </w:rPr>
        <w:t>2.如在使用过程中发生质量问题，乙方在接到甲方通知后到达甲方现场处理的时间（</w:t>
      </w:r>
      <w:r>
        <w:rPr>
          <w:rFonts w:hint="eastAsia" w:ascii="宋体" w:hAnsi="宋体"/>
          <w:kern w:val="0"/>
          <w:szCs w:val="21"/>
          <w:u w:val="single"/>
        </w:rPr>
        <w:t>按投标文件承诺的数据填写</w:t>
      </w:r>
      <w:r>
        <w:rPr>
          <w:rFonts w:hint="eastAsia" w:ascii="宋体" w:hAnsi="宋体"/>
          <w:kern w:val="0"/>
          <w:szCs w:val="21"/>
        </w:rPr>
        <w:t>）小时内。</w:t>
      </w:r>
    </w:p>
    <w:p w14:paraId="05B4121B">
      <w:pPr>
        <w:snapToGrid w:val="0"/>
        <w:spacing w:line="360" w:lineRule="auto"/>
        <w:ind w:firstLine="420" w:firstLineChars="200"/>
        <w:rPr>
          <w:rFonts w:hint="eastAsia" w:ascii="宋体" w:hAnsi="宋体"/>
          <w:kern w:val="0"/>
          <w:szCs w:val="21"/>
        </w:rPr>
      </w:pPr>
      <w:r>
        <w:rPr>
          <w:rFonts w:hint="eastAsia" w:ascii="宋体" w:hAnsi="宋体"/>
          <w:kern w:val="0"/>
          <w:szCs w:val="21"/>
        </w:rPr>
        <w:t>3.在质保期内，乙方应对货物出现的质量及安全问题负责处理解决并承担一切费用。</w:t>
      </w:r>
    </w:p>
    <w:p w14:paraId="04D58320">
      <w:pPr>
        <w:snapToGrid w:val="0"/>
        <w:spacing w:line="360" w:lineRule="auto"/>
        <w:ind w:firstLine="420" w:firstLineChars="200"/>
        <w:rPr>
          <w:rFonts w:hint="eastAsia" w:ascii="宋体" w:hAnsi="宋体"/>
          <w:szCs w:val="21"/>
        </w:rPr>
      </w:pPr>
      <w:r>
        <w:rPr>
          <w:rFonts w:hint="eastAsia" w:ascii="宋体" w:hAnsi="宋体"/>
          <w:szCs w:val="21"/>
        </w:rPr>
        <w:t>4.上述的货物质保期为</w:t>
      </w:r>
      <w:r>
        <w:rPr>
          <w:rFonts w:hint="eastAsia" w:ascii="宋体" w:hAnsi="宋体"/>
          <w:szCs w:val="21"/>
          <w:u w:val="single"/>
        </w:rPr>
        <w:t xml:space="preserve">   1  </w:t>
      </w:r>
      <w:r>
        <w:rPr>
          <w:rFonts w:hint="eastAsia" w:ascii="宋体" w:hAnsi="宋体"/>
          <w:szCs w:val="21"/>
        </w:rPr>
        <w:t>年，因人为因素出现的故障不在免费保修范围内。超过保修期的机器设备，终生维修，维修时只收部件成本费。</w:t>
      </w:r>
    </w:p>
    <w:p w14:paraId="275A1141">
      <w:pPr>
        <w:snapToGrid w:val="0"/>
        <w:spacing w:line="360" w:lineRule="auto"/>
        <w:ind w:left="-61" w:firstLine="514"/>
        <w:rPr>
          <w:rFonts w:hint="eastAsia" w:ascii="宋体" w:hAnsi="宋体"/>
          <w:szCs w:val="21"/>
        </w:rPr>
      </w:pPr>
      <w:r>
        <w:rPr>
          <w:rFonts w:hint="eastAsia" w:ascii="宋体" w:hAnsi="宋体"/>
          <w:b/>
          <w:szCs w:val="21"/>
        </w:rPr>
        <w:t>第十二条  调试和验收（本条款适用于甲方自行验收，委托第三方验收的另行规定）</w:t>
      </w:r>
    </w:p>
    <w:p w14:paraId="0185D32F">
      <w:pPr>
        <w:snapToGrid w:val="0"/>
        <w:spacing w:line="360" w:lineRule="auto"/>
        <w:ind w:firstLine="420" w:firstLineChars="200"/>
        <w:jc w:val="left"/>
        <w:rPr>
          <w:rFonts w:hint="eastAsia" w:ascii="宋体" w:hAnsi="宋体"/>
          <w:kern w:val="0"/>
          <w:szCs w:val="21"/>
        </w:rPr>
      </w:pPr>
      <w:r>
        <w:rPr>
          <w:rFonts w:hint="eastAsia" w:ascii="宋体" w:hAnsi="宋体"/>
          <w:kern w:val="0"/>
          <w:szCs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53D5408E">
      <w:pPr>
        <w:snapToGrid w:val="0"/>
        <w:spacing w:line="360" w:lineRule="auto"/>
        <w:ind w:firstLine="420" w:firstLineChars="200"/>
        <w:rPr>
          <w:rFonts w:hint="eastAsia" w:ascii="宋体" w:hAnsi="宋体"/>
          <w:kern w:val="0"/>
          <w:szCs w:val="21"/>
        </w:rPr>
      </w:pPr>
      <w:r>
        <w:rPr>
          <w:rFonts w:hint="eastAsia" w:ascii="宋体" w:hAnsi="宋体"/>
          <w:kern w:val="0"/>
          <w:szCs w:val="21"/>
        </w:rPr>
        <w:t>2.乙方交货前应对产品作出全面检查和对验收文件进行整理，并列出清单，作为甲方收货验收和使用的技术条件依据，检验的结果应随货物交甲方。</w:t>
      </w:r>
    </w:p>
    <w:p w14:paraId="4F78881E">
      <w:pPr>
        <w:snapToGrid w:val="0"/>
        <w:spacing w:line="360" w:lineRule="auto"/>
        <w:ind w:firstLine="420" w:firstLineChars="200"/>
        <w:rPr>
          <w:rFonts w:hint="eastAsia" w:ascii="宋体" w:hAnsi="宋体"/>
          <w:kern w:val="0"/>
          <w:szCs w:val="21"/>
        </w:rPr>
      </w:pPr>
      <w:r>
        <w:rPr>
          <w:rFonts w:hint="eastAsia" w:ascii="宋体" w:hAnsi="宋体"/>
          <w:kern w:val="0"/>
          <w:szCs w:val="21"/>
        </w:rPr>
        <w:t>3.甲方对乙方提供的货物在使用前进行调试时，乙方需负责安装并培训甲方的使用操作人员，并协助甲方一起调试，直到符合技术要求，甲方才做最终验收。</w:t>
      </w:r>
    </w:p>
    <w:p w14:paraId="33F7D53E">
      <w:pPr>
        <w:snapToGrid w:val="0"/>
        <w:spacing w:line="360" w:lineRule="auto"/>
        <w:ind w:firstLine="420" w:firstLineChars="200"/>
        <w:rPr>
          <w:rFonts w:hint="eastAsia" w:ascii="宋体" w:hAnsi="宋体"/>
          <w:kern w:val="0"/>
          <w:szCs w:val="21"/>
        </w:rPr>
      </w:pPr>
      <w:r>
        <w:rPr>
          <w:rFonts w:hint="eastAsia" w:ascii="宋体" w:hAnsi="宋体"/>
          <w:kern w:val="0"/>
          <w:szCs w:val="21"/>
        </w:rPr>
        <w:t>4.对技术复杂的货物，甲方应请国家认可的专业检测机构参与初步验收及最终验收，并由其出具质量检测报告。</w:t>
      </w:r>
    </w:p>
    <w:p w14:paraId="01209C05">
      <w:pPr>
        <w:snapToGrid w:val="0"/>
        <w:spacing w:line="360" w:lineRule="auto"/>
        <w:ind w:left="-61" w:firstLine="514"/>
        <w:rPr>
          <w:rFonts w:hint="eastAsia" w:ascii="宋体" w:hAnsi="宋体"/>
          <w:szCs w:val="21"/>
        </w:rPr>
      </w:pPr>
      <w:r>
        <w:rPr>
          <w:rFonts w:hint="eastAsia" w:ascii="宋体" w:hAnsi="宋体"/>
          <w:szCs w:val="21"/>
        </w:rPr>
        <w:t>5. 验收时乙方必须在现场，验收完毕后作出验收结果报告；验收费用按招标文件约定承担方负责。</w:t>
      </w:r>
    </w:p>
    <w:p w14:paraId="5F68152B">
      <w:pPr>
        <w:snapToGrid w:val="0"/>
        <w:spacing w:line="360" w:lineRule="auto"/>
        <w:ind w:firstLine="413" w:firstLineChars="196"/>
        <w:rPr>
          <w:rFonts w:hint="eastAsia" w:ascii="宋体" w:hAnsi="宋体"/>
          <w:b/>
          <w:kern w:val="0"/>
          <w:szCs w:val="21"/>
        </w:rPr>
      </w:pPr>
      <w:r>
        <w:rPr>
          <w:rFonts w:hint="eastAsia" w:ascii="宋体" w:hAnsi="宋体"/>
          <w:b/>
          <w:kern w:val="0"/>
          <w:szCs w:val="21"/>
        </w:rPr>
        <w:t>第十三条  货物包装、发运及运输</w:t>
      </w:r>
    </w:p>
    <w:p w14:paraId="21DFA907">
      <w:pPr>
        <w:snapToGrid w:val="0"/>
        <w:spacing w:line="360" w:lineRule="auto"/>
        <w:ind w:firstLine="420" w:firstLineChars="200"/>
        <w:rPr>
          <w:rFonts w:hint="eastAsia" w:ascii="宋体" w:hAnsi="宋体"/>
          <w:kern w:val="0"/>
          <w:szCs w:val="21"/>
        </w:rPr>
      </w:pPr>
      <w:r>
        <w:rPr>
          <w:rFonts w:hint="eastAsia" w:ascii="宋体" w:hAnsi="宋体"/>
          <w:kern w:val="0"/>
          <w:szCs w:val="21"/>
        </w:rPr>
        <w:t>1.乙方应在货物发运前对其进行满足运输距离、防潮、防震、防锈和防破损装卸等要求包装，以保证货物安全运达甲方指定地点。</w:t>
      </w:r>
    </w:p>
    <w:p w14:paraId="404AB82E">
      <w:pPr>
        <w:snapToGrid w:val="0"/>
        <w:spacing w:line="360" w:lineRule="auto"/>
        <w:ind w:firstLine="420" w:firstLineChars="200"/>
        <w:rPr>
          <w:rFonts w:hint="eastAsia" w:ascii="宋体" w:hAnsi="宋体"/>
          <w:kern w:val="0"/>
          <w:szCs w:val="21"/>
        </w:rPr>
      </w:pPr>
      <w:r>
        <w:rPr>
          <w:rFonts w:hint="eastAsia" w:ascii="宋体" w:hAnsi="宋体"/>
          <w:kern w:val="0"/>
          <w:szCs w:val="21"/>
        </w:rPr>
        <w:t>2. 使用说明书（货物属于进口产品的，供货时应同时附上中文使用说明书）、质量检验证明书、随配附件和工具以及清单一并附于货物内。</w:t>
      </w:r>
    </w:p>
    <w:p w14:paraId="084C4D97">
      <w:pPr>
        <w:snapToGrid w:val="0"/>
        <w:spacing w:line="360" w:lineRule="auto"/>
        <w:ind w:firstLine="420" w:firstLineChars="200"/>
        <w:rPr>
          <w:rFonts w:hint="eastAsia" w:ascii="宋体" w:hAnsi="宋体"/>
          <w:kern w:val="0"/>
          <w:szCs w:val="21"/>
        </w:rPr>
      </w:pPr>
      <w:r>
        <w:rPr>
          <w:rFonts w:hint="eastAsia" w:ascii="宋体" w:hAnsi="宋体"/>
          <w:kern w:val="0"/>
          <w:szCs w:val="21"/>
        </w:rPr>
        <w:t>3.乙方在货物发运手续办理完毕后二十四小时内或者货到甲方四十八小时前通知甲方，以准备接货。</w:t>
      </w:r>
    </w:p>
    <w:p w14:paraId="381A8E5C">
      <w:pPr>
        <w:snapToGrid w:val="0"/>
        <w:spacing w:line="360" w:lineRule="auto"/>
        <w:ind w:firstLine="420" w:firstLineChars="200"/>
        <w:rPr>
          <w:rFonts w:hint="eastAsia" w:ascii="宋体" w:hAnsi="宋体"/>
          <w:kern w:val="0"/>
          <w:szCs w:val="21"/>
        </w:rPr>
      </w:pPr>
      <w:r>
        <w:rPr>
          <w:rFonts w:hint="eastAsia" w:ascii="宋体" w:hAnsi="宋体"/>
          <w:kern w:val="0"/>
          <w:szCs w:val="21"/>
        </w:rPr>
        <w:t>4.货物在交付甲方前发生的风险均由乙方负责。</w:t>
      </w:r>
    </w:p>
    <w:p w14:paraId="7FE1451A">
      <w:pPr>
        <w:snapToGrid w:val="0"/>
        <w:spacing w:line="360" w:lineRule="auto"/>
        <w:ind w:firstLine="420" w:firstLineChars="200"/>
        <w:rPr>
          <w:rFonts w:hint="eastAsia" w:ascii="宋体" w:hAnsi="宋体"/>
          <w:kern w:val="0"/>
          <w:szCs w:val="21"/>
        </w:rPr>
      </w:pPr>
      <w:r>
        <w:rPr>
          <w:rFonts w:hint="eastAsia" w:ascii="宋体" w:hAnsi="宋体"/>
          <w:kern w:val="0"/>
          <w:szCs w:val="21"/>
        </w:rPr>
        <w:t>5.货物在规</w:t>
      </w:r>
      <w:r>
        <w:rPr>
          <w:rFonts w:hint="eastAsia" w:ascii="宋体" w:hAnsi="宋体"/>
          <w:spacing w:val="-8"/>
          <w:kern w:val="0"/>
          <w:szCs w:val="21"/>
        </w:rPr>
        <w:t>定的交付期限内由乙方送达甲方指定的地点视为交付，乙方同时需通知甲方货物已送达。</w:t>
      </w:r>
    </w:p>
    <w:p w14:paraId="08DE92EF">
      <w:pPr>
        <w:snapToGrid w:val="0"/>
        <w:spacing w:line="360" w:lineRule="auto"/>
        <w:ind w:firstLine="422" w:firstLineChars="200"/>
        <w:rPr>
          <w:rFonts w:hint="eastAsia" w:ascii="宋体" w:hAnsi="宋体"/>
          <w:b/>
          <w:szCs w:val="21"/>
        </w:rPr>
      </w:pPr>
      <w:r>
        <w:rPr>
          <w:rFonts w:hint="eastAsia" w:ascii="宋体" w:hAnsi="宋体"/>
          <w:b/>
          <w:szCs w:val="21"/>
        </w:rPr>
        <w:t>第十四条　违约责任</w:t>
      </w:r>
    </w:p>
    <w:p w14:paraId="15D3A346">
      <w:pPr>
        <w:snapToGrid w:val="0"/>
        <w:spacing w:line="360" w:lineRule="auto"/>
        <w:ind w:firstLine="420" w:firstLineChars="200"/>
        <w:rPr>
          <w:rFonts w:hint="eastAsia" w:ascii="宋体" w:hAnsi="宋体"/>
          <w:kern w:val="0"/>
          <w:szCs w:val="21"/>
        </w:rPr>
      </w:pPr>
      <w:r>
        <w:rPr>
          <w:rFonts w:hint="eastAsia" w:ascii="宋体" w:hAnsi="宋体"/>
          <w:kern w:val="0"/>
          <w:szCs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35A6EBCF">
      <w:pPr>
        <w:snapToGrid w:val="0"/>
        <w:spacing w:line="360" w:lineRule="auto"/>
        <w:ind w:firstLine="420" w:firstLineChars="200"/>
        <w:rPr>
          <w:rFonts w:hint="eastAsia" w:ascii="宋体" w:hAnsi="宋体"/>
          <w:kern w:val="0"/>
          <w:szCs w:val="21"/>
        </w:rPr>
      </w:pPr>
      <w:r>
        <w:rPr>
          <w:rFonts w:hint="eastAsia" w:ascii="宋体" w:hAnsi="宋体"/>
          <w:kern w:val="0"/>
          <w:szCs w:val="21"/>
        </w:rPr>
        <w:t>2.乙方提供的货物如侵犯了第三方合法权益而引发的任何纠纷或者诉讼，均由乙方负责交涉并承担全部责任。</w:t>
      </w:r>
    </w:p>
    <w:p w14:paraId="65F76EC7">
      <w:pPr>
        <w:snapToGrid w:val="0"/>
        <w:spacing w:line="360" w:lineRule="auto"/>
        <w:ind w:firstLine="420" w:firstLineChars="200"/>
        <w:rPr>
          <w:rFonts w:hint="eastAsia" w:ascii="宋体" w:hAnsi="宋体"/>
          <w:kern w:val="0"/>
          <w:szCs w:val="21"/>
        </w:rPr>
      </w:pPr>
      <w:r>
        <w:rPr>
          <w:rFonts w:hint="eastAsia" w:ascii="宋体" w:hAnsi="宋体"/>
          <w:kern w:val="0"/>
          <w:szCs w:val="21"/>
        </w:rPr>
        <w:t>3.因包装、运输引起的货物损坏，按质量不合格处罚。</w:t>
      </w:r>
    </w:p>
    <w:p w14:paraId="6DE30612">
      <w:pPr>
        <w:snapToGrid w:val="0"/>
        <w:spacing w:line="360" w:lineRule="auto"/>
        <w:ind w:firstLine="420" w:firstLineChars="200"/>
        <w:rPr>
          <w:rFonts w:hint="eastAsia" w:ascii="宋体" w:hAnsi="宋体"/>
          <w:kern w:val="0"/>
          <w:szCs w:val="21"/>
        </w:rPr>
      </w:pPr>
      <w:r>
        <w:rPr>
          <w:rFonts w:hint="eastAsia" w:ascii="宋体" w:hAnsi="宋体"/>
          <w:kern w:val="0"/>
          <w:szCs w:val="21"/>
        </w:rPr>
        <w:t>4.甲方无故延期接收货物、乙方逾期交货的，每天向对方偿付违约货款额3‰违约金，但违约金累计不得超过违约货款额5%，超过</w:t>
      </w:r>
      <w:r>
        <w:rPr>
          <w:rFonts w:hint="eastAsia"/>
        </w:rPr>
        <w:t>3</w:t>
      </w:r>
      <w:r>
        <w:rPr>
          <w:rFonts w:hint="eastAsia" w:ascii="宋体" w:hAnsi="宋体"/>
          <w:kern w:val="0"/>
          <w:szCs w:val="21"/>
        </w:rPr>
        <w:t>天对方有权解除合同，违约方承担因此给对方造成经济损失；甲方延期付货款的，每天向乙方偿付延期货款额3‰滞纳金，但滞纳金累计不得超过延期货款额5%。</w:t>
      </w:r>
    </w:p>
    <w:p w14:paraId="16D3663C">
      <w:pPr>
        <w:snapToGrid w:val="0"/>
        <w:spacing w:line="360" w:lineRule="auto"/>
        <w:ind w:firstLine="420" w:firstLineChars="200"/>
        <w:rPr>
          <w:rFonts w:hint="eastAsia" w:ascii="宋体" w:hAnsi="宋体"/>
          <w:kern w:val="0"/>
          <w:szCs w:val="21"/>
        </w:rPr>
      </w:pPr>
      <w:r>
        <w:rPr>
          <w:rFonts w:hint="eastAsia" w:ascii="宋体" w:hAnsi="宋体"/>
          <w:kern w:val="0"/>
          <w:szCs w:val="21"/>
        </w:rPr>
        <w:t>5. 乙方未按本合同和投标文件中规定的服务承诺提供售后服务的，乙方应按本合同合计金额 5%向甲方支付违约金。</w:t>
      </w:r>
    </w:p>
    <w:p w14:paraId="25D18554">
      <w:pPr>
        <w:snapToGrid w:val="0"/>
        <w:spacing w:line="360" w:lineRule="auto"/>
        <w:ind w:firstLine="420" w:firstLineChars="200"/>
        <w:rPr>
          <w:rFonts w:hint="eastAsia" w:ascii="宋体" w:hAnsi="宋体"/>
          <w:kern w:val="0"/>
          <w:szCs w:val="21"/>
        </w:rPr>
      </w:pPr>
      <w:r>
        <w:rPr>
          <w:rFonts w:hint="eastAsia" w:ascii="宋体" w:hAnsi="宋体"/>
          <w:kern w:val="0"/>
          <w:szCs w:val="21"/>
        </w:rPr>
        <w:t>6. 乙方提供的货物在质量保证期内，因设计、工艺或者材料的缺陷和其它质量原因造成的问题，由乙方负责，费用从余款或者履约保证金中扣除，不足另补。</w:t>
      </w:r>
    </w:p>
    <w:p w14:paraId="76813D0B">
      <w:pPr>
        <w:snapToGrid w:val="0"/>
        <w:spacing w:line="360" w:lineRule="auto"/>
        <w:ind w:firstLine="420" w:firstLineChars="200"/>
        <w:rPr>
          <w:rFonts w:hint="eastAsia" w:ascii="宋体" w:hAnsi="宋体"/>
          <w:kern w:val="0"/>
          <w:szCs w:val="21"/>
        </w:rPr>
      </w:pPr>
      <w:r>
        <w:rPr>
          <w:rFonts w:hint="eastAsia" w:ascii="宋体" w:hAnsi="宋体"/>
          <w:kern w:val="0"/>
          <w:szCs w:val="21"/>
        </w:rPr>
        <w:t>7. 甲乙双方有其它违约行为的，由违约方向对方支付违约内容涉及货款额的5%，违约内容涉及货款额的5%不足以赔偿经济损失的按实际赔偿。</w:t>
      </w:r>
    </w:p>
    <w:p w14:paraId="4BC33E87">
      <w:pPr>
        <w:snapToGrid w:val="0"/>
        <w:spacing w:line="360" w:lineRule="auto"/>
        <w:ind w:firstLine="413" w:firstLineChars="196"/>
        <w:rPr>
          <w:rFonts w:hint="eastAsia" w:ascii="宋体" w:hAnsi="宋体"/>
          <w:b/>
          <w:kern w:val="0"/>
          <w:szCs w:val="21"/>
        </w:rPr>
      </w:pPr>
      <w:r>
        <w:rPr>
          <w:rFonts w:hint="eastAsia" w:ascii="宋体" w:hAnsi="宋体"/>
          <w:b/>
          <w:kern w:val="0"/>
          <w:szCs w:val="21"/>
        </w:rPr>
        <w:t>第十五条  不可抗力事件处理</w:t>
      </w:r>
    </w:p>
    <w:p w14:paraId="05D31219">
      <w:pPr>
        <w:snapToGrid w:val="0"/>
        <w:spacing w:line="360" w:lineRule="auto"/>
        <w:ind w:firstLine="420" w:firstLineChars="200"/>
        <w:rPr>
          <w:rFonts w:hint="eastAsia" w:ascii="宋体" w:hAnsi="宋体"/>
          <w:kern w:val="0"/>
          <w:szCs w:val="21"/>
        </w:rPr>
      </w:pPr>
      <w:r>
        <w:rPr>
          <w:rFonts w:hint="eastAsia" w:ascii="宋体" w:hAnsi="宋体"/>
          <w:kern w:val="0"/>
          <w:szCs w:val="21"/>
        </w:rPr>
        <w:t>1.在合同有效期内，任何一方因不可抗力事件导致不能履行合同，则合同履行期可延长，其延长期与不可抗力影响期相同。</w:t>
      </w:r>
    </w:p>
    <w:p w14:paraId="19C8C172">
      <w:pPr>
        <w:snapToGrid w:val="0"/>
        <w:spacing w:line="360" w:lineRule="auto"/>
        <w:ind w:firstLine="420" w:firstLineChars="200"/>
        <w:rPr>
          <w:rFonts w:hint="eastAsia" w:ascii="宋体" w:hAnsi="宋体"/>
          <w:kern w:val="0"/>
          <w:szCs w:val="21"/>
        </w:rPr>
      </w:pPr>
      <w:r>
        <w:rPr>
          <w:rFonts w:hint="eastAsia" w:ascii="宋体" w:hAnsi="宋体"/>
          <w:kern w:val="0"/>
          <w:szCs w:val="21"/>
        </w:rPr>
        <w:t>2.不可抗力事件发生后，应立即通知对方，并寄送有关权威机构出具的证明。</w:t>
      </w:r>
    </w:p>
    <w:p w14:paraId="6F6DD094">
      <w:pPr>
        <w:snapToGrid w:val="0"/>
        <w:spacing w:line="360" w:lineRule="auto"/>
        <w:ind w:firstLine="420" w:firstLineChars="200"/>
        <w:rPr>
          <w:rFonts w:hint="eastAsia" w:ascii="宋体" w:hAnsi="宋体"/>
          <w:szCs w:val="21"/>
        </w:rPr>
      </w:pPr>
      <w:r>
        <w:rPr>
          <w:rFonts w:hint="eastAsia" w:ascii="宋体" w:hAnsi="宋体"/>
          <w:szCs w:val="21"/>
        </w:rPr>
        <w:t>3.不可抗力事件延续一百二十天以上，双方应通过友好协商，确定是否继续履行合同。</w:t>
      </w:r>
    </w:p>
    <w:p w14:paraId="53FADE67">
      <w:pPr>
        <w:snapToGrid w:val="0"/>
        <w:spacing w:line="360" w:lineRule="auto"/>
        <w:ind w:firstLine="422" w:firstLineChars="200"/>
        <w:rPr>
          <w:rFonts w:hint="eastAsia" w:ascii="宋体" w:hAnsi="宋体"/>
          <w:szCs w:val="21"/>
        </w:rPr>
      </w:pPr>
      <w:r>
        <w:rPr>
          <w:rFonts w:hint="eastAsia" w:ascii="宋体" w:hAnsi="宋体"/>
          <w:b/>
          <w:szCs w:val="21"/>
        </w:rPr>
        <w:t>第十六条  合同争议解决</w:t>
      </w:r>
    </w:p>
    <w:p w14:paraId="56FF1C5F">
      <w:pPr>
        <w:snapToGrid w:val="0"/>
        <w:spacing w:line="360" w:lineRule="auto"/>
        <w:ind w:firstLine="420" w:firstLineChars="200"/>
        <w:rPr>
          <w:rFonts w:hint="eastAsia" w:ascii="宋体" w:hAnsi="宋体"/>
          <w:szCs w:val="21"/>
        </w:rPr>
      </w:pPr>
      <w:r>
        <w:rPr>
          <w:rFonts w:hint="eastAsia" w:ascii="宋体" w:hAnsi="宋体"/>
          <w:szCs w:val="21"/>
        </w:rPr>
        <w:t>1. 因货物质量问题发生争议的，应邀请国家认可的质量检测机构对货物质量进行鉴定。货物符合标准的，鉴定费由甲方承担；货物不符合标准的，鉴定费由乙方承担。</w:t>
      </w:r>
    </w:p>
    <w:p w14:paraId="2BB27861">
      <w:pPr>
        <w:snapToGrid w:val="0"/>
        <w:spacing w:line="360" w:lineRule="auto"/>
        <w:ind w:firstLine="420" w:firstLineChars="200"/>
        <w:rPr>
          <w:rFonts w:hint="eastAsia" w:ascii="宋体" w:hAnsi="宋体"/>
          <w:szCs w:val="21"/>
        </w:rPr>
      </w:pPr>
      <w:r>
        <w:rPr>
          <w:rFonts w:hint="eastAsia" w:ascii="宋体" w:hAnsi="宋体"/>
          <w:szCs w:val="21"/>
        </w:rPr>
        <w:t>2. 因履行本合同引起的或者与本合同有关的争议，甲乙双方应首先通过友好协商解决，如果协商不能解决，</w:t>
      </w:r>
      <w:r>
        <w:rPr>
          <w:rFonts w:hint="eastAsia" w:ascii="宋体" w:hAnsi="宋体" w:cs="宋体"/>
          <w:szCs w:val="21"/>
        </w:rPr>
        <w:t>可向甲方所在地有管辖权的人民法院提起诉讼。</w:t>
      </w:r>
    </w:p>
    <w:p w14:paraId="077AC65A">
      <w:pPr>
        <w:snapToGrid w:val="0"/>
        <w:spacing w:line="360" w:lineRule="auto"/>
        <w:ind w:left="-61" w:firstLine="514"/>
        <w:rPr>
          <w:rFonts w:hint="eastAsia" w:ascii="宋体" w:hAnsi="宋体"/>
          <w:szCs w:val="21"/>
        </w:rPr>
      </w:pPr>
      <w:r>
        <w:rPr>
          <w:rFonts w:hint="eastAsia" w:ascii="宋体" w:hAnsi="宋体"/>
          <w:szCs w:val="21"/>
        </w:rPr>
        <w:t>3.诉讼期间，本合同继续履行。</w:t>
      </w:r>
    </w:p>
    <w:p w14:paraId="15C528D8">
      <w:pPr>
        <w:snapToGrid w:val="0"/>
        <w:spacing w:line="360" w:lineRule="auto"/>
        <w:ind w:firstLine="413" w:firstLineChars="196"/>
        <w:rPr>
          <w:rFonts w:hint="eastAsia" w:ascii="宋体" w:hAnsi="宋体"/>
          <w:b/>
          <w:kern w:val="0"/>
          <w:szCs w:val="21"/>
        </w:rPr>
      </w:pPr>
      <w:r>
        <w:rPr>
          <w:rFonts w:hint="eastAsia" w:ascii="宋体" w:hAnsi="宋体"/>
          <w:b/>
          <w:kern w:val="0"/>
          <w:szCs w:val="21"/>
        </w:rPr>
        <w:t>第十七条  合同生效及其它</w:t>
      </w:r>
    </w:p>
    <w:p w14:paraId="2504FF52">
      <w:pPr>
        <w:snapToGrid w:val="0"/>
        <w:spacing w:line="360" w:lineRule="auto"/>
        <w:ind w:firstLine="422" w:firstLineChars="200"/>
        <w:rPr>
          <w:rFonts w:hint="eastAsia" w:ascii="宋体" w:hAnsi="宋体"/>
          <w:b/>
          <w:kern w:val="0"/>
          <w:szCs w:val="21"/>
        </w:rPr>
      </w:pPr>
      <w:r>
        <w:rPr>
          <w:rFonts w:hint="eastAsia" w:ascii="宋体" w:hAnsi="宋体"/>
          <w:b/>
          <w:kern w:val="0"/>
          <w:szCs w:val="21"/>
        </w:rPr>
        <w:t>1. 合同经双方法定代表人或者委托代理人签字并加盖单位公章后生效（委托代理人签字的需后附法定代表人授权委托书，格式自拟）。</w:t>
      </w:r>
    </w:p>
    <w:p w14:paraId="713B8756">
      <w:pPr>
        <w:snapToGrid w:val="0"/>
        <w:spacing w:line="360" w:lineRule="auto"/>
        <w:ind w:firstLine="422" w:firstLineChars="200"/>
        <w:rPr>
          <w:rFonts w:hint="eastAsia" w:ascii="宋体" w:hAnsi="宋体"/>
          <w:b/>
          <w:kern w:val="0"/>
          <w:szCs w:val="21"/>
        </w:rPr>
      </w:pPr>
      <w:r>
        <w:rPr>
          <w:rFonts w:hint="eastAsia" w:ascii="宋体" w:hAnsi="宋体"/>
          <w:b/>
          <w:kern w:val="0"/>
          <w:szCs w:val="21"/>
        </w:rPr>
        <w:t>2.合同执行中涉及采购资金和采购内容修改或者补充的，须经财政部门审批，并签书面补充协议报财政部门备案，方可作为主合同不可分割的一部分。</w:t>
      </w:r>
    </w:p>
    <w:p w14:paraId="3E5C1971">
      <w:pPr>
        <w:snapToGrid w:val="0"/>
        <w:spacing w:line="360" w:lineRule="auto"/>
        <w:ind w:left="420" w:leftChars="200"/>
        <w:rPr>
          <w:rFonts w:hint="eastAsia" w:ascii="宋体" w:hAnsi="宋体"/>
          <w:b/>
          <w:kern w:val="0"/>
          <w:szCs w:val="21"/>
        </w:rPr>
      </w:pPr>
      <w:r>
        <w:rPr>
          <w:rFonts w:hint="eastAsia" w:ascii="宋体" w:hAnsi="宋体"/>
          <w:b/>
          <w:kern w:val="0"/>
          <w:szCs w:val="21"/>
        </w:rPr>
        <w:t>3.本合同未尽事宜，遵照《合同法》有关条文执行。</w:t>
      </w:r>
    </w:p>
    <w:p w14:paraId="16668045">
      <w:pPr>
        <w:snapToGrid w:val="0"/>
        <w:spacing w:line="360" w:lineRule="auto"/>
        <w:ind w:firstLine="422" w:firstLineChars="200"/>
        <w:rPr>
          <w:rFonts w:hint="eastAsia" w:ascii="宋体" w:hAnsi="宋体"/>
          <w:b/>
          <w:szCs w:val="21"/>
        </w:rPr>
      </w:pPr>
      <w:r>
        <w:rPr>
          <w:rFonts w:hint="eastAsia" w:ascii="宋体" w:hAnsi="宋体"/>
          <w:b/>
          <w:szCs w:val="21"/>
        </w:rPr>
        <w:t>第十八条　合同的变更、终止与转让</w:t>
      </w:r>
    </w:p>
    <w:p w14:paraId="402157FC">
      <w:pPr>
        <w:snapToGrid w:val="0"/>
        <w:spacing w:line="360" w:lineRule="auto"/>
        <w:ind w:firstLine="420" w:firstLineChars="200"/>
        <w:rPr>
          <w:rFonts w:hint="eastAsia" w:ascii="宋体" w:hAnsi="宋体"/>
          <w:szCs w:val="21"/>
        </w:rPr>
      </w:pPr>
      <w:r>
        <w:rPr>
          <w:rFonts w:hint="eastAsia" w:ascii="宋体" w:hAnsi="宋体"/>
          <w:szCs w:val="21"/>
        </w:rPr>
        <w:t>1. 除《中华人民共和国招标投标法》第五十条规定的情形外，本合同一经签订，甲乙双方不得擅自变更、中止或者终止。</w:t>
      </w:r>
    </w:p>
    <w:p w14:paraId="56869581">
      <w:pPr>
        <w:snapToGrid w:val="0"/>
        <w:spacing w:line="360" w:lineRule="auto"/>
        <w:ind w:left="-61" w:firstLine="514"/>
        <w:rPr>
          <w:rFonts w:hint="eastAsia" w:ascii="宋体" w:hAnsi="宋体"/>
          <w:szCs w:val="21"/>
        </w:rPr>
      </w:pPr>
      <w:r>
        <w:rPr>
          <w:rFonts w:hint="eastAsia" w:ascii="宋体" w:hAnsi="宋体"/>
          <w:szCs w:val="21"/>
        </w:rPr>
        <w:t>2. 乙方不得擅自转让（无进口资格的供应商委托进口货物除外）其应履行的合同义务。</w:t>
      </w:r>
    </w:p>
    <w:p w14:paraId="3892DB4F">
      <w:pPr>
        <w:snapToGrid w:val="0"/>
        <w:spacing w:line="360" w:lineRule="auto"/>
        <w:ind w:firstLine="422" w:firstLineChars="200"/>
        <w:rPr>
          <w:rFonts w:hint="eastAsia" w:ascii="宋体" w:hAnsi="宋体"/>
          <w:b/>
          <w:szCs w:val="21"/>
        </w:rPr>
      </w:pPr>
      <w:r>
        <w:rPr>
          <w:rFonts w:hint="eastAsia" w:ascii="宋体" w:hAnsi="宋体"/>
          <w:b/>
          <w:szCs w:val="21"/>
        </w:rPr>
        <w:t>第十九条　</w:t>
      </w:r>
      <w:r>
        <w:rPr>
          <w:rFonts w:hint="eastAsia" w:ascii="宋体" w:hAnsi="宋体" w:cs="微软雅黑"/>
          <w:spacing w:val="-2"/>
          <w:kern w:val="0"/>
          <w:szCs w:val="21"/>
        </w:rPr>
        <w:t>本</w:t>
      </w:r>
      <w:r>
        <w:rPr>
          <w:rFonts w:hint="eastAsia" w:ascii="宋体" w:hAnsi="宋体" w:cs="微软雅黑"/>
          <w:kern w:val="0"/>
          <w:szCs w:val="21"/>
        </w:rPr>
        <w:t>合同书</w:t>
      </w:r>
      <w:r>
        <w:rPr>
          <w:rFonts w:hint="eastAsia" w:ascii="宋体" w:hAnsi="宋体" w:cs="微软雅黑"/>
          <w:spacing w:val="-2"/>
          <w:kern w:val="0"/>
          <w:szCs w:val="21"/>
        </w:rPr>
        <w:t>与</w:t>
      </w:r>
      <w:r>
        <w:rPr>
          <w:rFonts w:hint="eastAsia" w:ascii="宋体" w:hAnsi="宋体" w:cs="微软雅黑"/>
          <w:kern w:val="0"/>
          <w:szCs w:val="21"/>
        </w:rPr>
        <w:t>下</w:t>
      </w:r>
      <w:r>
        <w:rPr>
          <w:rFonts w:hint="eastAsia" w:ascii="宋体" w:hAnsi="宋体" w:cs="微软雅黑"/>
          <w:spacing w:val="-2"/>
          <w:kern w:val="0"/>
          <w:szCs w:val="21"/>
        </w:rPr>
        <w:t>列</w:t>
      </w:r>
      <w:r>
        <w:rPr>
          <w:rFonts w:hint="eastAsia" w:ascii="宋体" w:hAnsi="宋体" w:cs="微软雅黑"/>
          <w:kern w:val="0"/>
          <w:szCs w:val="21"/>
        </w:rPr>
        <w:t>文</w:t>
      </w:r>
      <w:r>
        <w:rPr>
          <w:rFonts w:hint="eastAsia" w:ascii="宋体" w:hAnsi="宋体" w:cs="微软雅黑"/>
          <w:spacing w:val="-2"/>
          <w:kern w:val="0"/>
          <w:szCs w:val="21"/>
        </w:rPr>
        <w:t>件一</w:t>
      </w:r>
      <w:r>
        <w:rPr>
          <w:rFonts w:hint="eastAsia" w:ascii="宋体" w:hAnsi="宋体" w:cs="微软雅黑"/>
          <w:kern w:val="0"/>
          <w:szCs w:val="21"/>
        </w:rPr>
        <w:t>起构</w:t>
      </w:r>
      <w:r>
        <w:rPr>
          <w:rFonts w:hint="eastAsia" w:ascii="宋体" w:hAnsi="宋体" w:cs="微软雅黑"/>
          <w:spacing w:val="-2"/>
          <w:kern w:val="0"/>
          <w:szCs w:val="21"/>
        </w:rPr>
        <w:t>成</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文</w:t>
      </w:r>
      <w:r>
        <w:rPr>
          <w:rFonts w:hint="eastAsia" w:ascii="宋体" w:hAnsi="宋体" w:cs="微软雅黑"/>
          <w:spacing w:val="-2"/>
          <w:kern w:val="0"/>
          <w:szCs w:val="21"/>
        </w:rPr>
        <w:t>件</w:t>
      </w:r>
    </w:p>
    <w:p w14:paraId="400F5E4A">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szCs w:val="21"/>
        </w:rPr>
        <w:t>成交通知书</w:t>
      </w:r>
      <w:r>
        <w:rPr>
          <w:rFonts w:hint="eastAsia" w:ascii="宋体" w:hAnsi="宋体" w:cs="宋体"/>
          <w:szCs w:val="21"/>
        </w:rPr>
        <w:t>；</w:t>
      </w:r>
    </w:p>
    <w:p w14:paraId="7A1D394A">
      <w:pPr>
        <w:spacing w:line="360" w:lineRule="auto"/>
        <w:ind w:firstLine="420" w:firstLineChars="200"/>
        <w:rPr>
          <w:rFonts w:hint="eastAsia" w:ascii="宋体" w:hAnsi="宋体" w:cs="宋体"/>
          <w:szCs w:val="21"/>
        </w:rPr>
      </w:pPr>
      <w:r>
        <w:rPr>
          <w:rFonts w:hint="eastAsia" w:ascii="宋体" w:hAnsi="宋体" w:cs="宋体"/>
          <w:szCs w:val="21"/>
        </w:rPr>
        <w:t>2、竞标报价表；</w:t>
      </w:r>
    </w:p>
    <w:p w14:paraId="71485586">
      <w:pPr>
        <w:spacing w:line="360" w:lineRule="auto"/>
        <w:ind w:firstLine="420" w:firstLineChars="200"/>
        <w:rPr>
          <w:rFonts w:ascii="宋体" w:hAnsi="宋体" w:cs="宋体"/>
          <w:szCs w:val="21"/>
        </w:rPr>
      </w:pPr>
      <w:r>
        <w:rPr>
          <w:rFonts w:hint="eastAsia" w:ascii="宋体" w:hAnsi="宋体" w:cs="宋体"/>
          <w:szCs w:val="21"/>
        </w:rPr>
        <w:t>3、商务条款偏离表和技术需求偏离表；</w:t>
      </w:r>
    </w:p>
    <w:p w14:paraId="0E9E67A5">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、服务方案；</w:t>
      </w:r>
    </w:p>
    <w:p w14:paraId="655475EB">
      <w:pPr>
        <w:spacing w:line="360" w:lineRule="auto"/>
        <w:ind w:firstLine="420" w:firstLineChars="200"/>
        <w:rPr>
          <w:rFonts w:ascii="宋体" w:hAnsi="宋体" w:cs="宋体"/>
          <w:szCs w:val="21"/>
        </w:rPr>
      </w:pPr>
      <w:r>
        <w:rPr>
          <w:rFonts w:hint="eastAsia" w:ascii="宋体" w:hAnsi="宋体" w:cs="宋体"/>
          <w:szCs w:val="21"/>
        </w:rPr>
        <w:t>5、响应文件中的其他相关文件。</w:t>
      </w:r>
    </w:p>
    <w:p w14:paraId="63BE550F">
      <w:pPr>
        <w:spacing w:line="360" w:lineRule="auto"/>
        <w:ind w:firstLine="420" w:firstLineChars="200"/>
        <w:rPr>
          <w:rFonts w:hint="eastAsia" w:ascii="宋体" w:hAnsi="宋体" w:cs="宋体"/>
          <w:szCs w:val="21"/>
        </w:rPr>
      </w:pPr>
      <w:r>
        <w:rPr>
          <w:rFonts w:ascii="宋体" w:hAnsi="宋体" w:cs="宋体"/>
          <w:szCs w:val="21"/>
        </w:rPr>
        <w:t>6</w:t>
      </w:r>
      <w:r>
        <w:rPr>
          <w:rFonts w:hint="eastAsia" w:ascii="宋体" w:hAnsi="宋体" w:cs="宋体"/>
          <w:szCs w:val="21"/>
        </w:rPr>
        <w:t>、上述合同文件互相补充和解释。如果合同文件之间存在矛盾或者不一致之处，以上述文件的排列顺序在先者为准。</w:t>
      </w:r>
    </w:p>
    <w:p w14:paraId="3A2402EC">
      <w:pPr>
        <w:snapToGrid w:val="0"/>
        <w:spacing w:line="360" w:lineRule="auto"/>
        <w:ind w:firstLine="422" w:firstLineChars="200"/>
        <w:rPr>
          <w:rFonts w:hint="eastAsia" w:ascii="宋体" w:hAnsi="宋体"/>
          <w:szCs w:val="21"/>
        </w:rPr>
      </w:pPr>
      <w:r>
        <w:rPr>
          <w:rFonts w:hint="eastAsia" w:ascii="宋体" w:hAnsi="宋体"/>
          <w:b/>
          <w:szCs w:val="21"/>
        </w:rPr>
        <w:t>第二十条　</w:t>
      </w:r>
      <w:r>
        <w:rPr>
          <w:rFonts w:hint="eastAsia" w:ascii="宋体" w:hAnsi="宋体"/>
          <w:szCs w:val="21"/>
        </w:rPr>
        <w:t>本合同一式四份，具有同等法律效力，财政部门（政府采购监管部门）、采购代理机构各一份，甲乙双方各一份（可根据需要另增加）。</w:t>
      </w:r>
    </w:p>
    <w:p w14:paraId="1EC63339">
      <w:pPr>
        <w:snapToGrid w:val="0"/>
        <w:spacing w:line="360" w:lineRule="auto"/>
        <w:ind w:left="-61" w:firstLine="514"/>
        <w:rPr>
          <w:rFonts w:hint="eastAsia" w:ascii="宋体" w:hAnsi="宋体"/>
          <w:szCs w:val="21"/>
        </w:rPr>
      </w:pPr>
      <w:r>
        <w:rPr>
          <w:rFonts w:hint="eastAsia" w:ascii="宋体" w:hAnsi="宋体"/>
          <w:szCs w:val="21"/>
        </w:rPr>
        <w:t>本合同甲乙双方签字盖章后生效，自签订之日起七个工作日内，甲方应当将合同副本报同级财政部门备案。</w:t>
      </w:r>
    </w:p>
    <w:p w14:paraId="76E3E56F">
      <w:pPr>
        <w:spacing w:line="360" w:lineRule="auto"/>
        <w:ind w:firstLine="420" w:firstLineChars="200"/>
        <w:rPr>
          <w:rFonts w:hint="eastAsia" w:ascii="宋体" w:hAnsi="宋体" w:cs="宋体"/>
          <w:szCs w:val="21"/>
        </w:rPr>
      </w:pPr>
      <w:r>
        <w:rPr>
          <w:rFonts w:hint="eastAsia" w:ascii="宋体" w:hAnsi="宋体" w:cs="宋体"/>
          <w:szCs w:val="21"/>
        </w:rPr>
        <w:t>本合同自签订之日起2个工作日内，甲方应当将采购合同在广西壮族自治区财政厅指定的媒体上公告。</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033D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14:paraId="183F1210">
            <w:pPr>
              <w:snapToGrid w:val="0"/>
              <w:spacing w:line="360" w:lineRule="auto"/>
              <w:rPr>
                <w:rFonts w:hint="eastAsia" w:ascii="宋体" w:hAnsi="宋体"/>
                <w:szCs w:val="21"/>
              </w:rPr>
            </w:pPr>
            <w:r>
              <w:rPr>
                <w:rFonts w:hint="eastAsia" w:ascii="宋体" w:hAnsi="宋体"/>
                <w:szCs w:val="21"/>
              </w:rPr>
              <w:t xml:space="preserve">甲方（章）           </w:t>
            </w:r>
          </w:p>
          <w:p w14:paraId="2F7B9EB4">
            <w:pPr>
              <w:snapToGrid w:val="0"/>
              <w:spacing w:line="360" w:lineRule="auto"/>
              <w:ind w:firstLine="945" w:firstLineChars="450"/>
              <w:jc w:val="right"/>
              <w:rPr>
                <w:rFonts w:hint="eastAsia" w:ascii="宋体" w:hAnsi="宋体"/>
                <w:szCs w:val="21"/>
              </w:rPr>
            </w:pPr>
            <w:r>
              <w:rPr>
                <w:rFonts w:hint="eastAsia" w:ascii="宋体" w:hAnsi="宋体"/>
                <w:szCs w:val="21"/>
              </w:rPr>
              <w:t>年   月   日</w:t>
            </w:r>
          </w:p>
        </w:tc>
        <w:tc>
          <w:tcPr>
            <w:tcW w:w="4517" w:type="dxa"/>
            <w:noWrap w:val="0"/>
            <w:vAlign w:val="center"/>
          </w:tcPr>
          <w:p w14:paraId="3467D8A7">
            <w:pPr>
              <w:snapToGrid w:val="0"/>
              <w:spacing w:line="360" w:lineRule="auto"/>
              <w:rPr>
                <w:rFonts w:hint="eastAsia" w:ascii="宋体" w:hAnsi="宋体"/>
                <w:szCs w:val="21"/>
              </w:rPr>
            </w:pPr>
            <w:r>
              <w:rPr>
                <w:rFonts w:hint="eastAsia" w:ascii="宋体" w:hAnsi="宋体"/>
                <w:szCs w:val="21"/>
              </w:rPr>
              <w:t xml:space="preserve">乙方（章）              </w:t>
            </w:r>
          </w:p>
          <w:p w14:paraId="3CCA5F21">
            <w:pPr>
              <w:snapToGrid w:val="0"/>
              <w:spacing w:line="360" w:lineRule="auto"/>
              <w:jc w:val="right"/>
              <w:rPr>
                <w:rFonts w:hint="eastAsia" w:ascii="宋体" w:hAnsi="宋体"/>
                <w:szCs w:val="21"/>
              </w:rPr>
            </w:pPr>
            <w:r>
              <w:rPr>
                <w:rFonts w:hint="eastAsia" w:ascii="宋体" w:hAnsi="宋体"/>
                <w:szCs w:val="21"/>
              </w:rPr>
              <w:t xml:space="preserve"> 年   月   日</w:t>
            </w:r>
          </w:p>
        </w:tc>
      </w:tr>
      <w:tr w14:paraId="104C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711A33C6">
            <w:pPr>
              <w:snapToGrid w:val="0"/>
              <w:spacing w:line="360" w:lineRule="auto"/>
              <w:rPr>
                <w:rFonts w:hint="eastAsia" w:ascii="宋体" w:hAnsi="宋体"/>
                <w:szCs w:val="21"/>
              </w:rPr>
            </w:pPr>
            <w:r>
              <w:rPr>
                <w:rFonts w:hint="eastAsia" w:ascii="宋体" w:hAnsi="宋体"/>
                <w:szCs w:val="21"/>
              </w:rPr>
              <w:t>单位地址：</w:t>
            </w:r>
          </w:p>
        </w:tc>
        <w:tc>
          <w:tcPr>
            <w:tcW w:w="4517" w:type="dxa"/>
            <w:noWrap w:val="0"/>
            <w:vAlign w:val="center"/>
          </w:tcPr>
          <w:p w14:paraId="2294581D">
            <w:pPr>
              <w:snapToGrid w:val="0"/>
              <w:spacing w:line="360" w:lineRule="auto"/>
              <w:rPr>
                <w:rFonts w:hint="eastAsia" w:ascii="宋体" w:hAnsi="宋体"/>
                <w:szCs w:val="21"/>
              </w:rPr>
            </w:pPr>
            <w:r>
              <w:rPr>
                <w:rFonts w:hint="eastAsia" w:ascii="宋体" w:hAnsi="宋体"/>
                <w:szCs w:val="21"/>
              </w:rPr>
              <w:t>单位地址：</w:t>
            </w:r>
          </w:p>
        </w:tc>
      </w:tr>
      <w:tr w14:paraId="6EAA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noWrap w:val="0"/>
            <w:vAlign w:val="top"/>
          </w:tcPr>
          <w:p w14:paraId="01893360">
            <w:pPr>
              <w:snapToGrid w:val="0"/>
              <w:spacing w:line="360" w:lineRule="auto"/>
              <w:rPr>
                <w:rFonts w:hint="eastAsia" w:ascii="宋体" w:hAnsi="宋体"/>
                <w:szCs w:val="21"/>
              </w:rPr>
            </w:pPr>
            <w:r>
              <w:rPr>
                <w:rFonts w:hint="eastAsia" w:ascii="宋体" w:hAnsi="宋体"/>
                <w:szCs w:val="21"/>
              </w:rPr>
              <w:t>法定代表人或者委托代理人：</w:t>
            </w:r>
          </w:p>
        </w:tc>
        <w:tc>
          <w:tcPr>
            <w:tcW w:w="4517" w:type="dxa"/>
            <w:noWrap w:val="0"/>
            <w:vAlign w:val="top"/>
          </w:tcPr>
          <w:p w14:paraId="53E76B4E">
            <w:pPr>
              <w:snapToGrid w:val="0"/>
              <w:spacing w:line="360" w:lineRule="auto"/>
              <w:rPr>
                <w:rFonts w:hint="eastAsia" w:ascii="宋体" w:hAnsi="宋体"/>
                <w:szCs w:val="21"/>
              </w:rPr>
            </w:pPr>
            <w:r>
              <w:rPr>
                <w:rFonts w:hint="eastAsia" w:ascii="宋体" w:hAnsi="宋体"/>
                <w:szCs w:val="21"/>
              </w:rPr>
              <w:t>法定代表人或者委托代理人：</w:t>
            </w:r>
          </w:p>
        </w:tc>
      </w:tr>
      <w:tr w14:paraId="0C17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16AB4EDB">
            <w:pPr>
              <w:snapToGrid w:val="0"/>
              <w:spacing w:line="360" w:lineRule="auto"/>
              <w:rPr>
                <w:rFonts w:hint="eastAsia" w:ascii="宋体" w:hAnsi="宋体"/>
                <w:szCs w:val="21"/>
              </w:rPr>
            </w:pPr>
            <w:r>
              <w:rPr>
                <w:rFonts w:hint="eastAsia" w:ascii="宋体" w:hAnsi="宋体"/>
                <w:szCs w:val="21"/>
              </w:rPr>
              <w:t>电话：</w:t>
            </w:r>
          </w:p>
        </w:tc>
        <w:tc>
          <w:tcPr>
            <w:tcW w:w="4517" w:type="dxa"/>
            <w:noWrap w:val="0"/>
            <w:vAlign w:val="center"/>
          </w:tcPr>
          <w:p w14:paraId="2AE8B6F5">
            <w:pPr>
              <w:snapToGrid w:val="0"/>
              <w:spacing w:line="360" w:lineRule="auto"/>
              <w:rPr>
                <w:rFonts w:hint="eastAsia" w:ascii="宋体" w:hAnsi="宋体"/>
                <w:szCs w:val="21"/>
              </w:rPr>
            </w:pPr>
            <w:r>
              <w:rPr>
                <w:rFonts w:hint="eastAsia" w:ascii="宋体" w:hAnsi="宋体"/>
                <w:szCs w:val="21"/>
              </w:rPr>
              <w:t>电话：</w:t>
            </w:r>
          </w:p>
        </w:tc>
      </w:tr>
      <w:tr w14:paraId="068D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180667D6">
            <w:pPr>
              <w:snapToGrid w:val="0"/>
              <w:spacing w:line="360" w:lineRule="auto"/>
              <w:rPr>
                <w:rFonts w:hint="eastAsia" w:ascii="宋体" w:hAnsi="宋体"/>
                <w:szCs w:val="21"/>
              </w:rPr>
            </w:pPr>
            <w:r>
              <w:rPr>
                <w:rFonts w:hint="eastAsia" w:ascii="宋体" w:hAnsi="宋体"/>
                <w:szCs w:val="21"/>
              </w:rPr>
              <w:t>电子邮箱：</w:t>
            </w:r>
          </w:p>
        </w:tc>
        <w:tc>
          <w:tcPr>
            <w:tcW w:w="4517" w:type="dxa"/>
            <w:noWrap w:val="0"/>
            <w:vAlign w:val="center"/>
          </w:tcPr>
          <w:p w14:paraId="0D73A61F">
            <w:pPr>
              <w:snapToGrid w:val="0"/>
              <w:spacing w:line="360" w:lineRule="auto"/>
              <w:rPr>
                <w:rFonts w:hint="eastAsia" w:ascii="宋体" w:hAnsi="宋体"/>
                <w:szCs w:val="21"/>
              </w:rPr>
            </w:pPr>
            <w:r>
              <w:rPr>
                <w:rFonts w:hint="eastAsia" w:ascii="宋体" w:hAnsi="宋体"/>
                <w:szCs w:val="21"/>
              </w:rPr>
              <w:t>电子邮箱：</w:t>
            </w:r>
          </w:p>
        </w:tc>
      </w:tr>
      <w:tr w14:paraId="36B9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14:paraId="575155B4">
            <w:pPr>
              <w:snapToGrid w:val="0"/>
              <w:spacing w:line="360" w:lineRule="auto"/>
              <w:rPr>
                <w:rFonts w:hint="eastAsia" w:ascii="宋体" w:hAnsi="宋体"/>
                <w:szCs w:val="21"/>
              </w:rPr>
            </w:pPr>
            <w:r>
              <w:rPr>
                <w:rFonts w:hint="eastAsia" w:ascii="宋体" w:hAnsi="宋体"/>
                <w:szCs w:val="21"/>
              </w:rPr>
              <w:t>开户银行：</w:t>
            </w:r>
          </w:p>
        </w:tc>
        <w:tc>
          <w:tcPr>
            <w:tcW w:w="4517" w:type="dxa"/>
            <w:noWrap w:val="0"/>
            <w:vAlign w:val="center"/>
          </w:tcPr>
          <w:p w14:paraId="23D1DF53">
            <w:pPr>
              <w:snapToGrid w:val="0"/>
              <w:spacing w:line="360" w:lineRule="auto"/>
              <w:rPr>
                <w:rFonts w:hint="eastAsia" w:ascii="宋体" w:hAnsi="宋体"/>
                <w:szCs w:val="21"/>
              </w:rPr>
            </w:pPr>
            <w:r>
              <w:rPr>
                <w:rFonts w:hint="eastAsia" w:ascii="宋体" w:hAnsi="宋体"/>
                <w:szCs w:val="21"/>
              </w:rPr>
              <w:t>开户银行：</w:t>
            </w:r>
          </w:p>
        </w:tc>
      </w:tr>
      <w:tr w14:paraId="7A00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58ED18B4">
            <w:pPr>
              <w:snapToGrid w:val="0"/>
              <w:spacing w:line="360" w:lineRule="auto"/>
              <w:rPr>
                <w:rFonts w:hint="eastAsia" w:ascii="宋体" w:hAnsi="宋体"/>
                <w:szCs w:val="21"/>
              </w:rPr>
            </w:pPr>
            <w:r>
              <w:rPr>
                <w:rFonts w:hint="eastAsia" w:ascii="宋体" w:hAnsi="宋体"/>
                <w:szCs w:val="21"/>
              </w:rPr>
              <w:t>账号：</w:t>
            </w:r>
          </w:p>
        </w:tc>
        <w:tc>
          <w:tcPr>
            <w:tcW w:w="4517" w:type="dxa"/>
            <w:noWrap w:val="0"/>
            <w:vAlign w:val="center"/>
          </w:tcPr>
          <w:p w14:paraId="1A42924A">
            <w:pPr>
              <w:snapToGrid w:val="0"/>
              <w:spacing w:line="360" w:lineRule="auto"/>
              <w:rPr>
                <w:rFonts w:hint="eastAsia" w:ascii="宋体" w:hAnsi="宋体"/>
                <w:szCs w:val="21"/>
              </w:rPr>
            </w:pPr>
            <w:r>
              <w:rPr>
                <w:rFonts w:hint="eastAsia" w:ascii="宋体" w:hAnsi="宋体"/>
                <w:szCs w:val="21"/>
              </w:rPr>
              <w:t>账号：</w:t>
            </w:r>
          </w:p>
        </w:tc>
      </w:tr>
      <w:tr w14:paraId="0BD1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747DFEFC">
            <w:pPr>
              <w:snapToGrid w:val="0"/>
              <w:spacing w:line="360" w:lineRule="auto"/>
              <w:rPr>
                <w:rFonts w:hint="eastAsia" w:ascii="宋体" w:hAnsi="宋体"/>
                <w:szCs w:val="21"/>
              </w:rPr>
            </w:pPr>
            <w:r>
              <w:rPr>
                <w:rFonts w:hint="eastAsia" w:ascii="宋体" w:hAnsi="宋体"/>
                <w:szCs w:val="21"/>
              </w:rPr>
              <w:t>邮政编码：</w:t>
            </w:r>
          </w:p>
        </w:tc>
        <w:tc>
          <w:tcPr>
            <w:tcW w:w="4517" w:type="dxa"/>
            <w:noWrap w:val="0"/>
            <w:vAlign w:val="center"/>
          </w:tcPr>
          <w:p w14:paraId="36FA5502">
            <w:pPr>
              <w:snapToGrid w:val="0"/>
              <w:spacing w:line="360" w:lineRule="auto"/>
              <w:rPr>
                <w:rFonts w:hint="eastAsia" w:ascii="宋体" w:hAnsi="宋体"/>
                <w:szCs w:val="21"/>
              </w:rPr>
            </w:pPr>
            <w:r>
              <w:rPr>
                <w:rFonts w:hint="eastAsia" w:ascii="宋体" w:hAnsi="宋体"/>
                <w:szCs w:val="21"/>
              </w:rPr>
              <w:t>邮政编码：</w:t>
            </w:r>
          </w:p>
        </w:tc>
      </w:tr>
    </w:tbl>
    <w:p w14:paraId="294CCE2E">
      <w:pPr>
        <w:rPr>
          <w:rFonts w:hint="eastAsia" w:ascii="宋体" w:hAnsi="宋体" w:cs="宋体"/>
          <w:b/>
          <w:bCs/>
          <w:szCs w:val="21"/>
        </w:rPr>
      </w:pPr>
      <w:r>
        <w:rPr>
          <w:b/>
          <w:bCs/>
        </w:rPr>
        <w:br w:type="page"/>
      </w:r>
      <w:r>
        <w:rPr>
          <w:rFonts w:hint="eastAsia" w:ascii="宋体" w:hAnsi="宋体" w:cs="宋体"/>
          <w:b/>
          <w:bCs/>
          <w:szCs w:val="21"/>
        </w:rPr>
        <w:t>附件一</w:t>
      </w:r>
    </w:p>
    <w:p w14:paraId="3B0A64E7">
      <w:pPr>
        <w:jc w:val="center"/>
        <w:rPr>
          <w:rFonts w:hint="eastAsia" w:ascii="宋体" w:hAnsi="宋体" w:cs="宋体"/>
          <w:b/>
          <w:bCs/>
          <w:szCs w:val="21"/>
        </w:rPr>
      </w:pPr>
      <w:r>
        <w:rPr>
          <w:rFonts w:hint="eastAsia" w:ascii="宋体" w:hAnsi="宋体" w:cs="宋体"/>
          <w:b/>
          <w:bCs/>
          <w:szCs w:val="21"/>
        </w:rPr>
        <w:t>广西壮族自治区医疗卫生机构购销廉洁协议</w:t>
      </w:r>
    </w:p>
    <w:p w14:paraId="7C274F45">
      <w:pPr>
        <w:spacing w:line="560" w:lineRule="exact"/>
        <w:ind w:firstLine="540"/>
        <w:rPr>
          <w:rFonts w:hint="eastAsia" w:ascii="宋体" w:hAnsi="宋体" w:cs="宋体"/>
          <w:szCs w:val="21"/>
        </w:rPr>
      </w:pPr>
      <w:r>
        <w:rPr>
          <w:rFonts w:hint="eastAsia" w:ascii="宋体" w:hAnsi="宋体" w:cs="宋体"/>
          <w:szCs w:val="21"/>
        </w:rPr>
        <w:t>甲方：广西壮族自治区桂东人民医院</w:t>
      </w:r>
    </w:p>
    <w:p w14:paraId="76A37951">
      <w:pPr>
        <w:spacing w:line="560" w:lineRule="exact"/>
        <w:ind w:firstLine="540"/>
        <w:rPr>
          <w:rFonts w:hint="eastAsia" w:ascii="宋体" w:hAnsi="宋体" w:cs="宋体"/>
          <w:szCs w:val="21"/>
        </w:rPr>
      </w:pPr>
      <w:r>
        <w:rPr>
          <w:rFonts w:hint="eastAsia" w:ascii="宋体" w:hAnsi="宋体" w:cs="宋体"/>
          <w:szCs w:val="21"/>
        </w:rPr>
        <w:t>乙方：</w:t>
      </w:r>
    </w:p>
    <w:p w14:paraId="4F117F21">
      <w:pPr>
        <w:spacing w:line="560" w:lineRule="exact"/>
        <w:ind w:firstLine="540"/>
        <w:rPr>
          <w:rFonts w:hint="eastAsia" w:ascii="宋体" w:hAnsi="宋体" w:cs="宋体"/>
          <w:szCs w:val="21"/>
        </w:rPr>
      </w:pPr>
      <w:r>
        <w:rPr>
          <w:rFonts w:hint="eastAsia" w:ascii="宋体" w:hAnsi="宋体" w:cs="宋体"/>
          <w:szCs w:val="21"/>
        </w:rPr>
        <w:t>为进一步加强医疗卫生行风建设，规范医疗卫生机构购销行为，有效防范商业贿赂行为，营造公平交易、诚实守信的购销环境，经甲、乙双方协商，同意签订本协议，并共同遵守：</w:t>
      </w:r>
    </w:p>
    <w:p w14:paraId="57D3B7EB">
      <w:pPr>
        <w:spacing w:line="560" w:lineRule="exact"/>
        <w:ind w:firstLine="540"/>
        <w:rPr>
          <w:rFonts w:hint="eastAsia" w:ascii="宋体" w:hAnsi="宋体" w:cs="宋体"/>
          <w:szCs w:val="21"/>
        </w:rPr>
      </w:pPr>
      <w:r>
        <w:rPr>
          <w:rFonts w:hint="eastAsia" w:ascii="宋体" w:hAnsi="宋体" w:cs="宋体"/>
          <w:szCs w:val="21"/>
        </w:rPr>
        <w:t>一、甲乙双方按照《中华人民共和国民法典》及购销合同约定购销医药产品、其他物资及服务类项目、基建工程等。</w:t>
      </w:r>
    </w:p>
    <w:p w14:paraId="1897B753">
      <w:pPr>
        <w:spacing w:line="560" w:lineRule="exact"/>
        <w:ind w:firstLine="540"/>
        <w:rPr>
          <w:rFonts w:hint="eastAsia" w:ascii="宋体" w:hAnsi="宋体" w:cs="宋体"/>
          <w:szCs w:val="21"/>
        </w:rPr>
      </w:pPr>
      <w:r>
        <w:rPr>
          <w:rFonts w:hint="eastAsia" w:ascii="宋体" w:hAnsi="宋体" w:cs="宋体"/>
          <w:szCs w:val="21"/>
        </w:rPr>
        <w:t>二、甲方应当严格执行医药产品、物资购销合同验收、入库制度，对采购产品及发票进行查验，不得违反有关规定合同外采购、违价采购或从非规定渠道采购。</w:t>
      </w:r>
    </w:p>
    <w:p w14:paraId="31562233">
      <w:pPr>
        <w:spacing w:line="560" w:lineRule="exact"/>
        <w:ind w:firstLine="540"/>
        <w:rPr>
          <w:rFonts w:hint="eastAsia" w:ascii="宋体" w:hAnsi="宋体" w:cs="宋体"/>
          <w:szCs w:val="21"/>
        </w:rPr>
      </w:pPr>
      <w:r>
        <w:rPr>
          <w:rFonts w:hint="eastAsia" w:ascii="宋体" w:hAnsi="宋体" w:cs="宋体"/>
          <w:szCs w:val="21"/>
        </w:rPr>
        <w:t>三、甲方严禁接受乙方以任何名义、形式给予的回扣，不得将接受捐赠资助与采购挂钩。甲方工作人员不得参加乙方安排并支付费用的营业性娱乐场所的娱乐活动，不得以任何形式向乙方索要和收受现金、有价证券、支付凭证和贵重礼品等。被迫接受乙方给予的钱物，应予退还，无法退还的，应如实向有关纪检监察部门反映并上缴廉政账户。</w:t>
      </w:r>
    </w:p>
    <w:p w14:paraId="002016C8">
      <w:pPr>
        <w:spacing w:line="560" w:lineRule="exact"/>
        <w:ind w:firstLine="540"/>
        <w:rPr>
          <w:rFonts w:hint="eastAsia" w:ascii="宋体" w:hAnsi="宋体" w:cs="宋体"/>
          <w:szCs w:val="21"/>
        </w:rPr>
      </w:pPr>
      <w:r>
        <w:rPr>
          <w:rFonts w:hint="eastAsia" w:ascii="宋体" w:hAnsi="宋体" w:cs="宋体"/>
          <w:szCs w:val="21"/>
        </w:rPr>
        <w:t>四、严禁甲方工作人员利用任何途径和方式，为乙方统计医师个人及临床科室有关医药产品用量信息，或为乙方统计提供便利。</w:t>
      </w:r>
    </w:p>
    <w:p w14:paraId="22D83116">
      <w:pPr>
        <w:spacing w:line="560" w:lineRule="exact"/>
        <w:ind w:firstLine="540"/>
        <w:rPr>
          <w:rFonts w:hint="eastAsia" w:ascii="宋体" w:hAnsi="宋体" w:cs="宋体"/>
          <w:szCs w:val="21"/>
        </w:rPr>
      </w:pPr>
      <w:r>
        <w:rPr>
          <w:rFonts w:hint="eastAsia" w:ascii="宋体" w:hAnsi="宋体" w:cs="宋体"/>
          <w:szCs w:val="21"/>
        </w:rPr>
        <w:t>五、乙方不得以回扣、宴请等方式影响甲方工作人员招标、采购或使用医药产品、其他物资及服务类项目、基建工程等的选择权，不得在学术活动或其他活动中提供旅游、超标准支付食宿费用。</w:t>
      </w:r>
    </w:p>
    <w:p w14:paraId="08EF9764">
      <w:pPr>
        <w:spacing w:line="560" w:lineRule="exact"/>
        <w:ind w:firstLine="540"/>
        <w:rPr>
          <w:rFonts w:hint="eastAsia" w:ascii="宋体" w:hAnsi="宋体" w:cs="宋体"/>
          <w:szCs w:val="21"/>
        </w:rPr>
      </w:pPr>
      <w:r>
        <w:rPr>
          <w:rFonts w:hint="eastAsia" w:ascii="宋体" w:hAnsi="宋体" w:cs="宋体"/>
          <w:szCs w:val="21"/>
        </w:rPr>
        <w:t>六、乙方指定：姓名身份证号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600A444D">
      <w:pPr>
        <w:spacing w:line="560" w:lineRule="exact"/>
        <w:ind w:firstLine="540"/>
        <w:rPr>
          <w:rFonts w:hint="eastAsia" w:ascii="宋体" w:hAnsi="宋体" w:cs="宋体"/>
          <w:szCs w:val="21"/>
        </w:rPr>
      </w:pPr>
      <w:r>
        <w:rPr>
          <w:rFonts w:hint="eastAsia" w:ascii="宋体" w:hAnsi="宋体" w:cs="宋体"/>
          <w:szCs w:val="21"/>
        </w:rPr>
        <w:t>七、乙方如违反本协议，一经发现，甲方有权终止购销合同，并向有关卫生行政部门报告。如乙方被列入商业贿赂不良记录，则严格按照《国家卫生计生委关于建立医药购销领域商业贿赂不良记录的规定》（国卫法制发〔2013〕50 号）《广西壮族自治区医药购销领域商业贿赂不良记录实施办法》（桂卫药政发〔2014〕2 号）相关规定处理。</w:t>
      </w:r>
    </w:p>
    <w:p w14:paraId="39C7F41E">
      <w:pPr>
        <w:spacing w:line="560" w:lineRule="exact"/>
        <w:ind w:firstLine="540"/>
        <w:rPr>
          <w:rFonts w:hint="eastAsia" w:ascii="宋体" w:hAnsi="宋体" w:cs="宋体"/>
          <w:szCs w:val="21"/>
        </w:rPr>
      </w:pPr>
      <w:r>
        <w:rPr>
          <w:rFonts w:hint="eastAsia" w:ascii="宋体" w:hAnsi="宋体" w:cs="宋体"/>
          <w:szCs w:val="21"/>
        </w:rPr>
        <w:t>八、本协议作为购销合同的重要组成部分，与购销合同一并执行，具有同等的法律效力。</w:t>
      </w:r>
    </w:p>
    <w:p w14:paraId="1A7DD4EF">
      <w:pPr>
        <w:spacing w:line="560" w:lineRule="exact"/>
        <w:ind w:firstLine="540"/>
        <w:rPr>
          <w:rFonts w:hint="eastAsia" w:ascii="宋体" w:hAnsi="宋体" w:cs="宋体"/>
          <w:szCs w:val="21"/>
        </w:rPr>
      </w:pPr>
      <w:r>
        <w:rPr>
          <w:rFonts w:hint="eastAsia" w:ascii="宋体" w:hAnsi="宋体" w:cs="宋体"/>
          <w:szCs w:val="21"/>
        </w:rPr>
        <w:t>九、本协议一式三份，甲、乙双方各执一份，甲方纪检监察部门执一份，并从签订之日起生效。</w:t>
      </w:r>
    </w:p>
    <w:p w14:paraId="32C77FFD">
      <w:pPr>
        <w:spacing w:line="560" w:lineRule="exact"/>
        <w:ind w:firstLine="540"/>
        <w:rPr>
          <w:rFonts w:hint="eastAsia" w:ascii="宋体" w:hAnsi="宋体" w:cs="宋体"/>
          <w:szCs w:val="21"/>
        </w:rPr>
      </w:pPr>
      <w:r>
        <w:rPr>
          <w:rFonts w:hint="eastAsia" w:ascii="宋体" w:hAnsi="宋体" w:cs="宋体"/>
          <w:szCs w:val="21"/>
        </w:rPr>
        <w:t xml:space="preserve">甲方（盖章）： </w:t>
      </w:r>
      <w:r>
        <w:rPr>
          <w:rFonts w:ascii="宋体" w:hAnsi="宋体" w:cs="宋体"/>
          <w:szCs w:val="21"/>
        </w:rPr>
        <w:t xml:space="preserve">                                    </w:t>
      </w:r>
      <w:r>
        <w:rPr>
          <w:rFonts w:hint="eastAsia" w:ascii="宋体" w:hAnsi="宋体" w:cs="宋体"/>
          <w:szCs w:val="21"/>
        </w:rPr>
        <w:t>乙方（盖章）：</w:t>
      </w:r>
    </w:p>
    <w:p w14:paraId="625B6BC8">
      <w:pPr>
        <w:spacing w:line="560" w:lineRule="exact"/>
        <w:ind w:firstLine="540"/>
        <w:rPr>
          <w:rFonts w:hint="eastAsia" w:ascii="宋体" w:hAnsi="宋体" w:cs="宋体"/>
          <w:szCs w:val="21"/>
        </w:rPr>
      </w:pPr>
      <w:r>
        <w:rPr>
          <w:rFonts w:hint="eastAsia" w:ascii="宋体" w:hAnsi="宋体" w:cs="宋体"/>
          <w:szCs w:val="21"/>
        </w:rPr>
        <w:t xml:space="preserve">法定代表人（负责人）： </w:t>
      </w:r>
      <w:r>
        <w:rPr>
          <w:rFonts w:ascii="宋体" w:hAnsi="宋体" w:cs="宋体"/>
          <w:szCs w:val="21"/>
        </w:rPr>
        <w:t xml:space="preserve">                           </w:t>
      </w:r>
      <w:r>
        <w:rPr>
          <w:rFonts w:hint="eastAsia" w:ascii="宋体" w:hAnsi="宋体" w:cs="宋体"/>
          <w:szCs w:val="21"/>
        </w:rPr>
        <w:t xml:space="preserve"> 法定代表人（负责人）：</w:t>
      </w:r>
    </w:p>
    <w:p w14:paraId="1861CF68">
      <w:pPr>
        <w:spacing w:line="560" w:lineRule="exact"/>
        <w:ind w:firstLine="540"/>
        <w:rPr>
          <w:rFonts w:hint="eastAsia" w:ascii="宋体" w:hAnsi="宋体" w:cs="宋体"/>
          <w:szCs w:val="21"/>
        </w:rPr>
      </w:pPr>
      <w:r>
        <w:rPr>
          <w:rFonts w:hint="eastAsia" w:ascii="宋体" w:hAnsi="宋体" w:cs="宋体"/>
          <w:szCs w:val="21"/>
        </w:rPr>
        <w:t xml:space="preserve">经办人签名： </w:t>
      </w:r>
      <w:r>
        <w:rPr>
          <w:rFonts w:ascii="宋体" w:hAnsi="宋体" w:cs="宋体"/>
          <w:szCs w:val="21"/>
        </w:rPr>
        <w:t xml:space="preserve">                                      </w:t>
      </w:r>
      <w:r>
        <w:rPr>
          <w:rFonts w:hint="eastAsia" w:ascii="宋体" w:hAnsi="宋体" w:cs="宋体"/>
          <w:szCs w:val="21"/>
        </w:rPr>
        <w:t>经办人签名：</w:t>
      </w:r>
    </w:p>
    <w:p w14:paraId="58FFD1AD">
      <w:pPr>
        <w:spacing w:line="560" w:lineRule="exact"/>
        <w:ind w:firstLine="420" w:firstLineChars="200"/>
        <w:rPr>
          <w:rFonts w:hint="eastAsia" w:ascii="宋体" w:hAnsi="宋体" w:cs="宋体"/>
          <w:szCs w:val="21"/>
        </w:rPr>
      </w:pPr>
      <w:r>
        <w:rPr>
          <w:rFonts w:hint="eastAsia" w:ascii="宋体" w:hAnsi="宋体" w:cs="宋体"/>
          <w:szCs w:val="21"/>
        </w:rPr>
        <w:t xml:space="preserve">年 </w:t>
      </w:r>
      <w:r>
        <w:rPr>
          <w:rFonts w:ascii="宋体" w:hAnsi="宋体" w:cs="宋体"/>
          <w:szCs w:val="21"/>
        </w:rPr>
        <w:t xml:space="preserve">  </w:t>
      </w:r>
      <w:r>
        <w:rPr>
          <w:rFonts w:hint="eastAsia" w:ascii="宋体" w:hAnsi="宋体" w:cs="宋体"/>
          <w:szCs w:val="21"/>
        </w:rPr>
        <w:t xml:space="preserve">月 </w:t>
      </w:r>
      <w:r>
        <w:rPr>
          <w:rFonts w:ascii="宋体" w:hAnsi="宋体" w:cs="宋体"/>
          <w:szCs w:val="21"/>
        </w:rPr>
        <w:t xml:space="preserve">  </w:t>
      </w:r>
      <w:r>
        <w:rPr>
          <w:rFonts w:hint="eastAsia" w:ascii="宋体" w:hAnsi="宋体" w:cs="宋体"/>
          <w:szCs w:val="21"/>
        </w:rPr>
        <w:t xml:space="preserve">日 </w:t>
      </w:r>
      <w:r>
        <w:rPr>
          <w:rFonts w:ascii="宋体" w:hAnsi="宋体" w:cs="宋体"/>
          <w:szCs w:val="21"/>
        </w:rPr>
        <w:t xml:space="preserve">                                        </w:t>
      </w:r>
      <w:r>
        <w:rPr>
          <w:rFonts w:hint="eastAsia" w:ascii="宋体" w:hAnsi="宋体" w:cs="宋体"/>
          <w:szCs w:val="21"/>
        </w:rPr>
        <w:t xml:space="preserve">年 </w:t>
      </w:r>
      <w:r>
        <w:rPr>
          <w:rFonts w:ascii="宋体" w:hAnsi="宋体" w:cs="宋体"/>
          <w:szCs w:val="21"/>
        </w:rPr>
        <w:t xml:space="preserve">  </w:t>
      </w:r>
      <w:r>
        <w:rPr>
          <w:rFonts w:hint="eastAsia" w:ascii="宋体" w:hAnsi="宋体" w:cs="宋体"/>
          <w:szCs w:val="21"/>
        </w:rPr>
        <w:t xml:space="preserve">月 </w:t>
      </w:r>
      <w:r>
        <w:rPr>
          <w:rFonts w:ascii="宋体" w:hAnsi="宋体" w:cs="宋体"/>
          <w:szCs w:val="21"/>
        </w:rPr>
        <w:t xml:space="preserve">   </w:t>
      </w:r>
      <w:r>
        <w:rPr>
          <w:rFonts w:hint="eastAsia" w:ascii="宋体" w:hAnsi="宋体" w:cs="宋体"/>
          <w:szCs w:val="21"/>
        </w:rPr>
        <w:t>日</w:t>
      </w:r>
    </w:p>
    <w:p w14:paraId="27600FF5">
      <w:pPr>
        <w:snapToGrid w:val="0"/>
        <w:spacing w:line="400" w:lineRule="exact"/>
        <w:jc w:val="center"/>
        <w:rPr>
          <w:rFonts w:ascii="宋体" w:hAnsi="宋体" w:cs="仿宋"/>
          <w:bCs/>
          <w:sz w:val="24"/>
        </w:rPr>
      </w:pPr>
    </w:p>
    <w:p w14:paraId="668598EC">
      <w:pPr>
        <w:tabs>
          <w:tab w:val="left" w:pos="3261"/>
        </w:tabs>
        <w:spacing w:line="360" w:lineRule="auto"/>
        <w:contextualSpacing/>
        <w:jc w:val="center"/>
        <w:rPr>
          <w:rFonts w:ascii="宋体" w:hAnsi="宋体" w:cs="仿宋_GB2312"/>
          <w:b/>
          <w:sz w:val="44"/>
          <w:szCs w:val="44"/>
        </w:rPr>
      </w:pPr>
    </w:p>
    <w:p w14:paraId="3754F177">
      <w:pPr>
        <w:pStyle w:val="13"/>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A43ED9"/>
    <w:rsid w:val="01CB43E2"/>
    <w:rsid w:val="02615DF0"/>
    <w:rsid w:val="03B56736"/>
    <w:rsid w:val="07E61381"/>
    <w:rsid w:val="09320D22"/>
    <w:rsid w:val="094E71DE"/>
    <w:rsid w:val="09EB1672"/>
    <w:rsid w:val="0A795D65"/>
    <w:rsid w:val="0CC05EEA"/>
    <w:rsid w:val="0DAB0B9B"/>
    <w:rsid w:val="0E1C3176"/>
    <w:rsid w:val="0E6B1369"/>
    <w:rsid w:val="0E8C22E1"/>
    <w:rsid w:val="0ECE5049"/>
    <w:rsid w:val="10C97A40"/>
    <w:rsid w:val="10EC6F96"/>
    <w:rsid w:val="111563A0"/>
    <w:rsid w:val="11AC7198"/>
    <w:rsid w:val="122B15C9"/>
    <w:rsid w:val="12713099"/>
    <w:rsid w:val="12C97D37"/>
    <w:rsid w:val="1461070D"/>
    <w:rsid w:val="157601E9"/>
    <w:rsid w:val="16596250"/>
    <w:rsid w:val="166F4544"/>
    <w:rsid w:val="17824C23"/>
    <w:rsid w:val="17BF5E77"/>
    <w:rsid w:val="188C387F"/>
    <w:rsid w:val="1B0B13D3"/>
    <w:rsid w:val="1B513EBB"/>
    <w:rsid w:val="1E622ABE"/>
    <w:rsid w:val="21B710F4"/>
    <w:rsid w:val="2218153E"/>
    <w:rsid w:val="22486A69"/>
    <w:rsid w:val="23720241"/>
    <w:rsid w:val="23CD191B"/>
    <w:rsid w:val="25773183"/>
    <w:rsid w:val="26431704"/>
    <w:rsid w:val="26CD4569"/>
    <w:rsid w:val="27167136"/>
    <w:rsid w:val="27D01D3D"/>
    <w:rsid w:val="27D34CA5"/>
    <w:rsid w:val="28110468"/>
    <w:rsid w:val="293A4A87"/>
    <w:rsid w:val="29762D59"/>
    <w:rsid w:val="2CD07D87"/>
    <w:rsid w:val="2E44559E"/>
    <w:rsid w:val="311834AF"/>
    <w:rsid w:val="318469E5"/>
    <w:rsid w:val="3194337D"/>
    <w:rsid w:val="342F5CDB"/>
    <w:rsid w:val="35D22DC1"/>
    <w:rsid w:val="364A2958"/>
    <w:rsid w:val="3737378F"/>
    <w:rsid w:val="3806606D"/>
    <w:rsid w:val="397701BE"/>
    <w:rsid w:val="3B546CEC"/>
    <w:rsid w:val="3EA21DFC"/>
    <w:rsid w:val="3F8769CB"/>
    <w:rsid w:val="41366ED0"/>
    <w:rsid w:val="426D634C"/>
    <w:rsid w:val="42734FE4"/>
    <w:rsid w:val="45961716"/>
    <w:rsid w:val="484D14FE"/>
    <w:rsid w:val="48D85C25"/>
    <w:rsid w:val="49A95790"/>
    <w:rsid w:val="4A6022F2"/>
    <w:rsid w:val="4A827A2B"/>
    <w:rsid w:val="4B364D09"/>
    <w:rsid w:val="4C1C5576"/>
    <w:rsid w:val="4C3E6663"/>
    <w:rsid w:val="4C9058C2"/>
    <w:rsid w:val="4CD9638C"/>
    <w:rsid w:val="4D1675E0"/>
    <w:rsid w:val="4D442BFB"/>
    <w:rsid w:val="4D781BD4"/>
    <w:rsid w:val="4DA009DA"/>
    <w:rsid w:val="4DA97E72"/>
    <w:rsid w:val="4DB9683E"/>
    <w:rsid w:val="4F3D41BA"/>
    <w:rsid w:val="50502E0F"/>
    <w:rsid w:val="51794369"/>
    <w:rsid w:val="51B2246F"/>
    <w:rsid w:val="539906F6"/>
    <w:rsid w:val="551B1F3B"/>
    <w:rsid w:val="55D712FC"/>
    <w:rsid w:val="57783371"/>
    <w:rsid w:val="589150FF"/>
    <w:rsid w:val="591470C9"/>
    <w:rsid w:val="5C797243"/>
    <w:rsid w:val="5D1A4465"/>
    <w:rsid w:val="5D944335"/>
    <w:rsid w:val="5DA1231D"/>
    <w:rsid w:val="5DCD43FF"/>
    <w:rsid w:val="5E761C8C"/>
    <w:rsid w:val="5ECE3876"/>
    <w:rsid w:val="5FFD63C3"/>
    <w:rsid w:val="62DE3608"/>
    <w:rsid w:val="635822A8"/>
    <w:rsid w:val="64CA4726"/>
    <w:rsid w:val="65706B30"/>
    <w:rsid w:val="67EF0C5A"/>
    <w:rsid w:val="6A513DD5"/>
    <w:rsid w:val="6BA53BB1"/>
    <w:rsid w:val="6BDF3567"/>
    <w:rsid w:val="6BF540D9"/>
    <w:rsid w:val="6CA20189"/>
    <w:rsid w:val="6DD0797D"/>
    <w:rsid w:val="6E1A0EFE"/>
    <w:rsid w:val="71754026"/>
    <w:rsid w:val="73A11102"/>
    <w:rsid w:val="74560AEE"/>
    <w:rsid w:val="74B5471E"/>
    <w:rsid w:val="77D71596"/>
    <w:rsid w:val="77E41C8F"/>
    <w:rsid w:val="77FF632E"/>
    <w:rsid w:val="797F0137"/>
    <w:rsid w:val="7A770E0E"/>
    <w:rsid w:val="7B036868"/>
    <w:rsid w:val="7B14665D"/>
    <w:rsid w:val="7CA915F3"/>
    <w:rsid w:val="7D007775"/>
    <w:rsid w:val="7D84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0"/>
    <w:pPr>
      <w:spacing w:after="120"/>
    </w:pPr>
  </w:style>
  <w:style w:type="paragraph" w:styleId="4">
    <w:name w:val="annotation text"/>
    <w:basedOn w:val="1"/>
    <w:link w:val="15"/>
    <w:qFormat/>
    <w:uiPriority w:val="99"/>
    <w:pPr>
      <w:jc w:val="left"/>
    </w:pPr>
  </w:style>
  <w:style w:type="paragraph" w:styleId="5">
    <w:name w:val="Plain Text"/>
    <w:basedOn w:val="1"/>
    <w:next w:val="1"/>
    <w:link w:val="17"/>
    <w:qFormat/>
    <w:uiPriority w:val="99"/>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99"/>
    <w:rPr>
      <w:sz w:val="21"/>
      <w:szCs w:val="21"/>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4">
    <w:name w:val="批注文字 字符"/>
    <w:basedOn w:val="11"/>
    <w:qFormat/>
    <w:uiPriority w:val="99"/>
    <w:rPr>
      <w:rFonts w:ascii="Times New Roman" w:hAnsi="Times New Roman" w:eastAsia="宋体" w:cs="Times New Roman"/>
      <w:szCs w:val="21"/>
    </w:rPr>
  </w:style>
  <w:style w:type="character" w:customStyle="1" w:styleId="15">
    <w:name w:val="批注文字 字符1"/>
    <w:link w:val="4"/>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1"/>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1"/>
    <w:link w:val="7"/>
    <w:qFormat/>
    <w:uiPriority w:val="99"/>
    <w:rPr>
      <w:rFonts w:ascii="Times New Roman" w:hAnsi="Times New Roman" w:eastAsia="宋体" w:cs="Times New Roman"/>
      <w:sz w:val="18"/>
      <w:szCs w:val="18"/>
    </w:rPr>
  </w:style>
  <w:style w:type="character" w:customStyle="1" w:styleId="21">
    <w:name w:val="页脚 字符"/>
    <w:basedOn w:val="11"/>
    <w:link w:val="6"/>
    <w:qFormat/>
    <w:uiPriority w:val="99"/>
    <w:rPr>
      <w:rFonts w:ascii="Times New Roman" w:hAnsi="Times New Roman" w:eastAsia="宋体" w:cs="Times New Roman"/>
      <w:sz w:val="18"/>
      <w:szCs w:val="18"/>
    </w:rPr>
  </w:style>
  <w:style w:type="character" w:styleId="22">
    <w:name w:val="Placeholder Text"/>
    <w:basedOn w:val="11"/>
    <w:semiHidden/>
    <w:qFormat/>
    <w:uiPriority w:val="99"/>
    <w:rPr>
      <w:color w:val="808080"/>
    </w:rPr>
  </w:style>
  <w:style w:type="paragraph" w:customStyle="1" w:styleId="23">
    <w:name w:val="样式1"/>
    <w:basedOn w:val="1"/>
    <w:qFormat/>
    <w:uiPriority w:val="0"/>
  </w:style>
  <w:style w:type="character" w:customStyle="1" w:styleId="24">
    <w:name w:val="font21"/>
    <w:qFormat/>
    <w:uiPriority w:val="0"/>
    <w:rPr>
      <w:rFonts w:hint="eastAsia" w:ascii="宋体" w:hAnsi="宋体" w:eastAsia="宋体" w:cs="宋体"/>
      <w:color w:val="000000"/>
      <w:sz w:val="20"/>
      <w:szCs w:val="20"/>
      <w:u w:val="none"/>
      <w:vertAlign w:val="subscript"/>
    </w:rPr>
  </w:style>
  <w:style w:type="character" w:customStyle="1" w:styleId="25">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6287</Words>
  <Characters>6669</Characters>
  <Lines>26</Lines>
  <Paragraphs>7</Paragraphs>
  <TotalTime>0</TotalTime>
  <ScaleCrop>false</ScaleCrop>
  <LinksUpToDate>false</LinksUpToDate>
  <CharactersWithSpaces>7275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2025-04-27T01:36:14Z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B1C8ADB6A08C49D88EF48001F8D355A1_13</vt:lpwstr>
  </property>
  <property fmtid="{D5CDD505-2E9C-101B-9397-08002B2CF9AE}" pid="4" name="KSOTemplateDocerSaveRecord">
    <vt:lpwstr>eyJoZGlkIjoiYmIzOTBlNTU2NGZiNjNmMTk2MTU3MmYyODNjZjEwOTgifQ==</vt:lpwstr>
  </property>
</Properties>
</file>