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6240B">
      <w:pPr>
        <w:pageBreakBefore w:val="0"/>
        <w:widowControl/>
        <w:kinsoku/>
        <w:wordWrap/>
        <w:overflowPunct/>
        <w:topLinePunct w:val="0"/>
        <w:bidi w:val="0"/>
        <w:ind w:left="0" w:leftChars="0"/>
        <w:jc w:val="center"/>
        <w:rPr>
          <w:kern w:val="0"/>
          <w:sz w:val="28"/>
          <w:szCs w:val="28"/>
        </w:rPr>
      </w:pPr>
      <w:r>
        <w:rPr>
          <w:rFonts w:hint="eastAsia" w:cs="宋体"/>
          <w:b/>
          <w:bCs/>
          <w:kern w:val="0"/>
          <w:sz w:val="38"/>
          <w:szCs w:val="38"/>
        </w:rPr>
        <w:t>第三章项目需求和质量标准</w:t>
      </w:r>
    </w:p>
    <w:p w14:paraId="191A7807">
      <w:pPr>
        <w:pStyle w:val="13"/>
        <w:pageBreakBefore w:val="0"/>
        <w:kinsoku/>
        <w:wordWrap/>
        <w:overflowPunct/>
        <w:topLinePunct w:val="0"/>
        <w:bidi w:val="0"/>
        <w:ind w:left="0" w:leftChars="0"/>
        <w:rPr>
          <w:rFonts w:cs="宋体"/>
          <w:b/>
          <w:bCs/>
          <w:sz w:val="28"/>
          <w:szCs w:val="28"/>
        </w:rPr>
      </w:pPr>
      <w:r>
        <w:rPr>
          <w:rFonts w:hint="eastAsia" w:cs="宋体"/>
          <w:b/>
          <w:bCs/>
          <w:sz w:val="28"/>
          <w:szCs w:val="28"/>
        </w:rPr>
        <w:t>一、采购清单、技术规格参数、质量标准和要求</w:t>
      </w:r>
    </w:p>
    <w:p w14:paraId="0731FDCD">
      <w:pPr>
        <w:pStyle w:val="13"/>
        <w:pageBreakBefore w:val="0"/>
        <w:kinsoku/>
        <w:wordWrap/>
        <w:overflowPunct/>
        <w:topLinePunct w:val="0"/>
        <w:bidi w:val="0"/>
        <w:ind w:left="0" w:leftChars="0"/>
        <w:rPr>
          <w:b/>
          <w:bCs/>
        </w:rPr>
      </w:pPr>
      <w:r>
        <w:rPr>
          <w:rFonts w:hint="eastAsia" w:cs="宋体"/>
          <w:b/>
          <w:bCs/>
        </w:rPr>
        <w:t>（一）采购清单</w:t>
      </w:r>
    </w:p>
    <w:tbl>
      <w:tblPr>
        <w:tblStyle w:val="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3"/>
        <w:gridCol w:w="5062"/>
      </w:tblGrid>
      <w:tr w14:paraId="271B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983" w:type="dxa"/>
            <w:vAlign w:val="center"/>
          </w:tcPr>
          <w:p w14:paraId="3D40BAA7">
            <w:pPr>
              <w:pageBreakBefore w:val="0"/>
              <w:kinsoku/>
              <w:wordWrap/>
              <w:overflowPunct/>
              <w:topLinePunct w:val="0"/>
              <w:bidi w:val="0"/>
              <w:ind w:left="0" w:leftChars="0"/>
              <w:jc w:val="center"/>
              <w:rPr>
                <w:rFonts w:hint="eastAsia" w:eastAsia="宋体"/>
                <w:b/>
                <w:bCs/>
                <w:lang w:eastAsia="zh-CN"/>
              </w:rPr>
            </w:pPr>
            <w:r>
              <w:rPr>
                <w:rFonts w:hint="eastAsia"/>
                <w:b/>
                <w:bCs/>
                <w:lang w:eastAsia="zh-CN"/>
              </w:rPr>
              <w:t>项目名称</w:t>
            </w:r>
          </w:p>
        </w:tc>
        <w:tc>
          <w:tcPr>
            <w:tcW w:w="5062" w:type="dxa"/>
            <w:vAlign w:val="center"/>
          </w:tcPr>
          <w:p w14:paraId="5373EC75">
            <w:pPr>
              <w:pStyle w:val="13"/>
              <w:pageBreakBefore w:val="0"/>
              <w:kinsoku/>
              <w:wordWrap/>
              <w:overflowPunct/>
              <w:topLinePunct w:val="0"/>
              <w:bidi w:val="0"/>
              <w:ind w:left="0" w:leftChars="0"/>
              <w:jc w:val="center"/>
              <w:rPr>
                <w:rFonts w:hint="eastAsia" w:eastAsia="宋体"/>
                <w:b/>
                <w:bCs/>
                <w:lang w:val="en-US" w:eastAsia="zh-CN"/>
              </w:rPr>
            </w:pPr>
            <w:r>
              <w:rPr>
                <w:rFonts w:hint="eastAsia"/>
                <w:b/>
                <w:bCs/>
                <w:lang w:val="en-US" w:eastAsia="zh-CN"/>
              </w:rPr>
              <w:t>具体技术要求</w:t>
            </w:r>
          </w:p>
        </w:tc>
      </w:tr>
      <w:tr w14:paraId="2F85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983" w:type="dxa"/>
            <w:vAlign w:val="center"/>
          </w:tcPr>
          <w:p w14:paraId="08FA2E6A">
            <w:pPr>
              <w:pageBreakBefore w:val="0"/>
              <w:kinsoku/>
              <w:wordWrap/>
              <w:overflowPunct/>
              <w:topLinePunct w:val="0"/>
              <w:bidi w:val="0"/>
              <w:ind w:left="0" w:leftChars="0"/>
              <w:jc w:val="center"/>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两套湖南泰瑞制氧</w:t>
            </w:r>
            <w:r>
              <w:rPr>
                <w:rFonts w:hint="eastAsia"/>
                <w:sz w:val="24"/>
                <w:szCs w:val="24"/>
                <w:highlight w:val="none"/>
                <w:lang w:eastAsia="zh-CN"/>
              </w:rPr>
              <w:t>（</w:t>
            </w:r>
            <w:r>
              <w:rPr>
                <w:rFonts w:hint="eastAsia"/>
                <w:sz w:val="24"/>
                <w:szCs w:val="24"/>
                <w:highlight w:val="none"/>
                <w:lang w:val="en-US" w:eastAsia="zh-CN"/>
              </w:rPr>
              <w:t>50立方）</w:t>
            </w:r>
            <w:r>
              <w:rPr>
                <w:rFonts w:hint="eastAsia" w:ascii="宋体" w:hAnsi="宋体" w:eastAsia="宋体" w:cs="宋体"/>
                <w:b w:val="0"/>
                <w:bCs w:val="0"/>
                <w:i w:val="0"/>
                <w:iCs w:val="0"/>
                <w:caps w:val="0"/>
                <w:color w:val="000000"/>
                <w:spacing w:val="0"/>
                <w:sz w:val="24"/>
                <w:szCs w:val="24"/>
                <w:shd w:val="clear" w:fill="FFFFFF"/>
              </w:rPr>
              <w:t>设备更换分子筛</w:t>
            </w:r>
            <w:r>
              <w:rPr>
                <w:rFonts w:hint="eastAsia" w:ascii="宋体" w:hAnsi="宋体" w:cs="宋体"/>
                <w:b w:val="0"/>
                <w:bCs w:val="0"/>
                <w:i w:val="0"/>
                <w:iCs w:val="0"/>
                <w:caps w:val="0"/>
                <w:color w:val="000000"/>
                <w:spacing w:val="0"/>
                <w:sz w:val="24"/>
                <w:szCs w:val="24"/>
                <w:shd w:val="clear" w:fill="FFFFFF"/>
                <w:lang w:eastAsia="zh-CN"/>
              </w:rPr>
              <w:t>项目</w:t>
            </w:r>
          </w:p>
        </w:tc>
        <w:tc>
          <w:tcPr>
            <w:tcW w:w="5062" w:type="dxa"/>
            <w:vAlign w:val="center"/>
          </w:tcPr>
          <w:p w14:paraId="61F8F7DE">
            <w:pPr>
              <w:pStyle w:val="13"/>
              <w:pageBreakBefore w:val="0"/>
              <w:kinsoku/>
              <w:wordWrap/>
              <w:overflowPunct/>
              <w:topLinePunct w:val="0"/>
              <w:bidi w:val="0"/>
              <w:ind w:left="0" w:leftChars="0"/>
              <w:jc w:val="center"/>
              <w:rPr>
                <w:rFonts w:hint="eastAsia" w:ascii="宋体" w:hAnsi="宋体" w:cs="宋体"/>
                <w:b w:val="0"/>
                <w:bCs w:val="0"/>
                <w:lang w:eastAsia="zh-CN"/>
              </w:rPr>
            </w:pPr>
            <w:r>
              <w:rPr>
                <w:rFonts w:hint="eastAsia" w:ascii="宋体" w:hAnsi="宋体" w:cs="宋体"/>
                <w:b w:val="0"/>
                <w:bCs w:val="0"/>
                <w:lang w:eastAsia="zh-CN"/>
              </w:rPr>
              <w:t>分子筛</w:t>
            </w:r>
            <w:r>
              <w:rPr>
                <w:rFonts w:hint="eastAsia" w:ascii="宋体" w:hAnsi="宋体" w:cs="宋体"/>
                <w:b w:val="0"/>
                <w:bCs w:val="0"/>
              </w:rPr>
              <w:t>颗粒度1.6-2.5mm、</w:t>
            </w:r>
            <w:r>
              <w:rPr>
                <w:rFonts w:hint="eastAsia" w:ascii="宋体" w:hAnsi="宋体" w:cs="宋体"/>
                <w:b w:val="0"/>
                <w:bCs w:val="0"/>
                <w:lang w:eastAsia="zh-CN"/>
              </w:rPr>
              <w:t>重量</w:t>
            </w:r>
            <w:r>
              <w:rPr>
                <w:rFonts w:hint="eastAsia" w:ascii="宋体" w:hAnsi="宋体" w:cs="宋体"/>
                <w:b w:val="0"/>
                <w:bCs w:val="0"/>
                <w:color w:val="000000" w:themeColor="text1"/>
              </w:rPr>
              <w:t>≧2500kg、</w:t>
            </w:r>
            <w:r>
              <w:rPr>
                <w:rFonts w:hint="eastAsia" w:ascii="宋体" w:hAnsi="宋体" w:cs="宋体"/>
                <w:b w:val="0"/>
                <w:bCs w:val="0"/>
                <w:color w:val="000000" w:themeColor="text1"/>
                <w:lang w:eastAsia="zh-CN"/>
              </w:rPr>
              <w:t>制氧设备为</w:t>
            </w:r>
            <w:r>
              <w:rPr>
                <w:rFonts w:hint="eastAsia" w:ascii="宋体" w:hAnsi="宋体" w:cs="宋体"/>
                <w:b w:val="0"/>
                <w:bCs w:val="0"/>
                <w:color w:val="000000" w:themeColor="text1"/>
              </w:rPr>
              <w:t>双机组</w:t>
            </w:r>
            <w:r>
              <w:rPr>
                <w:rFonts w:hint="eastAsia" w:ascii="宋体" w:hAnsi="宋体" w:cs="宋体"/>
                <w:b w:val="0"/>
                <w:bCs w:val="0"/>
                <w:color w:val="FF0000"/>
                <w:lang w:eastAsia="zh-CN"/>
              </w:rPr>
              <w:t>（</w:t>
            </w:r>
            <w:r>
              <w:rPr>
                <w:rFonts w:hint="eastAsia" w:ascii="宋体" w:hAnsi="宋体" w:cs="宋体"/>
                <w:b w:val="0"/>
                <w:bCs w:val="0"/>
                <w:color w:val="FF0000"/>
                <w:lang w:val="en-US" w:eastAsia="zh-CN"/>
              </w:rPr>
              <w:t>单机组50立方，双机组共100立方）</w:t>
            </w:r>
            <w:r>
              <w:rPr>
                <w:rFonts w:hint="eastAsia" w:ascii="宋体" w:hAnsi="宋体" w:cs="宋体"/>
                <w:b w:val="0"/>
                <w:bCs w:val="0"/>
                <w:color w:val="000000" w:themeColor="text1"/>
                <w:lang w:val="en-US" w:eastAsia="zh-CN"/>
              </w:rPr>
              <w:t>，具体要求详见技术规格要求</w:t>
            </w:r>
          </w:p>
        </w:tc>
      </w:tr>
    </w:tbl>
    <w:p w14:paraId="121186CE">
      <w:pPr>
        <w:pStyle w:val="13"/>
        <w:pageBreakBefore w:val="0"/>
        <w:kinsoku/>
        <w:wordWrap/>
        <w:overflowPunct/>
        <w:topLinePunct w:val="0"/>
        <w:bidi w:val="0"/>
        <w:ind w:left="0" w:leftChars="0"/>
        <w:rPr>
          <w:b/>
          <w:bCs/>
        </w:rPr>
      </w:pPr>
    </w:p>
    <w:p w14:paraId="0C186DF1">
      <w:pPr>
        <w:pageBreakBefore w:val="0"/>
        <w:widowControl/>
        <w:numPr>
          <w:ilvl w:val="0"/>
          <w:numId w:val="1"/>
        </w:numPr>
        <w:kinsoku/>
        <w:wordWrap/>
        <w:overflowPunct/>
        <w:topLinePunct w:val="0"/>
        <w:bidi w:val="0"/>
        <w:spacing w:line="360" w:lineRule="auto"/>
        <w:ind w:left="0" w:leftChars="0"/>
        <w:jc w:val="left"/>
      </w:pPr>
      <w:r>
        <w:rPr>
          <w:rFonts w:hint="eastAsia" w:cs="宋体"/>
          <w:b/>
          <w:bCs/>
          <w:kern w:val="0"/>
          <w:sz w:val="24"/>
          <w:szCs w:val="24"/>
        </w:rPr>
        <w:t>技术规格参数</w:t>
      </w:r>
    </w:p>
    <w:p w14:paraId="2A5C155D">
      <w:pPr>
        <w:pStyle w:val="2"/>
        <w:pageBreakBefore w:val="0"/>
        <w:kinsoku/>
        <w:wordWrap/>
        <w:overflowPunct/>
        <w:topLinePunct w:val="0"/>
        <w:bidi w:val="0"/>
        <w:spacing w:before="0" w:after="0" w:line="240" w:lineRule="auto"/>
        <w:ind w:left="0" w:leftChars="0"/>
        <w:textAlignment w:val="baseline"/>
        <w:rPr>
          <w:rFonts w:ascii="宋体" w:hAnsi="宋体" w:cs="宋体"/>
          <w:sz w:val="28"/>
          <w:szCs w:val="28"/>
        </w:rPr>
      </w:pPr>
      <w:r>
        <w:rPr>
          <w:rFonts w:hint="eastAsia" w:ascii="宋体" w:hAnsi="宋体" w:cs="宋体"/>
          <w:sz w:val="28"/>
          <w:szCs w:val="28"/>
        </w:rPr>
        <w:t>分子筛技术参数要求</w:t>
      </w:r>
    </w:p>
    <w:tbl>
      <w:tblPr>
        <w:tblStyle w:val="10"/>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56"/>
        <w:gridCol w:w="4459"/>
        <w:gridCol w:w="1091"/>
        <w:gridCol w:w="1515"/>
      </w:tblGrid>
      <w:tr w14:paraId="0E8E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0993CC35">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序号</w:t>
            </w:r>
          </w:p>
        </w:tc>
        <w:tc>
          <w:tcPr>
            <w:tcW w:w="1556" w:type="dxa"/>
            <w:vAlign w:val="center"/>
          </w:tcPr>
          <w:p w14:paraId="6BEA69D1">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名称</w:t>
            </w:r>
          </w:p>
        </w:tc>
        <w:tc>
          <w:tcPr>
            <w:tcW w:w="4459" w:type="dxa"/>
            <w:vAlign w:val="center"/>
          </w:tcPr>
          <w:p w14:paraId="2BA73E3B">
            <w:pPr>
              <w:pageBreakBefore w:val="0"/>
              <w:kinsoku/>
              <w:wordWrap/>
              <w:overflowPunct/>
              <w:topLinePunct w:val="0"/>
              <w:bidi w:val="0"/>
              <w:ind w:left="0" w:leftChars="0" w:firstLine="482"/>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技术要求</w:t>
            </w:r>
          </w:p>
        </w:tc>
        <w:tc>
          <w:tcPr>
            <w:tcW w:w="1091" w:type="dxa"/>
            <w:vAlign w:val="center"/>
          </w:tcPr>
          <w:p w14:paraId="449FCF3D">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数量</w:t>
            </w:r>
          </w:p>
        </w:tc>
        <w:tc>
          <w:tcPr>
            <w:tcW w:w="1515" w:type="dxa"/>
            <w:vAlign w:val="center"/>
          </w:tcPr>
          <w:p w14:paraId="7E5BCC1A">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备注</w:t>
            </w:r>
          </w:p>
        </w:tc>
      </w:tr>
      <w:tr w14:paraId="1633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restart"/>
            <w:vAlign w:val="center"/>
          </w:tcPr>
          <w:p w14:paraId="5B475D0B">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1</w:t>
            </w:r>
          </w:p>
        </w:tc>
        <w:tc>
          <w:tcPr>
            <w:tcW w:w="1556" w:type="dxa"/>
            <w:vMerge w:val="restart"/>
            <w:vAlign w:val="center"/>
          </w:tcPr>
          <w:p w14:paraId="316554AA">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制氧分子筛</w:t>
            </w:r>
          </w:p>
        </w:tc>
        <w:tc>
          <w:tcPr>
            <w:tcW w:w="4459" w:type="dxa"/>
            <w:vAlign w:val="center"/>
          </w:tcPr>
          <w:p w14:paraId="57D4992B">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颗粒度1.6-2.5mm，介质氧气、氮气</w:t>
            </w:r>
          </w:p>
        </w:tc>
        <w:tc>
          <w:tcPr>
            <w:tcW w:w="1091" w:type="dxa"/>
            <w:vMerge w:val="restart"/>
            <w:vAlign w:val="center"/>
          </w:tcPr>
          <w:p w14:paraId="0686B676">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≧2500kg</w:t>
            </w:r>
          </w:p>
        </w:tc>
        <w:tc>
          <w:tcPr>
            <w:tcW w:w="1515" w:type="dxa"/>
            <w:vMerge w:val="restart"/>
            <w:vAlign w:val="center"/>
          </w:tcPr>
          <w:p w14:paraId="30140DF4">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双机</w:t>
            </w:r>
          </w:p>
        </w:tc>
      </w:tr>
      <w:tr w14:paraId="3CBD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536EB43E">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1DA9EDD1">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4459" w:type="dxa"/>
            <w:vAlign w:val="center"/>
          </w:tcPr>
          <w:p w14:paraId="18F40F69">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cs="宋体"/>
                <w:b w:val="0"/>
                <w:bCs w:val="0"/>
                <w:color w:val="000000" w:themeColor="text1"/>
                <w:lang w:eastAsia="zh-CN"/>
                <w14:textFill>
                  <w14:solidFill>
                    <w14:schemeClr w14:val="tx1"/>
                  </w14:solidFill>
                </w14:textFill>
              </w:rPr>
              <w:t>重量：</w:t>
            </w:r>
            <w:r>
              <w:rPr>
                <w:rFonts w:hint="eastAsia" w:ascii="宋体" w:hAnsi="宋体" w:cs="宋体"/>
                <w:b w:val="0"/>
                <w:bCs w:val="0"/>
                <w:color w:val="000000" w:themeColor="text1"/>
                <w14:textFill>
                  <w14:solidFill>
                    <w14:schemeClr w14:val="tx1"/>
                  </w14:solidFill>
                </w14:textFill>
              </w:rPr>
              <w:t>≧2500kg</w:t>
            </w:r>
            <w:bookmarkStart w:id="4" w:name="_GoBack"/>
            <w:bookmarkEnd w:id="4"/>
          </w:p>
        </w:tc>
        <w:tc>
          <w:tcPr>
            <w:tcW w:w="1091" w:type="dxa"/>
            <w:vMerge w:val="continue"/>
            <w:vAlign w:val="center"/>
          </w:tcPr>
          <w:p w14:paraId="1BDD7216">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1515" w:type="dxa"/>
            <w:vMerge w:val="continue"/>
            <w:vAlign w:val="center"/>
          </w:tcPr>
          <w:p w14:paraId="1F025B44">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r>
      <w:tr w14:paraId="68A2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6F2D01D1">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7A4B66DD">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34E48DF5">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用于医用制氧设备制氧能够匹配制氧系统</w:t>
            </w:r>
          </w:p>
        </w:tc>
        <w:tc>
          <w:tcPr>
            <w:tcW w:w="1091" w:type="dxa"/>
            <w:vMerge w:val="continue"/>
            <w:vAlign w:val="center"/>
          </w:tcPr>
          <w:p w14:paraId="1BB9411B">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70D690C7">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1C42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59DEB739">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47048796">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14C8A017">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静态水吸附≧29.5%wt</w:t>
            </w:r>
          </w:p>
        </w:tc>
        <w:tc>
          <w:tcPr>
            <w:tcW w:w="1091" w:type="dxa"/>
            <w:vMerge w:val="continue"/>
            <w:vAlign w:val="center"/>
          </w:tcPr>
          <w:p w14:paraId="1991DB81">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05C1D1B0">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642D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64E79DC2">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17225361">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588DE804">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静态CO2吸附≧19.8%wt</w:t>
            </w:r>
          </w:p>
        </w:tc>
        <w:tc>
          <w:tcPr>
            <w:tcW w:w="1091" w:type="dxa"/>
            <w:vMerge w:val="continue"/>
            <w:vAlign w:val="center"/>
          </w:tcPr>
          <w:p w14:paraId="69C10CC9">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6BB2E2F7">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0FEF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3408C678">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0FFA6B00">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42EAE667">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静态N2吸附≧8ml/g</w:t>
            </w:r>
          </w:p>
        </w:tc>
        <w:tc>
          <w:tcPr>
            <w:tcW w:w="1091" w:type="dxa"/>
            <w:vMerge w:val="continue"/>
            <w:vAlign w:val="center"/>
          </w:tcPr>
          <w:p w14:paraId="6E275D31">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69CDFCA8">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7FFD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34F3F888">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4BFA5ACC">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00D20BC6">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氮氧分离系数≧3</w:t>
            </w:r>
          </w:p>
        </w:tc>
        <w:tc>
          <w:tcPr>
            <w:tcW w:w="1091" w:type="dxa"/>
            <w:vMerge w:val="continue"/>
            <w:vAlign w:val="center"/>
          </w:tcPr>
          <w:p w14:paraId="0FA45BB5">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2E22AC13">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66F8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1A6667FA">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1BBBB150">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31D5618A">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堆积密度＜0.7g/ml</w:t>
            </w:r>
          </w:p>
        </w:tc>
        <w:tc>
          <w:tcPr>
            <w:tcW w:w="1091" w:type="dxa"/>
            <w:vMerge w:val="continue"/>
            <w:vAlign w:val="center"/>
          </w:tcPr>
          <w:p w14:paraId="356F51B6">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6630394B">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624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4B15A469">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7EF90FF0">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04306003">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抗碎压力25±3N/颗</w:t>
            </w:r>
          </w:p>
        </w:tc>
        <w:tc>
          <w:tcPr>
            <w:tcW w:w="1091" w:type="dxa"/>
            <w:vMerge w:val="continue"/>
            <w:vAlign w:val="center"/>
          </w:tcPr>
          <w:p w14:paraId="00F6CE3E">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2130ACA0">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7B0B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1FC5600A">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25E8BBA9">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2B3EA01D">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磨损率≦0.3%wt</w:t>
            </w:r>
          </w:p>
        </w:tc>
        <w:tc>
          <w:tcPr>
            <w:tcW w:w="1091" w:type="dxa"/>
            <w:vMerge w:val="continue"/>
            <w:vAlign w:val="center"/>
          </w:tcPr>
          <w:p w14:paraId="37F7BA5C">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6B53DE77">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6814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Merge w:val="continue"/>
            <w:vAlign w:val="center"/>
          </w:tcPr>
          <w:p w14:paraId="071D3AF3">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c>
          <w:tcPr>
            <w:tcW w:w="1556" w:type="dxa"/>
            <w:vMerge w:val="continue"/>
            <w:vAlign w:val="center"/>
          </w:tcPr>
          <w:p w14:paraId="15DC189D">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4459" w:type="dxa"/>
            <w:vAlign w:val="center"/>
          </w:tcPr>
          <w:p w14:paraId="0B0ACDE9">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制氧浓度≧93%</w:t>
            </w:r>
          </w:p>
        </w:tc>
        <w:tc>
          <w:tcPr>
            <w:tcW w:w="1091" w:type="dxa"/>
            <w:vMerge w:val="continue"/>
            <w:vAlign w:val="center"/>
          </w:tcPr>
          <w:p w14:paraId="052645FC">
            <w:pPr>
              <w:pageBreakBefore w:val="0"/>
              <w:kinsoku/>
              <w:wordWrap/>
              <w:overflowPunct/>
              <w:topLinePunct w:val="0"/>
              <w:bidi w:val="0"/>
              <w:ind w:left="0" w:leftChars="0" w:firstLine="480"/>
              <w:jc w:val="both"/>
              <w:rPr>
                <w:rFonts w:hint="eastAsia" w:ascii="宋体" w:hAnsi="宋体" w:eastAsia="宋体" w:cs="宋体"/>
                <w:b w:val="0"/>
                <w:bCs w:val="0"/>
                <w:color w:val="000000" w:themeColor="text1"/>
                <w:sz w:val="21"/>
                <w:szCs w:val="21"/>
              </w:rPr>
            </w:pPr>
          </w:p>
        </w:tc>
        <w:tc>
          <w:tcPr>
            <w:tcW w:w="1515" w:type="dxa"/>
            <w:vMerge w:val="continue"/>
            <w:vAlign w:val="center"/>
          </w:tcPr>
          <w:p w14:paraId="24561108">
            <w:pPr>
              <w:pageBreakBefore w:val="0"/>
              <w:kinsoku/>
              <w:wordWrap/>
              <w:overflowPunct/>
              <w:topLinePunct w:val="0"/>
              <w:bidi w:val="0"/>
              <w:ind w:left="0" w:leftChars="0" w:firstLine="480"/>
              <w:jc w:val="center"/>
              <w:rPr>
                <w:rFonts w:hint="eastAsia" w:ascii="宋体" w:hAnsi="宋体" w:eastAsia="宋体" w:cs="宋体"/>
                <w:b w:val="0"/>
                <w:bCs w:val="0"/>
                <w:color w:val="000000" w:themeColor="text1"/>
                <w:sz w:val="21"/>
                <w:szCs w:val="21"/>
              </w:rPr>
            </w:pPr>
          </w:p>
        </w:tc>
      </w:tr>
      <w:tr w14:paraId="796B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738" w:type="dxa"/>
            <w:tcBorders>
              <w:bottom w:val="single" w:color="auto" w:sz="4" w:space="0"/>
            </w:tcBorders>
            <w:vAlign w:val="center"/>
          </w:tcPr>
          <w:p w14:paraId="03B74EFE">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2</w:t>
            </w:r>
          </w:p>
        </w:tc>
        <w:tc>
          <w:tcPr>
            <w:tcW w:w="1556" w:type="dxa"/>
            <w:tcBorders>
              <w:bottom w:val="single" w:color="auto" w:sz="4" w:space="0"/>
            </w:tcBorders>
            <w:vAlign w:val="center"/>
          </w:tcPr>
          <w:p w14:paraId="5F613747">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调试</w:t>
            </w:r>
          </w:p>
        </w:tc>
        <w:tc>
          <w:tcPr>
            <w:tcW w:w="4459" w:type="dxa"/>
            <w:tcBorders>
              <w:bottom w:val="single" w:color="auto" w:sz="4" w:space="0"/>
            </w:tcBorders>
            <w:vAlign w:val="center"/>
          </w:tcPr>
          <w:p w14:paraId="5B5DC6B4">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制氧设备开机30分钟后，其氧产量、氧气浓度达到规范要求，且氧浓度在≥92％</w:t>
            </w:r>
          </w:p>
        </w:tc>
        <w:tc>
          <w:tcPr>
            <w:tcW w:w="1091" w:type="dxa"/>
            <w:tcBorders>
              <w:bottom w:val="single" w:color="auto" w:sz="4" w:space="0"/>
            </w:tcBorders>
            <w:vAlign w:val="center"/>
          </w:tcPr>
          <w:p w14:paraId="29084003">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1515" w:type="dxa"/>
            <w:tcBorders>
              <w:bottom w:val="single" w:color="auto" w:sz="4" w:space="0"/>
            </w:tcBorders>
            <w:vAlign w:val="center"/>
          </w:tcPr>
          <w:p w14:paraId="7D70493E">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r>
      <w:tr w14:paraId="5E8E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Align w:val="center"/>
          </w:tcPr>
          <w:p w14:paraId="54D96612">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3</w:t>
            </w:r>
          </w:p>
        </w:tc>
        <w:tc>
          <w:tcPr>
            <w:tcW w:w="1556" w:type="dxa"/>
            <w:vAlign w:val="center"/>
          </w:tcPr>
          <w:p w14:paraId="06200513">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氧气产量</w:t>
            </w:r>
          </w:p>
        </w:tc>
        <w:tc>
          <w:tcPr>
            <w:tcW w:w="4459" w:type="dxa"/>
            <w:vAlign w:val="center"/>
          </w:tcPr>
          <w:p w14:paraId="2BA2748E">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单台机组产氧量达到50m</w:t>
            </w:r>
            <w:r>
              <w:rPr>
                <w:rFonts w:hint="eastAsia" w:ascii="宋体" w:hAnsi="宋体" w:cs="宋体"/>
                <w:b w:val="0"/>
                <w:bCs w:val="0"/>
                <w:color w:val="000000" w:themeColor="text1"/>
                <w:sz w:val="21"/>
                <w:szCs w:val="21"/>
                <w:vertAlign w:val="superscript"/>
                <w:lang w:val="en-US" w:eastAsia="zh-CN"/>
              </w:rPr>
              <w:t>3</w:t>
            </w:r>
            <w:r>
              <w:rPr>
                <w:rFonts w:hint="eastAsia" w:ascii="宋体" w:hAnsi="宋体" w:eastAsia="宋体" w:cs="宋体"/>
                <w:b w:val="0"/>
                <w:bCs w:val="0"/>
                <w:color w:val="000000" w:themeColor="text1"/>
                <w:sz w:val="21"/>
                <w:szCs w:val="21"/>
              </w:rPr>
              <w:t>/小时</w:t>
            </w:r>
          </w:p>
        </w:tc>
        <w:tc>
          <w:tcPr>
            <w:tcW w:w="1091" w:type="dxa"/>
            <w:vAlign w:val="center"/>
          </w:tcPr>
          <w:p w14:paraId="2035D23F">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1515" w:type="dxa"/>
            <w:vAlign w:val="center"/>
          </w:tcPr>
          <w:p w14:paraId="2A3335CE">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r>
      <w:tr w14:paraId="5E4D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Align w:val="center"/>
          </w:tcPr>
          <w:p w14:paraId="60C420CC">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4</w:t>
            </w:r>
          </w:p>
        </w:tc>
        <w:tc>
          <w:tcPr>
            <w:tcW w:w="1556" w:type="dxa"/>
            <w:vAlign w:val="center"/>
          </w:tcPr>
          <w:p w14:paraId="0CE775DA">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输出压力</w:t>
            </w:r>
          </w:p>
        </w:tc>
        <w:tc>
          <w:tcPr>
            <w:tcW w:w="4459" w:type="dxa"/>
            <w:vAlign w:val="center"/>
          </w:tcPr>
          <w:p w14:paraId="065126DB">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0.4-0.6Mpa（可调）</w:t>
            </w:r>
          </w:p>
        </w:tc>
        <w:tc>
          <w:tcPr>
            <w:tcW w:w="1091" w:type="dxa"/>
            <w:vAlign w:val="center"/>
          </w:tcPr>
          <w:p w14:paraId="15281809">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1515" w:type="dxa"/>
            <w:vAlign w:val="center"/>
          </w:tcPr>
          <w:p w14:paraId="296B8163">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r>
      <w:tr w14:paraId="201F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Align w:val="center"/>
          </w:tcPr>
          <w:p w14:paraId="50EA1972">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5</w:t>
            </w:r>
          </w:p>
        </w:tc>
        <w:tc>
          <w:tcPr>
            <w:tcW w:w="1556" w:type="dxa"/>
            <w:vAlign w:val="center"/>
          </w:tcPr>
          <w:p w14:paraId="17BB1C7A">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异味</w:t>
            </w:r>
          </w:p>
        </w:tc>
        <w:tc>
          <w:tcPr>
            <w:tcW w:w="4459" w:type="dxa"/>
            <w:vAlign w:val="center"/>
          </w:tcPr>
          <w:p w14:paraId="3B078753">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无异味</w:t>
            </w:r>
          </w:p>
        </w:tc>
        <w:tc>
          <w:tcPr>
            <w:tcW w:w="1091" w:type="dxa"/>
            <w:vAlign w:val="center"/>
          </w:tcPr>
          <w:p w14:paraId="01FCD2D4">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1515" w:type="dxa"/>
            <w:vAlign w:val="center"/>
          </w:tcPr>
          <w:p w14:paraId="39AF2BC0">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r>
      <w:tr w14:paraId="00B6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738" w:type="dxa"/>
            <w:vAlign w:val="center"/>
          </w:tcPr>
          <w:p w14:paraId="65F81BEA">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6</w:t>
            </w:r>
          </w:p>
        </w:tc>
        <w:tc>
          <w:tcPr>
            <w:tcW w:w="1556" w:type="dxa"/>
            <w:vAlign w:val="center"/>
          </w:tcPr>
          <w:p w14:paraId="24E1D358">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气密性</w:t>
            </w:r>
          </w:p>
        </w:tc>
        <w:tc>
          <w:tcPr>
            <w:tcW w:w="4459" w:type="dxa"/>
            <w:vAlign w:val="center"/>
          </w:tcPr>
          <w:p w14:paraId="7D2AE697">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所有紧固件连接不能有任何松动，其连接处不得漏气</w:t>
            </w:r>
          </w:p>
        </w:tc>
        <w:tc>
          <w:tcPr>
            <w:tcW w:w="1091" w:type="dxa"/>
            <w:vAlign w:val="center"/>
          </w:tcPr>
          <w:p w14:paraId="785205C4">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1515" w:type="dxa"/>
            <w:vAlign w:val="center"/>
          </w:tcPr>
          <w:p w14:paraId="4D9A815B">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r>
      <w:tr w14:paraId="6452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38" w:type="dxa"/>
            <w:vAlign w:val="center"/>
          </w:tcPr>
          <w:p w14:paraId="254F73E4">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7</w:t>
            </w:r>
          </w:p>
        </w:tc>
        <w:tc>
          <w:tcPr>
            <w:tcW w:w="1556" w:type="dxa"/>
            <w:vAlign w:val="center"/>
          </w:tcPr>
          <w:p w14:paraId="0B8B8C45">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安装辅材</w:t>
            </w:r>
          </w:p>
        </w:tc>
        <w:tc>
          <w:tcPr>
            <w:tcW w:w="4459" w:type="dxa"/>
            <w:vAlign w:val="center"/>
          </w:tcPr>
          <w:p w14:paraId="3A27BBDD">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更换所需的配套配件、吊装货物上楼等、调试更换完毕清理场地，把旧分子筛清理拉走</w:t>
            </w:r>
          </w:p>
        </w:tc>
        <w:tc>
          <w:tcPr>
            <w:tcW w:w="1091" w:type="dxa"/>
            <w:vAlign w:val="center"/>
          </w:tcPr>
          <w:p w14:paraId="6D1B9817">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1515" w:type="dxa"/>
            <w:vAlign w:val="center"/>
          </w:tcPr>
          <w:p w14:paraId="1328C5D7">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r>
      <w:tr w14:paraId="53FF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 w:type="dxa"/>
            <w:vAlign w:val="center"/>
          </w:tcPr>
          <w:p w14:paraId="7246BBF1">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8</w:t>
            </w:r>
          </w:p>
        </w:tc>
        <w:tc>
          <w:tcPr>
            <w:tcW w:w="1556" w:type="dxa"/>
            <w:vAlign w:val="center"/>
          </w:tcPr>
          <w:p w14:paraId="24D81015">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富氧气体检测</w:t>
            </w:r>
          </w:p>
        </w:tc>
        <w:tc>
          <w:tcPr>
            <w:tcW w:w="4459" w:type="dxa"/>
            <w:vAlign w:val="center"/>
          </w:tcPr>
          <w:p w14:paraId="6AA05192">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r>
              <w:rPr>
                <w:rFonts w:hint="eastAsia" w:ascii="宋体" w:hAnsi="宋体" w:eastAsia="宋体" w:cs="宋体"/>
                <w:b w:val="0"/>
                <w:bCs w:val="0"/>
                <w:color w:val="000000" w:themeColor="text1"/>
                <w:sz w:val="21"/>
                <w:szCs w:val="21"/>
              </w:rPr>
              <w:t>送有资质部门或机构检测并出相关报告</w:t>
            </w:r>
          </w:p>
        </w:tc>
        <w:tc>
          <w:tcPr>
            <w:tcW w:w="1091" w:type="dxa"/>
            <w:vAlign w:val="center"/>
          </w:tcPr>
          <w:p w14:paraId="6F6577C0">
            <w:pPr>
              <w:pageBreakBefore w:val="0"/>
              <w:kinsoku/>
              <w:wordWrap/>
              <w:overflowPunct/>
              <w:topLinePunct w:val="0"/>
              <w:bidi w:val="0"/>
              <w:ind w:left="0" w:leftChars="0"/>
              <w:jc w:val="both"/>
              <w:rPr>
                <w:rFonts w:hint="eastAsia" w:ascii="宋体" w:hAnsi="宋体" w:eastAsia="宋体" w:cs="宋体"/>
                <w:b w:val="0"/>
                <w:bCs w:val="0"/>
                <w:color w:val="000000" w:themeColor="text1"/>
                <w:sz w:val="21"/>
                <w:szCs w:val="21"/>
              </w:rPr>
            </w:pPr>
          </w:p>
        </w:tc>
        <w:tc>
          <w:tcPr>
            <w:tcW w:w="1515" w:type="dxa"/>
            <w:vAlign w:val="center"/>
          </w:tcPr>
          <w:p w14:paraId="3635EA38">
            <w:pPr>
              <w:pageBreakBefore w:val="0"/>
              <w:kinsoku/>
              <w:wordWrap/>
              <w:overflowPunct/>
              <w:topLinePunct w:val="0"/>
              <w:bidi w:val="0"/>
              <w:ind w:left="0" w:leftChars="0"/>
              <w:jc w:val="center"/>
              <w:rPr>
                <w:rFonts w:hint="eastAsia" w:ascii="宋体" w:hAnsi="宋体" w:eastAsia="宋体" w:cs="宋体"/>
                <w:b w:val="0"/>
                <w:bCs w:val="0"/>
                <w:color w:val="000000" w:themeColor="text1"/>
                <w:sz w:val="21"/>
                <w:szCs w:val="21"/>
              </w:rPr>
            </w:pPr>
          </w:p>
        </w:tc>
      </w:tr>
    </w:tbl>
    <w:p w14:paraId="32785825">
      <w:pPr>
        <w:pageBreakBefore w:val="0"/>
        <w:kinsoku/>
        <w:wordWrap/>
        <w:overflowPunct/>
        <w:topLinePunct w:val="0"/>
        <w:bidi w:val="0"/>
        <w:spacing w:line="400" w:lineRule="exact"/>
        <w:ind w:left="0" w:leftChars="0"/>
        <w:jc w:val="center"/>
        <w:rPr>
          <w:rFonts w:ascii="宋体" w:hAnsi="宋体" w:cstheme="minorEastAsia"/>
          <w:b/>
          <w:bCs/>
          <w:sz w:val="28"/>
          <w:szCs w:val="28"/>
        </w:rPr>
      </w:pPr>
    </w:p>
    <w:p w14:paraId="54BDCD7F">
      <w:pPr>
        <w:pStyle w:val="13"/>
        <w:pageBreakBefore w:val="0"/>
        <w:kinsoku/>
        <w:wordWrap/>
        <w:overflowPunct/>
        <w:topLinePunct w:val="0"/>
        <w:bidi w:val="0"/>
        <w:ind w:left="0" w:leftChars="0"/>
        <w:rPr>
          <w:rFonts w:cs="宋体"/>
          <w:b/>
          <w:bCs/>
        </w:rPr>
      </w:pPr>
      <w:r>
        <w:rPr>
          <w:rFonts w:hint="eastAsia" w:cs="宋体"/>
          <w:b/>
          <w:bCs/>
        </w:rPr>
        <w:t>项目产品基本要求</w:t>
      </w:r>
    </w:p>
    <w:p w14:paraId="3E81E962">
      <w:pPr>
        <w:pStyle w:val="13"/>
        <w:pageBreakBefore w:val="0"/>
        <w:kinsoku/>
        <w:wordWrap/>
        <w:overflowPunct/>
        <w:topLinePunct w:val="0"/>
        <w:bidi w:val="0"/>
        <w:ind w:left="0" w:leftChars="0"/>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0070A502">
      <w:pPr>
        <w:pStyle w:val="13"/>
        <w:pageBreakBefore w:val="0"/>
        <w:kinsoku/>
        <w:wordWrap/>
        <w:overflowPunct/>
        <w:topLinePunct w:val="0"/>
        <w:bidi w:val="0"/>
        <w:ind w:left="0" w:leftChars="0"/>
        <w:rPr>
          <w:color w:val="auto"/>
        </w:rPr>
      </w:pPr>
      <w:r>
        <w:rPr>
          <w:rFonts w:hint="eastAsia"/>
          <w:color w:val="auto"/>
        </w:rPr>
        <w:t>2、投标人所投产品参数应同等或优于以上各项参数要求，产品、辅材及生产工艺符合国家相关规范。</w:t>
      </w:r>
    </w:p>
    <w:p w14:paraId="0B1A3530">
      <w:pPr>
        <w:pStyle w:val="13"/>
        <w:pageBreakBefore w:val="0"/>
        <w:kinsoku/>
        <w:wordWrap/>
        <w:overflowPunct/>
        <w:topLinePunct w:val="0"/>
        <w:bidi w:val="0"/>
        <w:ind w:left="0" w:leftChars="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091998D4">
      <w:pPr>
        <w:pStyle w:val="13"/>
        <w:pageBreakBefore w:val="0"/>
        <w:kinsoku/>
        <w:wordWrap/>
        <w:overflowPunct/>
        <w:topLinePunct w:val="0"/>
        <w:bidi w:val="0"/>
        <w:ind w:left="0" w:leftChars="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136F6141">
      <w:pPr>
        <w:pStyle w:val="13"/>
        <w:pageBreakBefore w:val="0"/>
        <w:kinsoku/>
        <w:wordWrap/>
        <w:overflowPunct/>
        <w:topLinePunct w:val="0"/>
        <w:bidi w:val="0"/>
        <w:ind w:left="0" w:leftChars="0"/>
        <w:rPr>
          <w:color w:val="auto"/>
        </w:rPr>
      </w:pPr>
      <w:r>
        <w:rPr>
          <w:rFonts w:hint="eastAsia"/>
          <w:color w:val="auto"/>
        </w:rPr>
        <w:t>5、投标</w:t>
      </w:r>
      <w:r>
        <w:rPr>
          <w:rFonts w:hint="eastAsia"/>
        </w:rPr>
        <w:t>人在竞价文件中必须提交设备配置清单，如设备有配套耗材及定期更换的配件请投标时与设备一起报价</w:t>
      </w:r>
      <w:r>
        <w:rPr>
          <w:rFonts w:hint="eastAsia"/>
          <w:color w:val="auto"/>
        </w:rPr>
        <w:t>。</w:t>
      </w:r>
    </w:p>
    <w:p w14:paraId="435332DC">
      <w:pPr>
        <w:pStyle w:val="13"/>
        <w:pageBreakBefore w:val="0"/>
        <w:kinsoku/>
        <w:wordWrap/>
        <w:overflowPunct/>
        <w:topLinePunct w:val="0"/>
        <w:bidi w:val="0"/>
        <w:ind w:left="0" w:leftChars="0"/>
        <w:rPr>
          <w:color w:val="auto"/>
        </w:rPr>
      </w:pPr>
      <w:r>
        <w:rPr>
          <w:rFonts w:hint="eastAsia"/>
          <w:color w:val="auto"/>
        </w:rPr>
        <w:t>6、投标人所投产品必须提供产品“三包”服务；定期安排相关人员回访进行质量跟踪；保证提供临床应用和售后技术服务支持方式。</w:t>
      </w:r>
    </w:p>
    <w:p w14:paraId="0B1890CD">
      <w:pPr>
        <w:pStyle w:val="13"/>
        <w:pageBreakBefore w:val="0"/>
        <w:kinsoku/>
        <w:wordWrap/>
        <w:overflowPunct/>
        <w:topLinePunct w:val="0"/>
        <w:bidi w:val="0"/>
        <w:ind w:left="0" w:leftChars="0"/>
        <w:rPr>
          <w:rFonts w:cs="宋体"/>
          <w:b/>
          <w:bCs/>
        </w:rPr>
      </w:pPr>
      <w:r>
        <w:rPr>
          <w:rFonts w:hint="eastAsia" w:cs="宋体"/>
          <w:b/>
          <w:bCs/>
        </w:rPr>
        <w:t>（四）商务要求</w:t>
      </w:r>
    </w:p>
    <w:p w14:paraId="0FC02893">
      <w:pPr>
        <w:pStyle w:val="13"/>
        <w:pageBreakBefore w:val="0"/>
        <w:kinsoku/>
        <w:wordWrap/>
        <w:overflowPunct/>
        <w:topLinePunct w:val="0"/>
        <w:bidi w:val="0"/>
        <w:ind w:left="0" w:leftChars="0"/>
        <w:rPr>
          <w:rFonts w:cs="宋体"/>
        </w:rPr>
      </w:pPr>
      <w:r>
        <w:rPr>
          <w:rFonts w:hint="eastAsia" w:cs="宋体"/>
          <w:b/>
          <w:bCs/>
        </w:rPr>
        <w:t>1、投标人资格要求</w:t>
      </w:r>
    </w:p>
    <w:p w14:paraId="533BBDFA">
      <w:pPr>
        <w:pStyle w:val="13"/>
        <w:pageBreakBefore w:val="0"/>
        <w:kinsoku/>
        <w:wordWrap/>
        <w:overflowPunct/>
        <w:topLinePunct w:val="0"/>
        <w:bidi w:val="0"/>
        <w:ind w:left="0" w:leftChars="0"/>
        <w:rPr>
          <w:rFonts w:cs="宋体"/>
          <w:color w:val="FF0000"/>
        </w:rPr>
      </w:pPr>
      <w:r>
        <w:rPr>
          <w:rFonts w:hint="eastAsia" w:cs="宋体"/>
          <w:color w:val="FF0000"/>
        </w:rPr>
        <w:t>1）</w:t>
      </w:r>
      <w:r>
        <w:rPr>
          <w:rFonts w:hint="eastAsia" w:ascii="宋体" w:hAnsi="宋体" w:cs="宋体"/>
          <w:bCs/>
          <w:color w:val="FF0000"/>
          <w:szCs w:val="21"/>
        </w:rPr>
        <w:t>竞争性谈判供应商应为满足《中华人民共和国政府采购法（中华人民共和国主席令第八十六号）》第二十二条规定各项标准的法人、其他组织或者自然人。</w:t>
      </w:r>
    </w:p>
    <w:p w14:paraId="685A5BC9">
      <w:pPr>
        <w:pStyle w:val="13"/>
        <w:pageBreakBefore w:val="0"/>
        <w:kinsoku/>
        <w:wordWrap/>
        <w:overflowPunct/>
        <w:topLinePunct w:val="0"/>
        <w:bidi w:val="0"/>
        <w:ind w:left="0" w:leftChars="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9882C4">
      <w:pPr>
        <w:pStyle w:val="13"/>
        <w:pageBreakBefore w:val="0"/>
        <w:kinsoku/>
        <w:wordWrap/>
        <w:overflowPunct/>
        <w:topLinePunct w:val="0"/>
        <w:bidi w:val="0"/>
        <w:ind w:left="0" w:leftChars="0"/>
        <w:rPr>
          <w:rFonts w:cs="宋体"/>
        </w:rPr>
      </w:pPr>
      <w:r>
        <w:rPr>
          <w:rFonts w:hint="eastAsia" w:cs="宋体"/>
        </w:rPr>
        <w:t>3）被列入我院投标人黑名单（在我院招投标活动中存在2次违规行为）未满3年的投标人将被拒绝其参与本次招投标活动。</w:t>
      </w:r>
    </w:p>
    <w:p w14:paraId="20906BEF">
      <w:pPr>
        <w:pStyle w:val="13"/>
        <w:pageBreakBefore w:val="0"/>
        <w:kinsoku/>
        <w:wordWrap/>
        <w:overflowPunct/>
        <w:topLinePunct w:val="0"/>
        <w:bidi w:val="0"/>
        <w:ind w:left="0" w:leftChars="0"/>
        <w:rPr>
          <w:rFonts w:cs="宋体"/>
          <w:color w:val="auto"/>
        </w:rPr>
      </w:pPr>
      <w:r>
        <w:rPr>
          <w:rFonts w:hint="eastAsia" w:cs="宋体"/>
        </w:rPr>
        <w:t>4）</w:t>
      </w:r>
      <w:r>
        <w:rPr>
          <w:rFonts w:hint="eastAsia" w:cs="宋体"/>
          <w:color w:val="auto"/>
        </w:rPr>
        <w:t>本项目不接收联合体投标。</w:t>
      </w:r>
    </w:p>
    <w:p w14:paraId="32944628">
      <w:pPr>
        <w:pStyle w:val="13"/>
        <w:pageBreakBefore w:val="0"/>
        <w:kinsoku/>
        <w:wordWrap/>
        <w:overflowPunct/>
        <w:topLinePunct w:val="0"/>
        <w:bidi w:val="0"/>
        <w:ind w:left="0" w:leftChars="0"/>
        <w:rPr>
          <w:b/>
          <w:color w:val="auto"/>
          <w:spacing w:val="-8"/>
          <w:szCs w:val="21"/>
          <w:highlight w:val="none"/>
        </w:rPr>
      </w:pPr>
      <w:r>
        <w:rPr>
          <w:rFonts w:hint="eastAsia" w:ascii="宋体" w:hAnsi="宋体" w:cs="黑体"/>
          <w:b/>
          <w:bCs/>
          <w:color w:val="auto"/>
          <w:szCs w:val="21"/>
          <w:highlight w:val="none"/>
        </w:rPr>
        <w:t>5)是否专</w:t>
      </w:r>
      <w:r>
        <w:rPr>
          <w:rFonts w:hint="eastAsia"/>
          <w:b/>
          <w:color w:val="auto"/>
          <w:spacing w:val="-8"/>
          <w:szCs w:val="21"/>
          <w:highlight w:val="none"/>
        </w:rPr>
        <w:t>门面向“中小企业”开放</w:t>
      </w:r>
      <w:r>
        <w:rPr>
          <w:rFonts w:hint="eastAsia" w:ascii="宋体" w:hAnsi="宋体"/>
          <w:b/>
          <w:color w:val="auto"/>
          <w:szCs w:val="21"/>
          <w:highlight w:val="none"/>
        </w:rPr>
        <w:t>竞标</w:t>
      </w:r>
      <w:r>
        <w:rPr>
          <w:rFonts w:hint="eastAsia"/>
          <w:b/>
          <w:color w:val="auto"/>
          <w:spacing w:val="-8"/>
          <w:szCs w:val="21"/>
          <w:highlight w:val="none"/>
        </w:rPr>
        <w:t>：是</w:t>
      </w:r>
    </w:p>
    <w:p w14:paraId="5E7F4EF9">
      <w:pPr>
        <w:pStyle w:val="13"/>
        <w:pageBreakBefore w:val="0"/>
        <w:kinsoku/>
        <w:wordWrap/>
        <w:overflowPunct/>
        <w:topLinePunct w:val="0"/>
        <w:bidi w:val="0"/>
        <w:ind w:left="0" w:leftChars="0"/>
        <w:rPr>
          <w:rFonts w:hint="eastAsia" w:eastAsia="宋体"/>
          <w:b/>
          <w:color w:val="auto"/>
          <w:spacing w:val="-8"/>
          <w:szCs w:val="21"/>
          <w:highlight w:val="yellow"/>
          <w:u w:val="single"/>
          <w:lang w:val="en-US" w:eastAsia="zh-CN"/>
        </w:rPr>
      </w:pPr>
      <w:r>
        <w:rPr>
          <w:rFonts w:hint="eastAsia"/>
          <w:b/>
          <w:color w:val="auto"/>
          <w:spacing w:val="-8"/>
          <w:szCs w:val="21"/>
          <w:highlight w:val="none"/>
        </w:rPr>
        <w:t>6）</w:t>
      </w:r>
      <w:r>
        <w:rPr>
          <w:rFonts w:hint="eastAsia" w:ascii="宋体" w:hAnsi="宋体"/>
          <w:color w:val="auto"/>
        </w:rPr>
        <w:t>是否接受进口产品：</w:t>
      </w:r>
      <w:r>
        <w:rPr>
          <w:rFonts w:hint="eastAsia" w:ascii="宋体" w:hAnsi="宋体"/>
          <w:color w:val="auto"/>
          <w:lang w:eastAsia="zh-CN"/>
        </w:rPr>
        <w:t>否</w:t>
      </w:r>
    </w:p>
    <w:p w14:paraId="3A2FB1C9">
      <w:pPr>
        <w:pStyle w:val="13"/>
        <w:pageBreakBefore w:val="0"/>
        <w:kinsoku/>
        <w:wordWrap/>
        <w:overflowPunct/>
        <w:topLinePunct w:val="0"/>
        <w:bidi w:val="0"/>
        <w:ind w:left="0" w:leftChars="0"/>
        <w:rPr>
          <w:rFonts w:cs="宋体"/>
          <w:b/>
          <w:bCs/>
        </w:rPr>
      </w:pPr>
      <w:r>
        <w:rPr>
          <w:rFonts w:hint="eastAsia" w:cs="宋体"/>
          <w:b/>
          <w:bCs/>
        </w:rPr>
        <w:t>2、投标产品资格要求</w:t>
      </w:r>
    </w:p>
    <w:p w14:paraId="6A6DD6D7">
      <w:pPr>
        <w:pStyle w:val="13"/>
        <w:pageBreakBefore w:val="0"/>
        <w:kinsoku/>
        <w:wordWrap/>
        <w:overflowPunct/>
        <w:topLinePunct w:val="0"/>
        <w:bidi w:val="0"/>
        <w:ind w:left="0" w:leftChars="0"/>
        <w:rPr>
          <w:rFonts w:cs="宋体"/>
          <w:highlight w:val="none"/>
        </w:rPr>
      </w:pPr>
      <w:r>
        <w:rPr>
          <w:rFonts w:hint="eastAsia" w:cs="宋体"/>
        </w:rPr>
        <w:t>1）本项目支持创新产品、节能优化产品、环境标识产品、中小企业发展等政府采购政策。</w:t>
      </w:r>
    </w:p>
    <w:p w14:paraId="5E89B1B0">
      <w:pPr>
        <w:pStyle w:val="13"/>
        <w:pageBreakBefore w:val="0"/>
        <w:kinsoku/>
        <w:wordWrap/>
        <w:overflowPunct/>
        <w:topLinePunct w:val="0"/>
        <w:bidi w:val="0"/>
        <w:ind w:left="0" w:leftChars="0"/>
      </w:pPr>
      <w:r>
        <w:rPr>
          <w:rFonts w:hint="eastAsia"/>
          <w:highlight w:val="none"/>
        </w:rPr>
        <w:t>2）投标人所投产品要求包含以下相关证件：投标公司的《医疗器械经营许可证》、生产厂家的《医疗器械生产许可证》（国外产品可不提供）、器械的《中华人民共和国医疗器械注册证》</w:t>
      </w:r>
    </w:p>
    <w:p w14:paraId="5D5A4AC6">
      <w:pPr>
        <w:pStyle w:val="13"/>
        <w:pageBreakBefore w:val="0"/>
        <w:kinsoku/>
        <w:wordWrap/>
        <w:overflowPunct/>
        <w:topLinePunct w:val="0"/>
        <w:bidi w:val="0"/>
        <w:ind w:left="0" w:leftChars="0"/>
      </w:pPr>
      <w:r>
        <w:rPr>
          <w:rFonts w:hint="eastAsia"/>
          <w:b/>
          <w:bCs/>
        </w:rPr>
        <w:t>3、售后服务和资质</w:t>
      </w:r>
    </w:p>
    <w:p w14:paraId="3BF7B4E0">
      <w:pPr>
        <w:pStyle w:val="13"/>
        <w:pageBreakBefore w:val="0"/>
        <w:kinsoku/>
        <w:wordWrap/>
        <w:overflowPunct/>
        <w:topLinePunct w:val="0"/>
        <w:bidi w:val="0"/>
        <w:ind w:left="0" w:leftChars="0"/>
      </w:pPr>
      <w:r>
        <w:rPr>
          <w:rFonts w:hint="eastAsia"/>
        </w:rPr>
        <w:t>1）售后资质要求：</w:t>
      </w:r>
      <w:r>
        <w:rPr>
          <w:rFonts w:hint="eastAsia" w:ascii="宋体" w:hAnsi="宋体"/>
        </w:rPr>
        <w:t>厂家须设有24小时免费服务电话，成交供应商应提供专项负责的维保人员名单、联系电话等。</w:t>
      </w:r>
    </w:p>
    <w:p w14:paraId="67BAAA6C">
      <w:pPr>
        <w:pStyle w:val="13"/>
        <w:pageBreakBefore w:val="0"/>
        <w:kinsoku/>
        <w:wordWrap/>
        <w:overflowPunct/>
        <w:topLinePunct w:val="0"/>
        <w:bidi w:val="0"/>
        <w:ind w:left="0" w:leftChars="0"/>
      </w:pPr>
      <w:r>
        <w:rPr>
          <w:rFonts w:hint="eastAsia"/>
        </w:rPr>
        <w:t>2）在维修中所更换的维修备件必须匹配设备，不会降低整机使用质量。</w:t>
      </w:r>
    </w:p>
    <w:p w14:paraId="27F37697">
      <w:pPr>
        <w:pStyle w:val="13"/>
        <w:pageBreakBefore w:val="0"/>
        <w:kinsoku/>
        <w:wordWrap/>
        <w:overflowPunct/>
        <w:topLinePunct w:val="0"/>
        <w:bidi w:val="0"/>
        <w:ind w:left="0" w:leftChars="0"/>
        <w:rPr>
          <w:rFonts w:hint="eastAsia"/>
          <w:highlight w:val="yellow"/>
        </w:rPr>
      </w:pPr>
      <w:r>
        <w:rPr>
          <w:rFonts w:hint="eastAsia"/>
        </w:rPr>
        <w:t>3）质保期：分子筛更换完毕通过验收投入使用之日起</w:t>
      </w:r>
      <w:r>
        <w:rPr>
          <w:rFonts w:hint="eastAsia"/>
          <w:highlight w:val="none"/>
        </w:rPr>
        <w:t>质保期2年。</w:t>
      </w:r>
    </w:p>
    <w:p w14:paraId="3EE59AA7">
      <w:pPr>
        <w:pStyle w:val="13"/>
        <w:pageBreakBefore w:val="0"/>
        <w:kinsoku/>
        <w:wordWrap/>
        <w:overflowPunct/>
        <w:topLinePunct w:val="0"/>
        <w:bidi w:val="0"/>
        <w:ind w:left="0" w:leftChars="0"/>
      </w:pPr>
      <w:r>
        <w:rPr>
          <w:rFonts w:hint="eastAsia"/>
        </w:rPr>
        <w:t>4）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7A1CF687">
      <w:pPr>
        <w:pStyle w:val="13"/>
        <w:pageBreakBefore w:val="0"/>
        <w:kinsoku/>
        <w:wordWrap/>
        <w:overflowPunct/>
        <w:topLinePunct w:val="0"/>
        <w:bidi w:val="0"/>
        <w:ind w:left="0" w:leftChars="0"/>
        <w:rPr>
          <w:rFonts w:cs="宋体"/>
        </w:rPr>
      </w:pPr>
      <w:r>
        <w:rPr>
          <w:rFonts w:hint="eastAsia"/>
        </w:rPr>
        <w:t>5）</w:t>
      </w:r>
      <w:r>
        <w:rPr>
          <w:rFonts w:hint="eastAsia" w:cs="宋体"/>
        </w:rPr>
        <w:t>签订合同后，</w:t>
      </w:r>
      <w:r>
        <w:rPr>
          <w:rFonts w:hint="eastAsia"/>
          <w:color w:val="FF0000"/>
          <w:u w:val="single"/>
        </w:rPr>
        <w:t>30</w:t>
      </w:r>
      <w:r>
        <w:rPr>
          <w:rFonts w:hint="eastAsia" w:cs="宋体"/>
        </w:rPr>
        <w:t>天内</w:t>
      </w:r>
      <w:r>
        <w:rPr>
          <w:rFonts w:hint="eastAsia" w:ascii="宋体" w:hAnsi="宋体" w:cs="宋体"/>
          <w:bCs/>
        </w:rPr>
        <w:t>交货到甲方指定地点，进行安装调试，验收合格后交付使用</w:t>
      </w:r>
      <w:r>
        <w:rPr>
          <w:rFonts w:hint="eastAsia" w:cs="宋体"/>
        </w:rPr>
        <w:t>。投标人予以特别注意：如出现未能到期供货的情况，采购人有权单方终止合同的执行，所有的经济损失由逾期供货商单方承担。</w:t>
      </w:r>
    </w:p>
    <w:p w14:paraId="5114353A">
      <w:pPr>
        <w:pStyle w:val="13"/>
        <w:pageBreakBefore w:val="0"/>
        <w:kinsoku/>
        <w:wordWrap/>
        <w:overflowPunct/>
        <w:topLinePunct w:val="0"/>
        <w:bidi w:val="0"/>
        <w:ind w:left="0" w:leftChars="0"/>
      </w:pPr>
      <w:r>
        <w:rPr>
          <w:rFonts w:hint="eastAsia" w:cs="宋体"/>
        </w:rPr>
        <w:t>6）交货地点为：</w:t>
      </w:r>
      <w:r>
        <w:rPr>
          <w:rFonts w:hint="eastAsia" w:cs="宋体"/>
          <w:highlight w:val="none"/>
        </w:rPr>
        <w:t>广西壮族自治区桂东人民医院</w:t>
      </w:r>
    </w:p>
    <w:p w14:paraId="600D22C3">
      <w:pPr>
        <w:pageBreakBefore w:val="0"/>
        <w:widowControl/>
        <w:kinsoku/>
        <w:wordWrap/>
        <w:overflowPunct/>
        <w:topLinePunct w:val="0"/>
        <w:bidi w:val="0"/>
        <w:spacing w:line="400" w:lineRule="exact"/>
        <w:ind w:left="0" w:leftChars="0" w:firstLine="422" w:firstLineChars="200"/>
        <w:jc w:val="left"/>
        <w:rPr>
          <w:rFonts w:cs="宋体"/>
          <w:kern w:val="0"/>
          <w:sz w:val="24"/>
          <w:szCs w:val="24"/>
        </w:rPr>
      </w:pPr>
      <w:r>
        <w:rPr>
          <w:rFonts w:hint="eastAsia"/>
          <w:b/>
          <w:bCs/>
        </w:rPr>
        <w:t>7）</w:t>
      </w:r>
      <w:r>
        <w:rPr>
          <w:rFonts w:hint="eastAsia"/>
        </w:rPr>
        <w:t>付款条件（进度和方式）：</w:t>
      </w:r>
      <w:r>
        <w:rPr>
          <w:rFonts w:hint="eastAsia" w:cs="宋体"/>
          <w:kern w:val="0"/>
          <w:sz w:val="24"/>
          <w:szCs w:val="24"/>
        </w:rPr>
        <w:t>分期付款：签订合同后，全部货物到达指定地点、安装调试并验收合格后，凭双方签署验收合格书，甲方按照政府规定时间内支付，第一期：甲方支付合同总金额的90% ；第二期：交付后十二个月，经乙方书面申请，甲方支付合同总金额的 10%（不计利息）。</w:t>
      </w:r>
    </w:p>
    <w:p w14:paraId="22E270B1">
      <w:pPr>
        <w:pageBreakBefore w:val="0"/>
        <w:widowControl/>
        <w:kinsoku/>
        <w:wordWrap/>
        <w:overflowPunct/>
        <w:topLinePunct w:val="0"/>
        <w:bidi w:val="0"/>
        <w:spacing w:line="400" w:lineRule="exact"/>
        <w:ind w:left="0" w:leftChars="0"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1A01F3AC">
      <w:pPr>
        <w:pageBreakBefore w:val="0"/>
        <w:widowControl/>
        <w:kinsoku/>
        <w:wordWrap/>
        <w:overflowPunct/>
        <w:topLinePunct w:val="0"/>
        <w:bidi w:val="0"/>
        <w:spacing w:line="360" w:lineRule="auto"/>
        <w:ind w:left="0" w:leftChars="0"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14:paraId="68542D65">
      <w:pPr>
        <w:pageBreakBefore w:val="0"/>
        <w:widowControl/>
        <w:kinsoku/>
        <w:wordWrap/>
        <w:overflowPunct/>
        <w:topLinePunct w:val="0"/>
        <w:bidi w:val="0"/>
        <w:spacing w:line="360" w:lineRule="auto"/>
        <w:ind w:left="0" w:leftChars="0"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kern w:val="0"/>
          <w:sz w:val="24"/>
          <w:szCs w:val="24"/>
        </w:rPr>
        <w:t>日内签订采购合同。</w:t>
      </w:r>
    </w:p>
    <w:p w14:paraId="36561421">
      <w:pPr>
        <w:pageBreakBefore w:val="0"/>
        <w:widowControl/>
        <w:kinsoku/>
        <w:wordWrap/>
        <w:overflowPunct/>
        <w:topLinePunct w:val="0"/>
        <w:bidi w:val="0"/>
        <w:spacing w:line="360" w:lineRule="auto"/>
        <w:ind w:left="0" w:leftChars="0"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14:paraId="4A673B05">
      <w:pPr>
        <w:pStyle w:val="13"/>
        <w:pageBreakBefore w:val="0"/>
        <w:kinsoku/>
        <w:wordWrap/>
        <w:overflowPunct/>
        <w:topLinePunct w:val="0"/>
        <w:bidi w:val="0"/>
        <w:ind w:left="0" w:leftChars="0"/>
      </w:pPr>
    </w:p>
    <w:p w14:paraId="17F806B6">
      <w:pPr>
        <w:pageBreakBefore w:val="0"/>
        <w:widowControl/>
        <w:kinsoku/>
        <w:wordWrap/>
        <w:overflowPunct/>
        <w:topLinePunct w:val="0"/>
        <w:bidi w:val="0"/>
        <w:spacing w:line="360" w:lineRule="auto"/>
        <w:ind w:left="0" w:leftChars="0" w:hanging="2"/>
        <w:jc w:val="left"/>
        <w:rPr>
          <w:rFonts w:cs="宋体"/>
          <w:b/>
          <w:bCs/>
          <w:kern w:val="0"/>
          <w:sz w:val="28"/>
          <w:szCs w:val="28"/>
        </w:rPr>
      </w:pPr>
      <w:r>
        <w:rPr>
          <w:rFonts w:hint="eastAsia" w:cs="宋体"/>
          <w:b/>
          <w:bCs/>
          <w:kern w:val="0"/>
          <w:sz w:val="28"/>
          <w:szCs w:val="28"/>
        </w:rPr>
        <w:t>四、特别说明</w:t>
      </w:r>
    </w:p>
    <w:p w14:paraId="0F73358B">
      <w:pPr>
        <w:pageBreakBefore w:val="0"/>
        <w:widowControl/>
        <w:kinsoku/>
        <w:wordWrap/>
        <w:overflowPunct/>
        <w:topLinePunct w:val="0"/>
        <w:bidi w:val="0"/>
        <w:spacing w:line="400" w:lineRule="exact"/>
        <w:ind w:left="0" w:leftChars="0"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32D2B16D">
      <w:pPr>
        <w:pageBreakBefore w:val="0"/>
        <w:widowControl/>
        <w:kinsoku/>
        <w:wordWrap/>
        <w:overflowPunct/>
        <w:topLinePunct w:val="0"/>
        <w:bidi w:val="0"/>
        <w:ind w:left="0" w:leftChars="0"/>
        <w:jc w:val="center"/>
        <w:rPr>
          <w:b/>
          <w:bCs/>
          <w:kern w:val="0"/>
        </w:rPr>
      </w:pPr>
      <w:r>
        <w:rPr>
          <w:b/>
          <w:bCs/>
          <w:kern w:val="0"/>
        </w:rPr>
        <w:br w:type="page"/>
      </w:r>
      <w:r>
        <w:rPr>
          <w:rFonts w:hint="eastAsia" w:cs="宋体"/>
          <w:b/>
          <w:bCs/>
          <w:kern w:val="0"/>
          <w:sz w:val="38"/>
          <w:szCs w:val="38"/>
        </w:rPr>
        <w:t>第四章评标方法与评分标准</w:t>
      </w:r>
    </w:p>
    <w:p w14:paraId="176D3C54">
      <w:pPr>
        <w:pageBreakBefore w:val="0"/>
        <w:widowControl/>
        <w:kinsoku/>
        <w:wordWrap/>
        <w:overflowPunct/>
        <w:topLinePunct w:val="0"/>
        <w:bidi w:val="0"/>
        <w:spacing w:line="360" w:lineRule="auto"/>
        <w:ind w:left="0" w:leftChars="0" w:firstLine="562" w:firstLineChars="200"/>
        <w:jc w:val="left"/>
        <w:rPr>
          <w:rFonts w:cs="宋体"/>
          <w:b/>
          <w:bCs/>
          <w:kern w:val="0"/>
          <w:sz w:val="28"/>
          <w:szCs w:val="28"/>
        </w:rPr>
      </w:pPr>
      <w:r>
        <w:rPr>
          <w:rFonts w:hint="eastAsia" w:cs="宋体"/>
          <w:b/>
          <w:bCs/>
          <w:kern w:val="0"/>
          <w:sz w:val="28"/>
          <w:szCs w:val="28"/>
        </w:rPr>
        <w:t>一、评标方法与定标原则</w:t>
      </w:r>
    </w:p>
    <w:p w14:paraId="6DBD10E4">
      <w:pPr>
        <w:pageBreakBefore w:val="0"/>
        <w:widowControl/>
        <w:kinsoku/>
        <w:wordWrap/>
        <w:overflowPunct/>
        <w:topLinePunct w:val="0"/>
        <w:bidi w:val="0"/>
        <w:spacing w:line="360" w:lineRule="auto"/>
        <w:ind w:left="0" w:leftChars="0"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综合评分法</w:t>
      </w:r>
      <w:r>
        <w:rPr>
          <w:rFonts w:hint="eastAsia" w:cs="宋体"/>
          <w:kern w:val="0"/>
          <w:sz w:val="24"/>
          <w:szCs w:val="24"/>
        </w:rPr>
        <w:t>确定中标候选人。</w:t>
      </w:r>
    </w:p>
    <w:p w14:paraId="1230E065">
      <w:pPr>
        <w:pageBreakBefore w:val="0"/>
        <w:widowControl/>
        <w:kinsoku/>
        <w:wordWrap/>
        <w:overflowPunct/>
        <w:topLinePunct w:val="0"/>
        <w:bidi w:val="0"/>
        <w:spacing w:line="360" w:lineRule="auto"/>
        <w:ind w:left="0" w:leftChars="0" w:firstLine="562" w:firstLineChars="200"/>
        <w:jc w:val="left"/>
        <w:rPr>
          <w:rFonts w:cs="宋体"/>
          <w:b/>
          <w:bCs/>
          <w:kern w:val="0"/>
          <w:sz w:val="28"/>
          <w:szCs w:val="28"/>
        </w:rPr>
      </w:pPr>
      <w:r>
        <w:rPr>
          <w:rFonts w:hint="eastAsia" w:cs="宋体"/>
          <w:b/>
          <w:bCs/>
          <w:kern w:val="0"/>
          <w:sz w:val="28"/>
          <w:szCs w:val="28"/>
        </w:rPr>
        <w:t>二、评分标准</w:t>
      </w:r>
    </w:p>
    <w:p w14:paraId="4D512F72">
      <w:pPr>
        <w:pageBreakBefore w:val="0"/>
        <w:widowControl/>
        <w:kinsoku/>
        <w:wordWrap/>
        <w:overflowPunct/>
        <w:topLinePunct w:val="0"/>
        <w:bidi w:val="0"/>
        <w:spacing w:line="360" w:lineRule="auto"/>
        <w:ind w:left="0" w:leftChars="0"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sdt>
      <w:sdtPr>
        <w:rPr>
          <w:rFonts w:hint="eastAsia" w:ascii="宋体" w:hAnsi="宋体" w:cs="宋体"/>
          <w:color w:val="000000"/>
          <w:kern w:val="0"/>
          <w:sz w:val="24"/>
          <w:szCs w:val="24"/>
        </w:rPr>
        <w:id w:val="2068989185"/>
        <w:placeholder>
          <w:docPart w:val="DefaultPlaceholder_-1854013440"/>
        </w:placeholder>
      </w:sdtPr>
      <w:sdtEndPr>
        <w:rPr>
          <w:rFonts w:hint="default" w:ascii="Times New Roman" w:hAnsi="Times New Roman" w:cs="Times New Roman"/>
          <w:color w:val="000000"/>
          <w:kern w:val="0"/>
          <w:sz w:val="24"/>
          <w:szCs w:val="24"/>
        </w:rPr>
      </w:sdtEndPr>
      <w:sdtContent>
        <w:tbl>
          <w:tblPr>
            <w:tblStyle w:val="9"/>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14:paraId="3AE3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09" w:type="dxa"/>
                <w:vAlign w:val="center"/>
              </w:tcPr>
              <w:p w14:paraId="4F9BD6D0">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序号</w:t>
                </w:r>
              </w:p>
            </w:tc>
            <w:tc>
              <w:tcPr>
                <w:tcW w:w="1418" w:type="dxa"/>
                <w:vAlign w:val="center"/>
              </w:tcPr>
              <w:p w14:paraId="1D9F6592">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评分内容</w:t>
                </w:r>
              </w:p>
            </w:tc>
            <w:tc>
              <w:tcPr>
                <w:tcW w:w="6409" w:type="dxa"/>
                <w:vAlign w:val="center"/>
              </w:tcPr>
              <w:p w14:paraId="36A13B76">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评分标准</w:t>
                </w:r>
              </w:p>
            </w:tc>
            <w:tc>
              <w:tcPr>
                <w:tcW w:w="1088" w:type="dxa"/>
                <w:vAlign w:val="center"/>
              </w:tcPr>
              <w:p w14:paraId="05AE3103">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最高得分</w:t>
                </w:r>
              </w:p>
            </w:tc>
          </w:tr>
          <w:tr w14:paraId="423A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09" w:type="dxa"/>
                <w:vAlign w:val="center"/>
              </w:tcPr>
              <w:p w14:paraId="428119B5">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一</w:t>
                </w:r>
              </w:p>
            </w:tc>
            <w:tc>
              <w:tcPr>
                <w:tcW w:w="1418" w:type="dxa"/>
                <w:vAlign w:val="center"/>
              </w:tcPr>
              <w:p w14:paraId="30F45D54">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投标报价分</w:t>
                </w:r>
              </w:p>
              <w:p w14:paraId="4333B2A4">
                <w:pPr>
                  <w:pStyle w:val="13"/>
                  <w:pageBreakBefore w:val="0"/>
                  <w:kinsoku/>
                  <w:wordWrap/>
                  <w:overflowPunct/>
                  <w:topLinePunct w:val="0"/>
                  <w:bidi w:val="0"/>
                  <w:ind w:left="0" w:leftChars="0"/>
                </w:pPr>
                <w:r>
                  <w:rPr>
                    <w:rFonts w:hint="eastAsia"/>
                  </w:rPr>
                  <w:t>（30分）</w:t>
                </w:r>
              </w:p>
            </w:tc>
            <w:tc>
              <w:tcPr>
                <w:tcW w:w="6409" w:type="dxa"/>
                <w:vAlign w:val="center"/>
              </w:tcPr>
              <w:p w14:paraId="02B4CDC7">
                <w:pPr>
                  <w:pageBreakBefore w:val="0"/>
                  <w:kinsoku/>
                  <w:wordWrap/>
                  <w:overflowPunct/>
                  <w:topLinePunct w:val="0"/>
                  <w:bidi w:val="0"/>
                  <w:snapToGrid w:val="0"/>
                  <w:spacing w:line="240" w:lineRule="atLeast"/>
                  <w:ind w:left="0" w:leftChars="0"/>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14:paraId="67950734">
                <w:pPr>
                  <w:pStyle w:val="4"/>
                  <w:pageBreakBefore w:val="0"/>
                  <w:kinsoku/>
                  <w:wordWrap/>
                  <w:overflowPunct/>
                  <w:topLinePunct w:val="0"/>
                  <w:bidi w:val="0"/>
                  <w:spacing w:line="400" w:lineRule="exact"/>
                  <w:ind w:left="0" w:leftChars="0"/>
                  <w:outlineLvl w:val="0"/>
                  <w:rPr>
                    <w:rFonts w:ascii="新宋体" w:hAnsi="新宋体" w:eastAsia="新宋体" w:cs="新宋体"/>
                    <w:color w:val="000000"/>
                  </w:rPr>
                </w:pPr>
                <w:r>
                  <w:rPr>
                    <w:rFonts w:hint="eastAsia" w:hAnsi="宋体"/>
                    <w:bCs/>
                  </w:rPr>
                  <w:t>（2）</w:t>
                </w:r>
                <w:r>
                  <w:rPr>
                    <w:rStyle w:val="19"/>
                    <w:rFonts w:hint="default" w:ascii="新宋体" w:hAnsi="新宋体" w:eastAsia="新宋体" w:cs="新宋体"/>
                  </w:rPr>
                  <w:t>价格分应当采用低价优先法计算，即满足磋商</w:t>
                </w:r>
                <w:bookmarkStart w:id="0" w:name="_Toc3729"/>
                <w:bookmarkStart w:id="1" w:name="_Toc24090"/>
                <w:r>
                  <w:rPr>
                    <w:rStyle w:val="19"/>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14:paraId="3A348188">
                <w:pPr>
                  <w:pStyle w:val="4"/>
                  <w:pageBreakBefore w:val="0"/>
                  <w:kinsoku/>
                  <w:wordWrap/>
                  <w:overflowPunct/>
                  <w:topLinePunct w:val="0"/>
                  <w:bidi w:val="0"/>
                  <w:spacing w:line="400" w:lineRule="exact"/>
                  <w:ind w:left="241" w:leftChars="0" w:hanging="241" w:hangingChars="100"/>
                  <w:outlineLvl w:val="0"/>
                  <w:rPr>
                    <w:rFonts w:hAnsi="宋体" w:cs="宋体"/>
                  </w:rPr>
                </w:pPr>
                <w:bookmarkStart w:id="2" w:name="_Toc18720"/>
                <w:bookmarkStart w:id="3" w:name="_Toc19127"/>
                <w:r>
                  <w:rPr>
                    <w:rStyle w:val="19"/>
                    <w:rFonts w:hint="default" w:ascii="新宋体" w:hAnsi="新宋体" w:eastAsia="新宋体" w:cs="新宋体"/>
                    <w:b/>
                  </w:rPr>
                  <w:t>磋商报价得分=（评标基准价/磋商报价）×</w:t>
                </w:r>
                <w:bookmarkEnd w:id="2"/>
                <w:bookmarkEnd w:id="3"/>
                <w:r>
                  <w:rPr>
                    <w:rStyle w:val="19"/>
                    <w:rFonts w:hint="default" w:ascii="新宋体" w:hAnsi="新宋体" w:eastAsia="新宋体" w:cs="新宋体"/>
                    <w:b/>
                  </w:rPr>
                  <w:t>投标报价分</w:t>
                </w:r>
              </w:p>
            </w:tc>
            <w:tc>
              <w:tcPr>
                <w:tcW w:w="1088" w:type="dxa"/>
                <w:vAlign w:val="center"/>
              </w:tcPr>
              <w:p w14:paraId="0DE30F08">
                <w:pPr>
                  <w:pageBreakBefore w:val="0"/>
                  <w:kinsoku/>
                  <w:wordWrap/>
                  <w:overflowPunct/>
                  <w:topLinePunct w:val="0"/>
                  <w:bidi w:val="0"/>
                  <w:spacing w:line="280" w:lineRule="exact"/>
                  <w:ind w:left="0" w:leftChars="0"/>
                  <w:rPr>
                    <w:rFonts w:ascii="宋体" w:hAnsi="宋体" w:cs="宋体"/>
                  </w:rPr>
                </w:pPr>
              </w:p>
            </w:tc>
          </w:tr>
          <w:tr w14:paraId="3617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09" w:type="dxa"/>
                <w:vAlign w:val="center"/>
              </w:tcPr>
              <w:p w14:paraId="5DB6B825">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二</w:t>
                </w:r>
              </w:p>
            </w:tc>
            <w:tc>
              <w:tcPr>
                <w:tcW w:w="1418" w:type="dxa"/>
                <w:vAlign w:val="center"/>
              </w:tcPr>
              <w:p w14:paraId="5519D5CE">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技术质量分（20分）</w:t>
                </w:r>
              </w:p>
            </w:tc>
            <w:tc>
              <w:tcPr>
                <w:tcW w:w="6409" w:type="dxa"/>
                <w:vAlign w:val="center"/>
              </w:tcPr>
              <w:p w14:paraId="06D3FCF3">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 xml:space="preserve">完全符合采购文件技术要求无负偏离得分。 </w:t>
                </w:r>
              </w:p>
            </w:tc>
            <w:tc>
              <w:tcPr>
                <w:tcW w:w="1088" w:type="dxa"/>
                <w:vAlign w:val="center"/>
              </w:tcPr>
              <w:p w14:paraId="3038E65E">
                <w:pPr>
                  <w:pageBreakBefore w:val="0"/>
                  <w:tabs>
                    <w:tab w:val="left" w:pos="624"/>
                    <w:tab w:val="left" w:pos="1361"/>
                    <w:tab w:val="left" w:pos="2041"/>
                  </w:tabs>
                  <w:kinsoku/>
                  <w:wordWrap/>
                  <w:overflowPunct/>
                  <w:topLinePunct w:val="0"/>
                  <w:bidi w:val="0"/>
                  <w:spacing w:line="280" w:lineRule="exact"/>
                  <w:ind w:left="0" w:leftChars="0"/>
                  <w:rPr>
                    <w:rFonts w:ascii="宋体" w:hAnsi="宋体" w:cs="宋体"/>
                  </w:rPr>
                </w:pPr>
              </w:p>
            </w:tc>
          </w:tr>
          <w:tr w14:paraId="021D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09" w:type="dxa"/>
                <w:vAlign w:val="center"/>
              </w:tcPr>
              <w:p w14:paraId="3A69AC41">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三</w:t>
                </w:r>
              </w:p>
            </w:tc>
            <w:tc>
              <w:tcPr>
                <w:tcW w:w="1418" w:type="dxa"/>
                <w:vAlign w:val="center"/>
              </w:tcPr>
              <w:p w14:paraId="532AC7EF">
                <w:pPr>
                  <w:pageBreakBefore w:val="0"/>
                  <w:kinsoku/>
                  <w:wordWrap/>
                  <w:overflowPunct/>
                  <w:topLinePunct w:val="0"/>
                  <w:bidi w:val="0"/>
                  <w:ind w:left="0" w:leftChars="0"/>
                  <w:jc w:val="left"/>
                  <w:rPr>
                    <w:rFonts w:ascii="宋体" w:hAnsi="宋体" w:cs="宋体"/>
                    <w:bCs/>
                    <w:color w:val="000000"/>
                    <w:spacing w:val="10"/>
                    <w:kern w:val="0"/>
                  </w:rPr>
                </w:pPr>
                <w:r>
                  <w:rPr>
                    <w:rFonts w:hint="eastAsia"/>
                    <w:bCs/>
                    <w:color w:val="000000"/>
                  </w:rPr>
                  <w:t>售后服务分（15</w:t>
                </w:r>
                <w:r>
                  <w:rPr>
                    <w:rFonts w:hint="eastAsia" w:hAnsi="宋体"/>
                    <w:color w:val="000000"/>
                  </w:rPr>
                  <w:t>分</w:t>
                </w:r>
                <w:r>
                  <w:rPr>
                    <w:rFonts w:hint="eastAsia"/>
                    <w:bCs/>
                    <w:color w:val="000000"/>
                  </w:rPr>
                  <w:t>）</w:t>
                </w:r>
              </w:p>
            </w:tc>
            <w:tc>
              <w:tcPr>
                <w:tcW w:w="6409" w:type="dxa"/>
                <w:vAlign w:val="center"/>
              </w:tcPr>
              <w:p w14:paraId="3624002B">
                <w:pPr>
                  <w:pageBreakBefore w:val="0"/>
                  <w:kinsoku/>
                  <w:wordWrap/>
                  <w:overflowPunct/>
                  <w:topLinePunct w:val="0"/>
                  <w:bidi w:val="0"/>
                  <w:adjustRightInd w:val="0"/>
                  <w:spacing w:line="360" w:lineRule="exact"/>
                  <w:ind w:left="0" w:leftChars="0"/>
                  <w:textAlignment w:val="baseline"/>
                  <w:rPr>
                    <w:rFonts w:ascii="宋体" w:hAnsi="宋体" w:cs="宋体"/>
                  </w:rPr>
                </w:pPr>
                <w:r>
                  <w:rPr>
                    <w:rFonts w:hint="eastAsia" w:ascii="宋体" w:hAnsi="宋体" w:cs="宋体"/>
                  </w:rPr>
                  <w:t>1.售后服务方案分（满分</w:t>
                </w:r>
                <w:r>
                  <w:rPr>
                    <w:rFonts w:hint="eastAsia" w:ascii="宋体" w:hAnsi="宋体" w:cs="宋体"/>
                    <w:color w:val="0000FF"/>
                  </w:rPr>
                  <w:t>1</w:t>
                </w:r>
                <w:r>
                  <w:rPr>
                    <w:rFonts w:hint="eastAsia" w:ascii="宋体" w:hAnsi="宋体" w:cs="宋体"/>
                    <w:color w:val="0000FF"/>
                    <w:lang w:val="en-US" w:eastAsia="zh-CN"/>
                  </w:rPr>
                  <w:t>3</w:t>
                </w:r>
                <w:r>
                  <w:rPr>
                    <w:rFonts w:hint="eastAsia" w:ascii="宋体" w:hAnsi="宋体" w:cs="宋体"/>
                    <w:color w:val="0000FF"/>
                  </w:rPr>
                  <w:t>分</w:t>
                </w:r>
                <w:r>
                  <w:rPr>
                    <w:rFonts w:hint="eastAsia" w:ascii="宋体" w:hAnsi="宋体" w:cs="宋体"/>
                  </w:rPr>
                  <w:t>）</w:t>
                </w:r>
              </w:p>
              <w:p w14:paraId="293E8A92">
                <w:pPr>
                  <w:pageBreakBefore w:val="0"/>
                  <w:kinsoku/>
                  <w:wordWrap/>
                  <w:overflowPunct/>
                  <w:topLinePunct w:val="0"/>
                  <w:bidi w:val="0"/>
                  <w:adjustRightInd w:val="0"/>
                  <w:spacing w:line="360" w:lineRule="exact"/>
                  <w:ind w:left="0" w:leftChars="0"/>
                  <w:textAlignment w:val="baseline"/>
                  <w:rPr>
                    <w:rFonts w:ascii="宋体" w:hAnsi="宋体" w:cs="宋体"/>
                  </w:rPr>
                </w:pPr>
                <w:r>
                  <w:rPr>
                    <w:rFonts w:hint="eastAsia" w:ascii="宋体" w:hAnsi="宋体" w:cs="宋体"/>
                  </w:rPr>
                  <w:t>一档</w:t>
                </w:r>
                <w:r>
                  <w:rPr>
                    <w:rFonts w:hint="eastAsia" w:ascii="宋体" w:hAnsi="宋体" w:cs="宋体"/>
                    <w:color w:val="0000FF"/>
                  </w:rPr>
                  <w:t>（</w:t>
                </w:r>
                <w:r>
                  <w:rPr>
                    <w:rFonts w:hint="eastAsia" w:ascii="宋体" w:hAnsi="宋体" w:cs="宋体"/>
                    <w:color w:val="0000FF"/>
                    <w:lang w:val="en-US" w:eastAsia="zh-CN"/>
                  </w:rPr>
                  <w:t>3</w:t>
                </w:r>
                <w:r>
                  <w:rPr>
                    <w:rFonts w:hint="eastAsia" w:ascii="宋体" w:hAnsi="宋体" w:cs="宋体"/>
                    <w:color w:val="0000FF"/>
                  </w:rPr>
                  <w:t>分）</w:t>
                </w:r>
                <w:r>
                  <w:rPr>
                    <w:rFonts w:hint="eastAsia" w:ascii="宋体" w:hAnsi="宋体" w:cs="宋体"/>
                  </w:rPr>
                  <w:t>：不提供售后服务方案的。</w:t>
                </w:r>
              </w:p>
              <w:p w14:paraId="00837016">
                <w:pPr>
                  <w:pageBreakBefore w:val="0"/>
                  <w:kinsoku/>
                  <w:wordWrap/>
                  <w:overflowPunct/>
                  <w:topLinePunct w:val="0"/>
                  <w:bidi w:val="0"/>
                  <w:adjustRightInd w:val="0"/>
                  <w:spacing w:line="360" w:lineRule="exact"/>
                  <w:ind w:left="0" w:leftChars="0"/>
                  <w:textAlignment w:val="baseline"/>
                  <w:rPr>
                    <w:rFonts w:ascii="宋体" w:hAnsi="宋体" w:cs="宋体"/>
                  </w:rPr>
                </w:pPr>
                <w:r>
                  <w:rPr>
                    <w:rFonts w:hint="eastAsia" w:ascii="宋体" w:hAnsi="宋体" w:cs="宋体"/>
                  </w:rPr>
                  <w:t>二档</w:t>
                </w:r>
                <w:r>
                  <w:rPr>
                    <w:rFonts w:hint="eastAsia" w:ascii="宋体" w:hAnsi="宋体" w:cs="宋体"/>
                    <w:color w:val="0000FF"/>
                  </w:rPr>
                  <w:t>（</w:t>
                </w:r>
                <w:r>
                  <w:rPr>
                    <w:rFonts w:hint="eastAsia" w:ascii="宋体" w:hAnsi="宋体" w:cs="宋体"/>
                    <w:color w:val="0000FF"/>
                    <w:lang w:val="en-US" w:eastAsia="zh-CN"/>
                  </w:rPr>
                  <w:t>5</w:t>
                </w:r>
                <w:r>
                  <w:rPr>
                    <w:rFonts w:hint="eastAsia" w:ascii="宋体" w:hAnsi="宋体" w:cs="宋体"/>
                    <w:color w:val="0000FF"/>
                  </w:rPr>
                  <w:t>分）</w:t>
                </w:r>
                <w:r>
                  <w:rPr>
                    <w:rFonts w:hint="eastAsia" w:ascii="宋体" w:hAnsi="宋体" w:cs="宋体"/>
                  </w:rPr>
                  <w:t>：能基本满足招标文件要求，未提出详细的售后服务承诺。</w:t>
                </w:r>
              </w:p>
              <w:p w14:paraId="336622E9">
                <w:pPr>
                  <w:pageBreakBefore w:val="0"/>
                  <w:kinsoku/>
                  <w:wordWrap/>
                  <w:overflowPunct/>
                  <w:topLinePunct w:val="0"/>
                  <w:bidi w:val="0"/>
                  <w:adjustRightInd w:val="0"/>
                  <w:spacing w:line="360" w:lineRule="exact"/>
                  <w:ind w:left="0" w:leftChars="0"/>
                  <w:textAlignment w:val="baseline"/>
                  <w:rPr>
                    <w:rFonts w:ascii="宋体" w:hAnsi="宋体" w:cs="宋体"/>
                  </w:rPr>
                </w:pPr>
                <w:r>
                  <w:rPr>
                    <w:rFonts w:hint="eastAsia" w:ascii="宋体" w:hAnsi="宋体" w:cs="宋体"/>
                  </w:rPr>
                  <w:t>三档（10分）：能基本满足招标文件要求，有提出详细的售后服务承诺。</w:t>
                </w:r>
              </w:p>
              <w:p w14:paraId="530A9F76">
                <w:pPr>
                  <w:keepNext w:val="0"/>
                  <w:keepLines w:val="0"/>
                  <w:pageBreakBefore w:val="0"/>
                  <w:widowControl w:val="0"/>
                  <w:kinsoku/>
                  <w:wordWrap/>
                  <w:overflowPunct/>
                  <w:topLinePunct w:val="0"/>
                  <w:autoSpaceDE/>
                  <w:autoSpaceDN/>
                  <w:bidi w:val="0"/>
                  <w:adjustRightInd w:val="0"/>
                  <w:snapToGrid/>
                  <w:spacing w:line="360" w:lineRule="exact"/>
                  <w:ind w:left="0" w:leftChars="0"/>
                  <w:textAlignment w:val="baseline"/>
                  <w:rPr>
                    <w:rFonts w:hint="eastAsia" w:ascii="宋体" w:hAnsi="宋体" w:cs="宋体"/>
                  </w:rPr>
                </w:pPr>
                <w:r>
                  <w:rPr>
                    <w:rFonts w:hint="eastAsia" w:ascii="宋体" w:hAnsi="宋体" w:cs="宋体"/>
                  </w:rPr>
                  <w:t>四档（13分）：售后服务方案较好，有该项目详细的售后服务方案及培训计划，保修期限优于采购文件等，有提供售后服务机构及售后服务人员（提供投标单位或生产厂家售后服务机构地址及联系人、联系方式）。售后服务方案承诺定期回访，承诺更短的故障响应时间，即在使用过程中发现质量问题或故障时，须接到通知后24小时内派工程师到达用户现场及提供常用备件，按国家及行业标准对故障进行及时处理，以保证采购单位的正常使用。</w:t>
                </w:r>
              </w:p>
              <w:p w14:paraId="366E3875">
                <w:pPr>
                  <w:pStyle w:val="2"/>
                  <w:pageBreakBefore w:val="0"/>
                  <w:widowControl w:val="0"/>
                  <w:kinsoku/>
                  <w:wordWrap/>
                  <w:overflowPunct/>
                  <w:topLinePunct w:val="0"/>
                  <w:autoSpaceDE/>
                  <w:autoSpaceDN/>
                  <w:bidi w:val="0"/>
                  <w:snapToGrid/>
                  <w:spacing w:before="0" w:after="0" w:line="360" w:lineRule="exact"/>
                  <w:ind w:firstLine="420" w:firstLineChars="200"/>
                  <w:rPr>
                    <w:rFonts w:hint="default" w:eastAsia="宋体"/>
                    <w:b w:val="0"/>
                    <w:bCs w:val="0"/>
                    <w:color w:val="0000FF"/>
                    <w:sz w:val="21"/>
                    <w:szCs w:val="21"/>
                    <w:lang w:val="en-US" w:eastAsia="zh-CN"/>
                  </w:rPr>
                </w:pPr>
                <w:r>
                  <w:rPr>
                    <w:rFonts w:hint="eastAsia" w:ascii="宋体" w:hAnsi="宋体" w:cs="宋体"/>
                    <w:b w:val="0"/>
                    <w:bCs w:val="0"/>
                    <w:color w:val="0000FF"/>
                    <w:sz w:val="21"/>
                    <w:szCs w:val="21"/>
                    <w:lang w:eastAsia="zh-CN"/>
                  </w:rPr>
                  <w:t>不提供售后服务方案的得</w:t>
                </w:r>
                <w:r>
                  <w:rPr>
                    <w:rFonts w:hint="eastAsia" w:ascii="宋体" w:hAnsi="宋体" w:cs="宋体"/>
                    <w:b w:val="0"/>
                    <w:bCs w:val="0"/>
                    <w:color w:val="0000FF"/>
                    <w:sz w:val="21"/>
                    <w:szCs w:val="21"/>
                    <w:lang w:val="en-US" w:eastAsia="zh-CN"/>
                  </w:rPr>
                  <w:t>0分</w:t>
                </w:r>
              </w:p>
              <w:p w14:paraId="61790FA3">
                <w:pPr>
                  <w:pageBreakBefore w:val="0"/>
                  <w:widowControl w:val="0"/>
                  <w:kinsoku/>
                  <w:wordWrap/>
                  <w:overflowPunct/>
                  <w:topLinePunct w:val="0"/>
                  <w:autoSpaceDE/>
                  <w:autoSpaceDN/>
                  <w:bidi w:val="0"/>
                  <w:adjustRightInd w:val="0"/>
                  <w:snapToGrid/>
                  <w:spacing w:line="360" w:lineRule="exact"/>
                  <w:ind w:left="0" w:leftChars="0"/>
                  <w:textAlignment w:val="baseline"/>
                  <w:rPr>
                    <w:rFonts w:ascii="宋体" w:hAnsi="宋体" w:cs="宋体"/>
                  </w:rPr>
                </w:pPr>
                <w:r>
                  <w:rPr>
                    <w:rFonts w:hint="eastAsia" w:ascii="宋体" w:hAnsi="宋体" w:cs="宋体"/>
                  </w:rPr>
                  <w:t>2.更长免费保修期得分（满分</w:t>
                </w:r>
                <w:r>
                  <w:rPr>
                    <w:rFonts w:hint="eastAsia" w:ascii="宋体" w:hAnsi="宋体" w:cs="宋体"/>
                    <w:lang w:val="en-US" w:eastAsia="zh-CN"/>
                  </w:rPr>
                  <w:t>2</w:t>
                </w:r>
                <w:r>
                  <w:rPr>
                    <w:rFonts w:hint="eastAsia" w:ascii="宋体" w:hAnsi="宋体" w:cs="宋体"/>
                  </w:rPr>
                  <w:t>分）</w:t>
                </w:r>
              </w:p>
              <w:p w14:paraId="09FA823D">
                <w:pPr>
                  <w:pageBreakBefore w:val="0"/>
                  <w:kinsoku/>
                  <w:wordWrap/>
                  <w:overflowPunct/>
                  <w:topLinePunct w:val="0"/>
                  <w:bidi w:val="0"/>
                  <w:adjustRightInd w:val="0"/>
                  <w:spacing w:line="360" w:lineRule="exact"/>
                  <w:ind w:left="0" w:leftChars="0" w:firstLine="420" w:firstLineChars="200"/>
                  <w:textAlignment w:val="baseline"/>
                  <w:rPr>
                    <w:rFonts w:ascii="宋体" w:hAnsi="宋体" w:cs="宋体"/>
                  </w:rPr>
                </w:pPr>
                <w:r>
                  <w:rPr>
                    <w:rFonts w:hint="eastAsia" w:ascii="宋体" w:hAnsi="宋体" w:cs="宋体"/>
                  </w:rPr>
                  <w:t>承诺免费保修期长于招标文件要求的，每延长1年加</w:t>
                </w:r>
                <w:r>
                  <w:rPr>
                    <w:rFonts w:hint="eastAsia" w:ascii="宋体" w:hAnsi="宋体" w:cs="宋体"/>
                    <w:color w:val="0000FF"/>
                    <w:lang w:val="en-US" w:eastAsia="zh-CN"/>
                  </w:rPr>
                  <w:t>1</w:t>
                </w:r>
                <w:r>
                  <w:rPr>
                    <w:rFonts w:hint="eastAsia" w:ascii="宋体" w:hAnsi="宋体" w:cs="宋体"/>
                    <w:color w:val="0000FF"/>
                  </w:rPr>
                  <w:t>分</w:t>
                </w:r>
                <w:r>
                  <w:rPr>
                    <w:rFonts w:hint="eastAsia" w:ascii="宋体" w:hAnsi="宋体" w:cs="宋体"/>
                  </w:rPr>
                  <w:t>，满分</w:t>
                </w:r>
                <w:r>
                  <w:rPr>
                    <w:rFonts w:hint="eastAsia" w:ascii="宋体" w:hAnsi="宋体" w:cs="宋体"/>
                    <w:color w:val="0000FF"/>
                    <w:lang w:val="en-US" w:eastAsia="zh-CN"/>
                  </w:rPr>
                  <w:t>2</w:t>
                </w:r>
                <w:r>
                  <w:rPr>
                    <w:rFonts w:hint="eastAsia" w:ascii="宋体" w:hAnsi="宋体" w:cs="宋体"/>
                    <w:color w:val="0000FF"/>
                  </w:rPr>
                  <w:t>分</w:t>
                </w:r>
                <w:r>
                  <w:rPr>
                    <w:rFonts w:hint="eastAsia" w:ascii="宋体" w:hAnsi="宋体" w:cs="宋体"/>
                  </w:rPr>
                  <w:t>。（以厂家承诺书原件为准，否则不得分）</w:t>
                </w:r>
              </w:p>
            </w:tc>
            <w:tc>
              <w:tcPr>
                <w:tcW w:w="1088" w:type="dxa"/>
                <w:vAlign w:val="center"/>
              </w:tcPr>
              <w:p w14:paraId="68A43E22">
                <w:pPr>
                  <w:pageBreakBefore w:val="0"/>
                  <w:kinsoku/>
                  <w:wordWrap/>
                  <w:overflowPunct/>
                  <w:topLinePunct w:val="0"/>
                  <w:bidi w:val="0"/>
                  <w:spacing w:line="280" w:lineRule="exact"/>
                  <w:ind w:left="0" w:leftChars="0"/>
                  <w:rPr>
                    <w:rFonts w:ascii="宋体" w:hAnsi="宋体" w:cs="宋体"/>
                  </w:rPr>
                </w:pPr>
              </w:p>
            </w:tc>
          </w:tr>
          <w:tr w14:paraId="2DEB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09" w:type="dxa"/>
                <w:vAlign w:val="center"/>
              </w:tcPr>
              <w:p w14:paraId="49F863A5">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四</w:t>
                </w:r>
              </w:p>
            </w:tc>
            <w:tc>
              <w:tcPr>
                <w:tcW w:w="1418" w:type="dxa"/>
                <w:vAlign w:val="center"/>
              </w:tcPr>
              <w:p w14:paraId="4D6A82FB">
                <w:pPr>
                  <w:pageBreakBefore w:val="0"/>
                  <w:kinsoku/>
                  <w:wordWrap/>
                  <w:overflowPunct/>
                  <w:topLinePunct w:val="0"/>
                  <w:bidi w:val="0"/>
                  <w:ind w:left="0" w:leftChars="0"/>
                  <w:jc w:val="left"/>
                  <w:rPr>
                    <w:bCs/>
                    <w:color w:val="000000"/>
                  </w:rPr>
                </w:pPr>
                <w:r>
                  <w:rPr>
                    <w:rFonts w:hint="eastAsia"/>
                    <w:color w:val="000000"/>
                  </w:rPr>
                  <w:t>类似项目业绩（15分）</w:t>
                </w:r>
              </w:p>
            </w:tc>
            <w:tc>
              <w:tcPr>
                <w:tcW w:w="6409" w:type="dxa"/>
                <w:vAlign w:val="center"/>
              </w:tcPr>
              <w:p w14:paraId="6B82DFD0">
                <w:pPr>
                  <w:pageBreakBefore w:val="0"/>
                  <w:kinsoku/>
                  <w:wordWrap/>
                  <w:overflowPunct/>
                  <w:topLinePunct w:val="0"/>
                  <w:bidi w:val="0"/>
                  <w:adjustRightInd w:val="0"/>
                  <w:spacing w:line="360" w:lineRule="exact"/>
                  <w:ind w:left="0" w:leftChars="0" w:firstLine="420" w:firstLineChars="200"/>
                  <w:textAlignment w:val="baseline"/>
                  <w:rPr>
                    <w:rFonts w:ascii="宋体" w:hAnsi="宋体" w:cs="宋体"/>
                  </w:rPr>
                </w:pPr>
                <w:r>
                  <w:rPr>
                    <w:rFonts w:hint="eastAsia" w:ascii="宋体" w:hAnsi="宋体" w:cs="宋体"/>
                  </w:rPr>
                  <w:t>分子筛制氧系统的维修业绩（以提供分子筛的更换合同复印件为依据）：提供1个合同得5分；提供2个合同得10分，提供3个合同得15分，；无业绩，得0分。</w:t>
                </w:r>
              </w:p>
              <w:p w14:paraId="13A376BE">
                <w:pPr>
                  <w:pageBreakBefore w:val="0"/>
                  <w:kinsoku/>
                  <w:wordWrap/>
                  <w:overflowPunct/>
                  <w:topLinePunct w:val="0"/>
                  <w:bidi w:val="0"/>
                  <w:adjustRightInd w:val="0"/>
                  <w:spacing w:line="360" w:lineRule="exact"/>
                  <w:ind w:left="0" w:leftChars="0" w:firstLine="420" w:firstLineChars="200"/>
                  <w:textAlignment w:val="baseline"/>
                </w:pPr>
                <w:r>
                  <w:rPr>
                    <w:rFonts w:hint="eastAsia" w:ascii="宋体" w:hAnsi="宋体" w:cs="宋体"/>
                  </w:rPr>
                  <w:t>注：投标文件中提供业绩合同关键页扫描件（含签订合同双方的单位名称、合同项目名称与含签订合同双方的落款盖章、签订日期的关键页）加盖投标人公章，未按要求提供的不得分。</w:t>
                </w:r>
              </w:p>
            </w:tc>
            <w:tc>
              <w:tcPr>
                <w:tcW w:w="1088" w:type="dxa"/>
                <w:vAlign w:val="center"/>
              </w:tcPr>
              <w:p w14:paraId="4ADCE985">
                <w:pPr>
                  <w:pageBreakBefore w:val="0"/>
                  <w:kinsoku/>
                  <w:wordWrap/>
                  <w:overflowPunct/>
                  <w:topLinePunct w:val="0"/>
                  <w:bidi w:val="0"/>
                  <w:spacing w:line="280" w:lineRule="exact"/>
                  <w:ind w:left="0" w:leftChars="0"/>
                  <w:rPr>
                    <w:rFonts w:ascii="宋体" w:hAnsi="宋体" w:cs="宋体"/>
                  </w:rPr>
                </w:pPr>
              </w:p>
            </w:tc>
          </w:tr>
          <w:tr w14:paraId="73C4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09" w:type="dxa"/>
                <w:vAlign w:val="center"/>
              </w:tcPr>
              <w:p w14:paraId="5FBD1C5D">
                <w:pPr>
                  <w:pageBreakBefore w:val="0"/>
                  <w:kinsoku/>
                  <w:wordWrap/>
                  <w:overflowPunct/>
                  <w:topLinePunct w:val="0"/>
                  <w:bidi w:val="0"/>
                  <w:spacing w:line="280" w:lineRule="exact"/>
                  <w:ind w:left="0" w:leftChars="0"/>
                  <w:rPr>
                    <w:rFonts w:ascii="宋体" w:hAnsi="宋体" w:cs="宋体"/>
                    <w:sz w:val="21"/>
                    <w:szCs w:val="21"/>
                  </w:rPr>
                </w:pPr>
                <w:r>
                  <w:rPr>
                    <w:rFonts w:hint="eastAsia" w:ascii="宋体" w:hAnsi="宋体" w:cs="宋体"/>
                    <w:sz w:val="21"/>
                    <w:szCs w:val="21"/>
                  </w:rPr>
                  <w:t>五</w:t>
                </w:r>
              </w:p>
            </w:tc>
            <w:tc>
              <w:tcPr>
                <w:tcW w:w="1418" w:type="dxa"/>
                <w:vAlign w:val="center"/>
              </w:tcPr>
              <w:p w14:paraId="4B9C48A1">
                <w:pPr>
                  <w:pStyle w:val="13"/>
                  <w:pageBreakBefore w:val="0"/>
                  <w:kinsoku/>
                  <w:wordWrap/>
                  <w:overflowPunct/>
                  <w:topLinePunct w:val="0"/>
                  <w:bidi w:val="0"/>
                  <w:ind w:left="0" w:leftChars="0"/>
                  <w:rPr>
                    <w:sz w:val="21"/>
                    <w:szCs w:val="21"/>
                  </w:rPr>
                </w:pPr>
                <w:r>
                  <w:rPr>
                    <w:sz w:val="21"/>
                    <w:szCs w:val="21"/>
                  </w:rPr>
                  <w:t>在有效期内的体系认证情况 (</w:t>
                </w:r>
                <w:r>
                  <w:rPr>
                    <w:rFonts w:hint="eastAsia"/>
                    <w:sz w:val="21"/>
                    <w:szCs w:val="21"/>
                  </w:rPr>
                  <w:t>12</w:t>
                </w:r>
                <w:r>
                  <w:rPr>
                    <w:sz w:val="21"/>
                    <w:szCs w:val="21"/>
                  </w:rPr>
                  <w:t>分)</w:t>
                </w:r>
              </w:p>
            </w:tc>
            <w:tc>
              <w:tcPr>
                <w:tcW w:w="6409" w:type="dxa"/>
                <w:vAlign w:val="center"/>
              </w:tcPr>
              <w:p w14:paraId="30AA3E0D">
                <w:pPr>
                  <w:pageBreakBefore w:val="0"/>
                  <w:kinsoku/>
                  <w:wordWrap/>
                  <w:overflowPunct/>
                  <w:topLinePunct w:val="0"/>
                  <w:bidi w:val="0"/>
                  <w:adjustRightInd w:val="0"/>
                  <w:spacing w:line="360" w:lineRule="exact"/>
                  <w:ind w:left="0" w:leftChars="0"/>
                  <w:textAlignment w:val="baseline"/>
                  <w:rPr>
                    <w:color w:val="000000"/>
                  </w:rPr>
                </w:pPr>
                <w:r>
                  <w:t>供应商具有有效期内的质量管理体系认证、环境管理体系认证、职业健康安全管理体系认证</w:t>
                </w:r>
                <w:r>
                  <w:rPr>
                    <w:rFonts w:hint="eastAsia"/>
                  </w:rPr>
                  <w:t>、设备维修保养服务认证</w:t>
                </w:r>
                <w:r>
                  <w:t>。每具有一项得</w:t>
                </w:r>
                <w:r>
                  <w:rPr>
                    <w:rFonts w:hint="eastAsia"/>
                  </w:rPr>
                  <w:t>3</w:t>
                </w:r>
                <w:r>
                  <w:t>分，最高得</w:t>
                </w:r>
                <w:r>
                  <w:rPr>
                    <w:rFonts w:hint="eastAsia"/>
                  </w:rPr>
                  <w:t>12</w:t>
                </w:r>
                <w:r>
                  <w:t>分。 提供证书扫描件及在全国认证认可信息公共服务平台上对证书的查询结果截图为证明材料。</w:t>
                </w:r>
              </w:p>
            </w:tc>
            <w:tc>
              <w:tcPr>
                <w:tcW w:w="1088" w:type="dxa"/>
                <w:vAlign w:val="center"/>
              </w:tcPr>
              <w:p w14:paraId="6E7B7C6B">
                <w:pPr>
                  <w:pageBreakBefore w:val="0"/>
                  <w:kinsoku/>
                  <w:wordWrap/>
                  <w:overflowPunct/>
                  <w:topLinePunct w:val="0"/>
                  <w:bidi w:val="0"/>
                  <w:spacing w:line="280" w:lineRule="exact"/>
                  <w:ind w:left="0" w:leftChars="0"/>
                  <w:rPr>
                    <w:rFonts w:ascii="宋体" w:hAnsi="宋体" w:cs="宋体"/>
                  </w:rPr>
                </w:pPr>
              </w:p>
            </w:tc>
          </w:tr>
          <w:tr w14:paraId="7756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09" w:type="dxa"/>
                <w:vAlign w:val="center"/>
              </w:tcPr>
              <w:p w14:paraId="14F50336">
                <w:pPr>
                  <w:pageBreakBefore w:val="0"/>
                  <w:kinsoku/>
                  <w:wordWrap/>
                  <w:overflowPunct/>
                  <w:topLinePunct w:val="0"/>
                  <w:bidi w:val="0"/>
                  <w:spacing w:line="280" w:lineRule="exact"/>
                  <w:ind w:left="0" w:leftChars="0"/>
                  <w:rPr>
                    <w:rFonts w:ascii="宋体" w:hAnsi="宋体" w:cs="宋体"/>
                    <w:sz w:val="21"/>
                    <w:szCs w:val="21"/>
                  </w:rPr>
                </w:pPr>
                <w:r>
                  <w:rPr>
                    <w:rFonts w:hint="eastAsia" w:ascii="宋体" w:hAnsi="宋体" w:cs="宋体"/>
                    <w:sz w:val="21"/>
                    <w:szCs w:val="21"/>
                  </w:rPr>
                  <w:t>六</w:t>
                </w:r>
              </w:p>
            </w:tc>
            <w:tc>
              <w:tcPr>
                <w:tcW w:w="1418" w:type="dxa"/>
                <w:vAlign w:val="center"/>
              </w:tcPr>
              <w:p w14:paraId="1D5C7D6B">
                <w:pPr>
                  <w:pStyle w:val="13"/>
                  <w:pageBreakBefore w:val="0"/>
                  <w:kinsoku/>
                  <w:wordWrap/>
                  <w:overflowPunct/>
                  <w:topLinePunct w:val="0"/>
                  <w:bidi w:val="0"/>
                  <w:ind w:left="0" w:leftChars="0"/>
                  <w:rPr>
                    <w:sz w:val="21"/>
                    <w:szCs w:val="21"/>
                  </w:rPr>
                </w:pPr>
                <w:r>
                  <w:rPr>
                    <w:sz w:val="21"/>
                    <w:szCs w:val="21"/>
                  </w:rPr>
                  <w:t>拟投入本项目的人员 (</w:t>
                </w:r>
                <w:r>
                  <w:rPr>
                    <w:rFonts w:hint="eastAsia"/>
                    <w:sz w:val="21"/>
                    <w:szCs w:val="21"/>
                  </w:rPr>
                  <w:t>8</w:t>
                </w:r>
                <w:r>
                  <w:rPr>
                    <w:sz w:val="21"/>
                    <w:szCs w:val="21"/>
                  </w:rPr>
                  <w:t>分)</w:t>
                </w:r>
              </w:p>
            </w:tc>
            <w:tc>
              <w:tcPr>
                <w:tcW w:w="6409" w:type="dxa"/>
                <w:vAlign w:val="center"/>
              </w:tcPr>
              <w:p w14:paraId="789E20AB">
                <w:pPr>
                  <w:pageBreakBefore w:val="0"/>
                  <w:kinsoku/>
                  <w:wordWrap/>
                  <w:overflowPunct/>
                  <w:topLinePunct w:val="0"/>
                  <w:bidi w:val="0"/>
                  <w:adjustRightInd w:val="0"/>
                  <w:spacing w:line="360" w:lineRule="exact"/>
                  <w:ind w:left="0" w:leftChars="0"/>
                  <w:textAlignment w:val="baseline"/>
                </w:pPr>
                <w:r>
                  <w:rPr>
                    <w:rFonts w:hint="eastAsia"/>
                  </w:rPr>
                  <w:t>拟投入本项目的维修团队中的维修人员同时具有以下双证证书的评价（本项满分8分）：</w:t>
                </w:r>
              </w:p>
              <w:p w14:paraId="19611C71">
                <w:pPr>
                  <w:pageBreakBefore w:val="0"/>
                  <w:widowControl/>
                  <w:kinsoku/>
                  <w:wordWrap/>
                  <w:overflowPunct/>
                  <w:topLinePunct w:val="0"/>
                  <w:bidi w:val="0"/>
                  <w:spacing w:line="360" w:lineRule="auto"/>
                  <w:ind w:left="0" w:leftChars="0"/>
                  <w:jc w:val="left"/>
                  <w:rPr>
                    <w:rFonts w:ascii="仿宋" w:hAnsi="仿宋" w:eastAsia="仿宋" w:cs="仿宋_GB2312"/>
                    <w:color w:val="0000FF"/>
                    <w:sz w:val="24"/>
                  </w:rPr>
                </w:pPr>
                <w:r>
                  <w:rPr>
                    <w:rFonts w:hint="eastAsia"/>
                    <w:color w:val="0000FF"/>
                  </w:rPr>
                  <w:t>1.具有特种设备操作证（R1），</w:t>
                </w:r>
                <w:r>
                  <w:rPr>
                    <w:rFonts w:hint="eastAsia"/>
                    <w:color w:val="0000FF"/>
                    <w:lang w:eastAsia="zh-CN"/>
                  </w:rPr>
                  <w:t>每证</w:t>
                </w:r>
                <w:r>
                  <w:rPr>
                    <w:rFonts w:hint="eastAsia"/>
                    <w:color w:val="0000FF"/>
                  </w:rPr>
                  <w:t>得2分，最多计2人满分4分；</w:t>
                </w:r>
                <w:r>
                  <w:rPr>
                    <w:rFonts w:hint="eastAsia"/>
                    <w:color w:val="0000FF"/>
                  </w:rPr>
                  <w:br w:type="textWrapping"/>
                </w:r>
                <w:r>
                  <w:rPr>
                    <w:rFonts w:hint="eastAsia"/>
                    <w:color w:val="0000FF"/>
                  </w:rPr>
                  <w:t>2.具有特种作业操作证（低压电工作业、焊接作业），每证得2分，最多计2人，满分4分；</w:t>
                </w:r>
              </w:p>
              <w:p w14:paraId="55CD94E9">
                <w:pPr>
                  <w:pageBreakBefore w:val="0"/>
                  <w:kinsoku/>
                  <w:wordWrap/>
                  <w:overflowPunct/>
                  <w:topLinePunct w:val="0"/>
                  <w:bidi w:val="0"/>
                  <w:adjustRightInd w:val="0"/>
                  <w:spacing w:line="360" w:lineRule="exact"/>
                  <w:ind w:left="0" w:leftChars="0"/>
                  <w:textAlignment w:val="baseline"/>
                  <w:rPr>
                    <w:color w:val="000000"/>
                  </w:rPr>
                </w:pPr>
                <w:r>
                  <w:rPr>
                    <w:rFonts w:hint="eastAsia"/>
                  </w:rPr>
                  <w:t>注：投标文件中需提供有效的人员证书复印件；同时提供由社保部门出具的投标截止日前近半年内任意一个月缴纳社保的证明材料复印件加盖投标人公章，未按要求提供的不得分。</w:t>
                </w:r>
              </w:p>
            </w:tc>
            <w:tc>
              <w:tcPr>
                <w:tcW w:w="1088" w:type="dxa"/>
                <w:vAlign w:val="center"/>
              </w:tcPr>
              <w:p w14:paraId="31EFB72D">
                <w:pPr>
                  <w:pageBreakBefore w:val="0"/>
                  <w:kinsoku/>
                  <w:wordWrap/>
                  <w:overflowPunct/>
                  <w:topLinePunct w:val="0"/>
                  <w:bidi w:val="0"/>
                  <w:spacing w:line="280" w:lineRule="exact"/>
                  <w:ind w:left="0" w:leftChars="0"/>
                  <w:rPr>
                    <w:rFonts w:ascii="宋体" w:hAnsi="宋体" w:cs="宋体"/>
                  </w:rPr>
                </w:pPr>
              </w:p>
            </w:tc>
          </w:tr>
          <w:tr w14:paraId="5255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9" w:type="dxa"/>
                <w:vAlign w:val="center"/>
              </w:tcPr>
              <w:p w14:paraId="003A3BA6">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七</w:t>
                </w:r>
              </w:p>
            </w:tc>
            <w:tc>
              <w:tcPr>
                <w:tcW w:w="1418" w:type="dxa"/>
                <w:vAlign w:val="center"/>
              </w:tcPr>
              <w:p w14:paraId="20F9FF82">
                <w:pPr>
                  <w:pageBreakBefore w:val="0"/>
                  <w:kinsoku/>
                  <w:wordWrap/>
                  <w:overflowPunct/>
                  <w:topLinePunct w:val="0"/>
                  <w:bidi w:val="0"/>
                  <w:spacing w:line="280" w:lineRule="exact"/>
                  <w:ind w:left="0" w:leftChars="0" w:firstLine="420" w:firstLineChars="200"/>
                  <w:rPr>
                    <w:rFonts w:ascii="宋体" w:hAnsi="宋体" w:cs="宋体"/>
                  </w:rPr>
                </w:pPr>
                <w:r>
                  <w:rPr>
                    <w:rFonts w:hint="eastAsia" w:ascii="宋体" w:hAnsi="宋体" w:cs="宋体"/>
                  </w:rPr>
                  <w:t>总分</w:t>
                </w:r>
              </w:p>
              <w:p w14:paraId="73708E0B">
                <w:pPr>
                  <w:pageBreakBefore w:val="0"/>
                  <w:kinsoku/>
                  <w:wordWrap/>
                  <w:overflowPunct/>
                  <w:topLinePunct w:val="0"/>
                  <w:bidi w:val="0"/>
                  <w:spacing w:line="280" w:lineRule="exact"/>
                  <w:ind w:left="0" w:leftChars="0"/>
                  <w:rPr>
                    <w:rFonts w:ascii="宋体" w:hAnsi="宋体" w:cs="宋体"/>
                  </w:rPr>
                </w:pPr>
                <w:r>
                  <w:rPr>
                    <w:rFonts w:hint="eastAsia" w:ascii="宋体" w:hAnsi="宋体" w:cs="宋体"/>
                  </w:rPr>
                  <w:t xml:space="preserve">（最后得分） </w:t>
                </w:r>
              </w:p>
            </w:tc>
            <w:tc>
              <w:tcPr>
                <w:tcW w:w="7497" w:type="dxa"/>
                <w:gridSpan w:val="2"/>
                <w:vAlign w:val="center"/>
              </w:tcPr>
              <w:p w14:paraId="272DF379">
                <w:pPr>
                  <w:pStyle w:val="13"/>
                  <w:pageBreakBefore w:val="0"/>
                  <w:kinsoku/>
                  <w:wordWrap/>
                  <w:overflowPunct/>
                  <w:topLinePunct w:val="0"/>
                  <w:bidi w:val="0"/>
                  <w:ind w:left="0" w:leftChars="0"/>
                </w:pPr>
                <w:r>
                  <w:rPr>
                    <w:rFonts w:hint="eastAsia"/>
                  </w:rPr>
                  <w:t>100分</w:t>
                </w:r>
              </w:p>
            </w:tc>
          </w:tr>
        </w:tbl>
      </w:sdtContent>
    </w:sdt>
    <w:p w14:paraId="5C3E1695">
      <w:pPr>
        <w:pStyle w:val="13"/>
        <w:pageBreakBefore w:val="0"/>
        <w:kinsoku/>
        <w:wordWrap/>
        <w:overflowPunct/>
        <w:topLinePunct w:val="0"/>
        <w:bidi w:val="0"/>
        <w:ind w:left="0" w:leftChars="0"/>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971B5"/>
    <w:rsid w:val="000A18CA"/>
    <w:rsid w:val="000A6C18"/>
    <w:rsid w:val="000B7E2D"/>
    <w:rsid w:val="000E1AA6"/>
    <w:rsid w:val="00174179"/>
    <w:rsid w:val="00204183"/>
    <w:rsid w:val="00241CD6"/>
    <w:rsid w:val="002C7944"/>
    <w:rsid w:val="002E58CB"/>
    <w:rsid w:val="00345A92"/>
    <w:rsid w:val="003C3AB5"/>
    <w:rsid w:val="003E7DC1"/>
    <w:rsid w:val="00474079"/>
    <w:rsid w:val="004C7EB2"/>
    <w:rsid w:val="004D08F5"/>
    <w:rsid w:val="004D2825"/>
    <w:rsid w:val="004F5A76"/>
    <w:rsid w:val="005007DD"/>
    <w:rsid w:val="00547453"/>
    <w:rsid w:val="005B169C"/>
    <w:rsid w:val="005D491D"/>
    <w:rsid w:val="00641BC9"/>
    <w:rsid w:val="00654BC6"/>
    <w:rsid w:val="00684BD7"/>
    <w:rsid w:val="006E5543"/>
    <w:rsid w:val="00707A97"/>
    <w:rsid w:val="00716A14"/>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17E4"/>
    <w:rsid w:val="00E14108"/>
    <w:rsid w:val="00E72BBE"/>
    <w:rsid w:val="00EB1C9B"/>
    <w:rsid w:val="00EB493F"/>
    <w:rsid w:val="00ED5546"/>
    <w:rsid w:val="00EE12B7"/>
    <w:rsid w:val="00EE535C"/>
    <w:rsid w:val="01124992"/>
    <w:rsid w:val="01CB43E2"/>
    <w:rsid w:val="02615DF0"/>
    <w:rsid w:val="02704001"/>
    <w:rsid w:val="03B56736"/>
    <w:rsid w:val="08811B14"/>
    <w:rsid w:val="0A795D65"/>
    <w:rsid w:val="0CC05EEA"/>
    <w:rsid w:val="0DAB0B9B"/>
    <w:rsid w:val="0DFE11D3"/>
    <w:rsid w:val="0E6B1369"/>
    <w:rsid w:val="0E841092"/>
    <w:rsid w:val="0E8C22E1"/>
    <w:rsid w:val="10C97A40"/>
    <w:rsid w:val="10EC6F96"/>
    <w:rsid w:val="111563A0"/>
    <w:rsid w:val="11AC7198"/>
    <w:rsid w:val="122B15C9"/>
    <w:rsid w:val="12C97D37"/>
    <w:rsid w:val="1461070D"/>
    <w:rsid w:val="157601E9"/>
    <w:rsid w:val="166F4544"/>
    <w:rsid w:val="17BF5E77"/>
    <w:rsid w:val="18684614"/>
    <w:rsid w:val="1A1A55E6"/>
    <w:rsid w:val="1B0B13D3"/>
    <w:rsid w:val="1B46065D"/>
    <w:rsid w:val="1E5D3CF4"/>
    <w:rsid w:val="1E622ABE"/>
    <w:rsid w:val="1F035C98"/>
    <w:rsid w:val="210C7B8E"/>
    <w:rsid w:val="21B710F4"/>
    <w:rsid w:val="2218153E"/>
    <w:rsid w:val="22486A69"/>
    <w:rsid w:val="22D67A65"/>
    <w:rsid w:val="23CD191B"/>
    <w:rsid w:val="25557B03"/>
    <w:rsid w:val="25773183"/>
    <w:rsid w:val="26431704"/>
    <w:rsid w:val="26CD4569"/>
    <w:rsid w:val="27D01D3D"/>
    <w:rsid w:val="28110468"/>
    <w:rsid w:val="28D70B46"/>
    <w:rsid w:val="293A4A87"/>
    <w:rsid w:val="2E44559E"/>
    <w:rsid w:val="2EAE2349"/>
    <w:rsid w:val="2F2E4F26"/>
    <w:rsid w:val="311834AF"/>
    <w:rsid w:val="318469E5"/>
    <w:rsid w:val="3194337D"/>
    <w:rsid w:val="33056833"/>
    <w:rsid w:val="36C070BE"/>
    <w:rsid w:val="3737378F"/>
    <w:rsid w:val="3806606D"/>
    <w:rsid w:val="38561184"/>
    <w:rsid w:val="397701BE"/>
    <w:rsid w:val="3A6964C5"/>
    <w:rsid w:val="3AB74334"/>
    <w:rsid w:val="3B546CEC"/>
    <w:rsid w:val="3EA21DFC"/>
    <w:rsid w:val="3F08462B"/>
    <w:rsid w:val="3F8769CB"/>
    <w:rsid w:val="41366ED0"/>
    <w:rsid w:val="42FE1B10"/>
    <w:rsid w:val="43B10692"/>
    <w:rsid w:val="46F65015"/>
    <w:rsid w:val="484D14FE"/>
    <w:rsid w:val="48D85C25"/>
    <w:rsid w:val="4C1C5576"/>
    <w:rsid w:val="4D07114B"/>
    <w:rsid w:val="4D442BFB"/>
    <w:rsid w:val="4D781BD4"/>
    <w:rsid w:val="4DA009DA"/>
    <w:rsid w:val="4DA97E72"/>
    <w:rsid w:val="4DB9683E"/>
    <w:rsid w:val="50502E0F"/>
    <w:rsid w:val="50923421"/>
    <w:rsid w:val="51794369"/>
    <w:rsid w:val="51B2246F"/>
    <w:rsid w:val="52552958"/>
    <w:rsid w:val="539906F6"/>
    <w:rsid w:val="552F01AA"/>
    <w:rsid w:val="559F0397"/>
    <w:rsid w:val="55DD513F"/>
    <w:rsid w:val="560322D8"/>
    <w:rsid w:val="574F6893"/>
    <w:rsid w:val="57783371"/>
    <w:rsid w:val="589150FF"/>
    <w:rsid w:val="591470C9"/>
    <w:rsid w:val="5C1E200D"/>
    <w:rsid w:val="5C60665C"/>
    <w:rsid w:val="5C797243"/>
    <w:rsid w:val="5D1A4465"/>
    <w:rsid w:val="5FFD63C3"/>
    <w:rsid w:val="60964844"/>
    <w:rsid w:val="62DE3608"/>
    <w:rsid w:val="635822A8"/>
    <w:rsid w:val="65706B30"/>
    <w:rsid w:val="66103548"/>
    <w:rsid w:val="672F6913"/>
    <w:rsid w:val="67EF0C5A"/>
    <w:rsid w:val="68A52010"/>
    <w:rsid w:val="69704055"/>
    <w:rsid w:val="6A513DD5"/>
    <w:rsid w:val="6BF540D9"/>
    <w:rsid w:val="6CA20189"/>
    <w:rsid w:val="6DD0797D"/>
    <w:rsid w:val="6E1A0EFE"/>
    <w:rsid w:val="6E787898"/>
    <w:rsid w:val="71754026"/>
    <w:rsid w:val="72165809"/>
    <w:rsid w:val="74B5471E"/>
    <w:rsid w:val="77E41C8F"/>
    <w:rsid w:val="77FF632E"/>
    <w:rsid w:val="782E7CE9"/>
    <w:rsid w:val="7AA5772A"/>
    <w:rsid w:val="7B036868"/>
    <w:rsid w:val="7CA915F3"/>
    <w:rsid w:val="7E582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4"/>
    <w:unhideWhenUsed/>
    <w:qFormat/>
    <w:uiPriority w:val="0"/>
    <w:pPr>
      <w:keepNext/>
      <w:keepLines/>
      <w:spacing w:before="140" w:after="140"/>
      <w:jc w:val="left"/>
      <w:outlineLvl w:val="1"/>
    </w:pPr>
    <w:rPr>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99"/>
    <w:pPr>
      <w:jc w:val="left"/>
    </w:pPr>
  </w:style>
  <w:style w:type="paragraph" w:styleId="4">
    <w:name w:val="Plain Text"/>
    <w:basedOn w:val="1"/>
    <w:link w:val="17"/>
    <w:qFormat/>
    <w:uiPriority w:val="99"/>
    <w:rPr>
      <w:rFonts w:ascii="宋体" w:hAnsi="Courier New"/>
    </w:rPr>
  </w:style>
  <w:style w:type="paragraph" w:styleId="5">
    <w:name w:val="Balloon Text"/>
    <w:basedOn w:val="1"/>
    <w:link w:val="26"/>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Char"/>
    <w:basedOn w:val="15"/>
    <w:link w:val="8"/>
    <w:semiHidden/>
    <w:qFormat/>
    <w:uiPriority w:val="99"/>
    <w:rPr>
      <w:rFonts w:ascii="Times New Roman" w:hAnsi="Times New Roman" w:eastAsia="宋体" w:cs="Times New Roman"/>
      <w:b/>
      <w:bCs/>
      <w:szCs w:val="21"/>
    </w:rPr>
  </w:style>
  <w:style w:type="character" w:customStyle="1" w:styleId="17">
    <w:name w:val="纯文本 Char"/>
    <w:basedOn w:val="11"/>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Char"/>
    <w:basedOn w:val="11"/>
    <w:link w:val="7"/>
    <w:qFormat/>
    <w:uiPriority w:val="99"/>
    <w:rPr>
      <w:rFonts w:ascii="Times New Roman" w:hAnsi="Times New Roman" w:eastAsia="宋体" w:cs="Times New Roman"/>
      <w:sz w:val="18"/>
      <w:szCs w:val="18"/>
    </w:rPr>
  </w:style>
  <w:style w:type="character" w:customStyle="1" w:styleId="21">
    <w:name w:val="页脚 Char"/>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character" w:customStyle="1" w:styleId="24">
    <w:name w:val="标题 2 Char"/>
    <w:basedOn w:val="11"/>
    <w:link w:val="2"/>
    <w:qFormat/>
    <w:uiPriority w:val="0"/>
    <w:rPr>
      <w:rFonts w:ascii="Times New Roman" w:hAnsi="Times New Roman" w:eastAsia="宋体" w:cs="Times New Roman"/>
      <w:b/>
      <w:bCs/>
      <w:kern w:val="2"/>
      <w:sz w:val="24"/>
      <w:szCs w:val="32"/>
    </w:rPr>
  </w:style>
  <w:style w:type="paragraph" w:styleId="25">
    <w:name w:val="List Paragraph"/>
    <w:basedOn w:val="1"/>
    <w:autoRedefine/>
    <w:qFormat/>
    <w:uiPriority w:val="34"/>
    <w:pPr>
      <w:framePr w:hSpace="180" w:wrap="around" w:vAnchor="text" w:hAnchor="page" w:x="1792" w:y="251"/>
      <w:suppressOverlap/>
      <w:spacing w:line="280" w:lineRule="atLeast"/>
      <w:jc w:val="center"/>
    </w:pPr>
    <w:rPr>
      <w:rFonts w:asciiTheme="minorEastAsia" w:hAnsiTheme="minorEastAsia" w:eastAsiaTheme="minorEastAsia" w:cstheme="minorEastAsia"/>
      <w:b/>
      <w:bCs/>
      <w:sz w:val="24"/>
      <w:szCs w:val="24"/>
    </w:rPr>
  </w:style>
  <w:style w:type="character" w:customStyle="1" w:styleId="26">
    <w:name w:val="批注框文本 Char"/>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4FF21063">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B2DBA"/>
    <w:rsid w:val="0048475D"/>
    <w:rsid w:val="007311C2"/>
    <w:rsid w:val="0080285A"/>
    <w:rsid w:val="00BC74F1"/>
    <w:rsid w:val="00E25B59"/>
    <w:rsid w:val="00F22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3060</Words>
  <Characters>3204</Characters>
  <Lines>24</Lines>
  <Paragraphs>6</Paragraphs>
  <TotalTime>0</TotalTime>
  <ScaleCrop>false</ScaleCrop>
  <LinksUpToDate>false</LinksUpToDate>
  <CharactersWithSpaces>3212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2025-04-11T02:27:00Z</dcterms:created>
  <dc:creator>c k</dc:creator>
  <cp:lastModifiedBy>Administrator</cp:lastModifiedBy>
  <cp:lastPrinted>2021-01-18T07:59:00Z</cp:lastPrinted>
  <dcterms:modified xsi:type="dcterms:W3CDTF">2025-04-30T03:26:51Z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