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20D6B">
      <w:pPr>
        <w:pStyle w:val="4"/>
        <w:jc w:val="right"/>
        <w:rPr>
          <w:rFonts w:hint="eastAsia" w:ascii="黑体" w:eastAsia="黑体"/>
          <w:b w:val="0"/>
        </w:rPr>
      </w:pPr>
      <w:r>
        <w:rPr>
          <w:rFonts w:hint="eastAsia" w:ascii="黑体" w:eastAsia="黑体"/>
          <w:b w:val="0"/>
        </w:rPr>
        <w:t>合同编号：   桂东合202400</w:t>
      </w:r>
      <w:r>
        <w:rPr>
          <w:rFonts w:hint="eastAsia" w:ascii="黑体" w:eastAsia="黑体"/>
          <w:b w:val="0"/>
          <w:color w:val="FF0000"/>
        </w:rPr>
        <w:t>X</w:t>
      </w:r>
      <w:r>
        <w:rPr>
          <w:rFonts w:hint="eastAsia" w:ascii="黑体" w:eastAsia="黑体"/>
          <w:b w:val="0"/>
        </w:rPr>
        <w:t xml:space="preserve">              </w:t>
      </w:r>
    </w:p>
    <w:p w14:paraId="0D6FE983">
      <w:pPr>
        <w:pStyle w:val="4"/>
        <w:jc w:val="right"/>
        <w:rPr>
          <w:rFonts w:hint="eastAsia" w:ascii="黑体" w:eastAsia="黑体"/>
          <w:b w:val="0"/>
        </w:rPr>
      </w:pPr>
      <w:r>
        <w:rPr>
          <w:rFonts w:hint="eastAsia" w:ascii="黑体" w:eastAsia="黑体"/>
          <w:b w:val="0"/>
        </w:rPr>
        <w:t>项目编号：　</w:t>
      </w:r>
      <w:r>
        <w:rPr>
          <w:rFonts w:hint="eastAsia" w:ascii="黑体" w:hAnsi="Times New Roman" w:eastAsia="黑体"/>
          <w:b w:val="0"/>
        </w:rPr>
        <w:t xml:space="preserve"> </w:t>
      </w:r>
      <w:r>
        <w:rPr>
          <w:rFonts w:hint="eastAsia" w:ascii="黑体" w:eastAsia="黑体"/>
          <w:b w:val="0"/>
        </w:rPr>
        <w:t>桂东招202400</w:t>
      </w:r>
      <w:r>
        <w:rPr>
          <w:rFonts w:hint="eastAsia" w:ascii="黑体" w:eastAsia="黑体"/>
          <w:b w:val="0"/>
          <w:color w:val="FF0000"/>
        </w:rPr>
        <w:t xml:space="preserve">X </w:t>
      </w:r>
      <w:r>
        <w:rPr>
          <w:rFonts w:hint="eastAsia" w:ascii="黑体" w:eastAsia="黑体"/>
          <w:b w:val="0"/>
        </w:rPr>
        <w:t xml:space="preserve">　  </w:t>
      </w:r>
    </w:p>
    <w:p w14:paraId="6AF272E8">
      <w:pPr>
        <w:pStyle w:val="4"/>
        <w:rPr>
          <w:rFonts w:hint="eastAsia"/>
        </w:rPr>
      </w:pPr>
    </w:p>
    <w:p w14:paraId="36C1938F">
      <w:pPr>
        <w:pStyle w:val="4"/>
        <w:rPr>
          <w:rFonts w:hint="eastAsia"/>
        </w:rPr>
      </w:pPr>
    </w:p>
    <w:p w14:paraId="337A3813">
      <w:pPr>
        <w:pStyle w:val="4"/>
        <w:rPr>
          <w:rFonts w:hint="eastAsia"/>
        </w:rPr>
      </w:pPr>
    </w:p>
    <w:p w14:paraId="4D04C394">
      <w:pPr>
        <w:pStyle w:val="4"/>
      </w:pPr>
    </w:p>
    <w:p w14:paraId="7DE24202">
      <w:pPr>
        <w:pStyle w:val="4"/>
        <w:rPr>
          <w:rFonts w:ascii="方正小标宋简体" w:hAnsi="方正小标宋简体" w:eastAsia="方正小标宋简体"/>
          <w:b w:val="0"/>
          <w:sz w:val="44"/>
        </w:rPr>
      </w:pPr>
      <w:r>
        <w:rPr>
          <w:rFonts w:hint="eastAsia" w:ascii="方正小标宋简体" w:hAnsi="方正小标宋简体" w:eastAsia="方正小标宋简体"/>
          <w:b w:val="0"/>
          <w:sz w:val="44"/>
        </w:rPr>
        <w:t>软件类</w:t>
      </w:r>
      <w:r>
        <w:rPr>
          <w:rFonts w:ascii="方正小标宋简体" w:hAnsi="方正小标宋简体" w:eastAsia="方正小标宋简体"/>
          <w:b w:val="0"/>
          <w:sz w:val="44"/>
        </w:rPr>
        <w:t>采购合同书</w:t>
      </w:r>
    </w:p>
    <w:p w14:paraId="13FDA587">
      <w:pPr>
        <w:pStyle w:val="4"/>
      </w:pPr>
      <w:r>
        <w:rPr>
          <w:rFonts w:hint="eastAsia"/>
        </w:rPr>
        <w:t>（信息类2024修订）</w:t>
      </w:r>
    </w:p>
    <w:p w14:paraId="217B828F">
      <w:pPr>
        <w:pStyle w:val="4"/>
      </w:pPr>
    </w:p>
    <w:p w14:paraId="0FED8BA7">
      <w:pPr>
        <w:pStyle w:val="4"/>
      </w:pPr>
    </w:p>
    <w:p w14:paraId="626C2849">
      <w:pPr>
        <w:pStyle w:val="4"/>
      </w:pPr>
    </w:p>
    <w:p w14:paraId="7F3F77FC">
      <w:pPr>
        <w:pStyle w:val="4"/>
      </w:pPr>
    </w:p>
    <w:p w14:paraId="0C1D9B37">
      <w:pPr>
        <w:pStyle w:val="4"/>
      </w:pPr>
    </w:p>
    <w:p w14:paraId="2D699893">
      <w:pPr>
        <w:pStyle w:val="4"/>
        <w:rPr>
          <w:b w:val="0"/>
          <w:u w:val="single"/>
        </w:rPr>
      </w:pPr>
      <w:r>
        <w:rPr>
          <w:b w:val="0"/>
        </w:rPr>
        <w:t>合同名称</w:t>
      </w:r>
      <w:r>
        <w:rPr>
          <w:rFonts w:hint="eastAsia" w:cs="宋体"/>
          <w:b w:val="0"/>
        </w:rPr>
        <w:t>：</w:t>
      </w:r>
      <w:r>
        <w:rPr>
          <w:rFonts w:hint="eastAsia"/>
          <w:b w:val="0"/>
          <w:u w:val="single"/>
        </w:rPr>
        <w:t xml:space="preserve"> (政府采购项目按照政府采购编号如实填写)</w:t>
      </w:r>
    </w:p>
    <w:p w14:paraId="61271EED">
      <w:pPr>
        <w:pStyle w:val="4"/>
        <w:rPr>
          <w:rFonts w:hint="eastAsia"/>
        </w:rPr>
      </w:pPr>
    </w:p>
    <w:p w14:paraId="63F1FBAA">
      <w:pPr>
        <w:pStyle w:val="4"/>
        <w:rPr>
          <w:rFonts w:hint="eastAsia"/>
        </w:rPr>
      </w:pPr>
    </w:p>
    <w:p w14:paraId="346636F7">
      <w:pPr>
        <w:pStyle w:val="4"/>
      </w:pPr>
    </w:p>
    <w:p w14:paraId="5C72A42F">
      <w:pPr>
        <w:pStyle w:val="4"/>
        <w:rPr>
          <w:rFonts w:hint="eastAsia"/>
        </w:rPr>
      </w:pPr>
    </w:p>
    <w:p w14:paraId="1D124E89">
      <w:pPr>
        <w:pStyle w:val="4"/>
      </w:pPr>
    </w:p>
    <w:p w14:paraId="0188D75E">
      <w:pPr>
        <w:pStyle w:val="4"/>
        <w:rPr>
          <w:rFonts w:hint="eastAsia" w:ascii="黑体" w:eastAsia="黑体"/>
          <w:b w:val="0"/>
        </w:rPr>
      </w:pPr>
      <w:r>
        <w:rPr>
          <w:rFonts w:hint="eastAsia" w:ascii="黑体" w:eastAsia="黑体"/>
          <w:b w:val="0"/>
        </w:rPr>
        <w:t xml:space="preserve"> 签订合同地点：广西壮族自治区桂东人民医院</w:t>
      </w:r>
    </w:p>
    <w:p w14:paraId="36600737">
      <w:pPr>
        <w:pStyle w:val="4"/>
        <w:ind w:firstLine="1440" w:firstLineChars="450"/>
        <w:jc w:val="both"/>
        <w:rPr>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40" w:left="1418" w:header="851" w:footer="992" w:gutter="0"/>
          <w:cols w:space="425" w:num="1"/>
          <w:docGrid w:type="lines" w:linePitch="312" w:charSpace="0"/>
        </w:sectPr>
      </w:pPr>
      <w:r>
        <w:rPr>
          <w:rFonts w:hint="eastAsia" w:ascii="黑体" w:eastAsia="黑体"/>
          <w:b w:val="0"/>
        </w:rPr>
        <w:t>签订合同时间：</w:t>
      </w:r>
      <w:r>
        <w:t>　　　　　</w:t>
      </w:r>
      <w:r>
        <w:rPr>
          <w:rFonts w:hint="eastAsia"/>
        </w:rPr>
        <w:t xml:space="preserve">             </w:t>
      </w:r>
      <w:r>
        <w:rPr>
          <w:rFonts w:hint="eastAsia"/>
          <w:sz w:val="44"/>
          <w:szCs w:val="44"/>
        </w:rPr>
        <w:t xml:space="preserve"> </w:t>
      </w:r>
      <w:r>
        <w:rPr>
          <w:sz w:val="44"/>
          <w:szCs w:val="44"/>
        </w:rPr>
        <w:t>　</w:t>
      </w:r>
    </w:p>
    <w:p w14:paraId="24E6B8C5">
      <w:pPr>
        <w:spacing w:before="240" w:after="312" w:afterLines="100"/>
        <w:jc w:val="center"/>
        <w:rPr>
          <w:rFonts w:ascii="仿宋" w:hAnsi="仿宋" w:eastAsia="仿宋" w:cs="仿宋"/>
          <w:sz w:val="40"/>
          <w:szCs w:val="44"/>
        </w:rPr>
      </w:pPr>
      <w:r>
        <w:rPr>
          <w:rFonts w:hint="eastAsia" w:ascii="仿宋" w:hAnsi="仿宋" w:eastAsia="仿宋" w:cs="仿宋"/>
          <w:sz w:val="40"/>
          <w:szCs w:val="44"/>
        </w:rPr>
        <w:t>合同书</w:t>
      </w:r>
    </w:p>
    <w:p w14:paraId="2232F91A">
      <w:pPr>
        <w:spacing w:line="460" w:lineRule="exact"/>
        <w:rPr>
          <w:rFonts w:hint="eastAsia" w:ascii="仿宋_GB2312" w:eastAsia="仿宋_GB2312"/>
          <w:sz w:val="28"/>
          <w:szCs w:val="28"/>
        </w:rPr>
      </w:pPr>
      <w:r>
        <w:rPr>
          <w:rFonts w:hint="eastAsia" w:ascii="仿宋_GB2312" w:eastAsia="仿宋_GB2312"/>
          <w:sz w:val="28"/>
          <w:szCs w:val="28"/>
        </w:rPr>
        <w:t>甲方：</w:t>
      </w:r>
      <w:r>
        <w:rPr>
          <w:rFonts w:hint="eastAsia" w:ascii="仿宋_GB2312" w:eastAsia="仿宋_GB2312"/>
          <w:sz w:val="28"/>
          <w:szCs w:val="28"/>
          <w:u w:val="single"/>
        </w:rPr>
        <w:t xml:space="preserve"> 广西壮族自治区桂东人民医院　　</w:t>
      </w:r>
    </w:p>
    <w:p w14:paraId="4F2FA201">
      <w:pPr>
        <w:spacing w:line="460" w:lineRule="exact"/>
        <w:rPr>
          <w:rFonts w:hint="eastAsia" w:ascii="仿宋_GB2312" w:eastAsia="仿宋_GB2312"/>
          <w:sz w:val="28"/>
          <w:szCs w:val="28"/>
        </w:rPr>
      </w:pPr>
      <w:r>
        <w:rPr>
          <w:rFonts w:hint="eastAsia" w:ascii="仿宋_GB2312" w:eastAsia="仿宋_GB2312"/>
          <w:sz w:val="28"/>
          <w:szCs w:val="28"/>
        </w:rPr>
        <w:t>乙方：</w:t>
      </w:r>
      <w:r>
        <w:rPr>
          <w:rFonts w:hint="eastAsia" w:ascii="仿宋_GB2312" w:eastAsia="仿宋_GB2312"/>
          <w:sz w:val="28"/>
          <w:szCs w:val="28"/>
          <w:u w:val="single"/>
        </w:rPr>
        <w:t xml:space="preserve">  xxxxxxxxxx                   </w:t>
      </w:r>
      <w:r>
        <w:rPr>
          <w:rFonts w:hint="eastAsia" w:ascii="仿宋_GB2312" w:eastAsia="仿宋_GB2312"/>
          <w:sz w:val="28"/>
          <w:szCs w:val="28"/>
        </w:rPr>
        <w:t xml:space="preserve">              </w:t>
      </w:r>
    </w:p>
    <w:p w14:paraId="02FFDEE0">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14:paraId="782B1BB3">
      <w:pPr>
        <w:spacing w:line="460" w:lineRule="exact"/>
        <w:ind w:firstLine="562" w:firstLineChars="200"/>
        <w:rPr>
          <w:rFonts w:hint="eastAsia" w:ascii="仿宋_GB2312" w:eastAsia="仿宋_GB2312"/>
          <w:b/>
          <w:sz w:val="28"/>
          <w:szCs w:val="28"/>
        </w:rPr>
      </w:pPr>
      <w:r>
        <w:rPr>
          <w:rFonts w:hint="eastAsia" w:ascii="仿宋_GB2312" w:eastAsia="仿宋_GB2312"/>
          <w:b/>
          <w:sz w:val="28"/>
          <w:szCs w:val="28"/>
        </w:rPr>
        <w:t>根据《中华人民共和国政府采购法》、《中华人民共和国民法典》等法律、法规规定，按照采购文件规定条款和中标供应商的投标文件承诺，甲乙双方签订本合同。</w:t>
      </w:r>
    </w:p>
    <w:p w14:paraId="6F134E54">
      <w:pPr>
        <w:spacing w:before="0" w:line="460" w:lineRule="exact"/>
        <w:ind w:left="0" w:firstLine="562" w:firstLineChars="200"/>
        <w:jc w:val="left"/>
        <w:rPr>
          <w:rFonts w:hint="eastAsia" w:ascii="仿宋_GB2312" w:hAnsi="宋体" w:eastAsia="仿宋_GB2312" w:cs="宋体"/>
          <w:sz w:val="28"/>
          <w:szCs w:val="28"/>
          <w:lang w:eastAsia="zh-CN"/>
        </w:rPr>
      </w:pPr>
      <w:r>
        <w:rPr>
          <w:rFonts w:hint="eastAsia" w:ascii="仿宋_GB2312" w:eastAsia="仿宋_GB2312"/>
          <w:b/>
          <w:sz w:val="28"/>
          <w:szCs w:val="28"/>
        </w:rPr>
        <w:t>第一条</w:t>
      </w:r>
      <w:r>
        <w:rPr>
          <w:rFonts w:hint="eastAsia" w:ascii="仿宋_GB2312" w:eastAsia="仿宋_GB2312"/>
          <w:b/>
          <w:sz w:val="28"/>
          <w:szCs w:val="28"/>
          <w:lang w:val="en-US" w:eastAsia="zh-CN"/>
        </w:rPr>
        <w:t xml:space="preserve"> </w:t>
      </w:r>
      <w:r>
        <w:rPr>
          <w:rFonts w:hint="eastAsia" w:ascii="仿宋_GB2312" w:hAnsi="宋体" w:eastAsia="仿宋_GB2312" w:cs="宋体"/>
          <w:sz w:val="28"/>
          <w:szCs w:val="28"/>
          <w:lang w:eastAsia="zh-CN"/>
        </w:rPr>
        <w:t>合同文件</w:t>
      </w:r>
    </w:p>
    <w:p w14:paraId="2EF5808B">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val="en-US" w:eastAsia="zh-CN"/>
        </w:rPr>
        <w:t>1.</w:t>
      </w:r>
      <w:r>
        <w:rPr>
          <w:rFonts w:hint="eastAsia" w:ascii="仿宋_GB2312" w:hAnsi="宋体" w:eastAsia="仿宋_GB2312" w:cs="宋体"/>
          <w:color w:val="FF0000"/>
          <w:sz w:val="28"/>
          <w:szCs w:val="28"/>
          <w:lang w:eastAsia="zh-CN"/>
        </w:rPr>
        <w:t>本合同所附下列文件是构成本合同不可分割的部分：</w:t>
      </w:r>
    </w:p>
    <w:p w14:paraId="1D4F726C">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⑴ 合同基本条款；</w:t>
      </w:r>
    </w:p>
    <w:p w14:paraId="705BA361">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⑵ 投标人提交的投标函、投标报价表和售后服务承诺等全部投标文件；</w:t>
      </w:r>
    </w:p>
    <w:p w14:paraId="643036E6">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⑶ 项目需求和说明；</w:t>
      </w:r>
    </w:p>
    <w:p w14:paraId="62035378">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⑷ 甲、乙双方商定确认后的补充协议。</w:t>
      </w:r>
    </w:p>
    <w:p w14:paraId="31422248">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2、合同范围和条件</w:t>
      </w:r>
    </w:p>
    <w:p w14:paraId="4CEE8A18">
      <w:pPr>
        <w:spacing w:line="460" w:lineRule="exact"/>
        <w:ind w:firstLine="560" w:firstLineChars="200"/>
        <w:rPr>
          <w:rFonts w:hint="eastAsia" w:ascii="仿宋_GB2312" w:eastAsia="仿宋_GB2312"/>
          <w:b/>
          <w:sz w:val="28"/>
          <w:szCs w:val="28"/>
        </w:rPr>
      </w:pPr>
      <w:r>
        <w:rPr>
          <w:rFonts w:hint="eastAsia" w:ascii="仿宋_GB2312" w:hAnsi="宋体" w:eastAsia="仿宋_GB2312" w:cs="宋体"/>
          <w:color w:val="FF0000"/>
          <w:sz w:val="28"/>
          <w:szCs w:val="28"/>
          <w:lang w:eastAsia="zh-CN"/>
        </w:rPr>
        <w:t>本合同的范围和条件应与上述合同文件的规定相一致。</w:t>
      </w:r>
    </w:p>
    <w:p w14:paraId="4C2863FF">
      <w:pPr>
        <w:spacing w:line="460" w:lineRule="exact"/>
        <w:ind w:firstLine="562" w:firstLineChars="200"/>
        <w:rPr>
          <w:rFonts w:hint="eastAsia" w:ascii="仿宋_GB2312" w:eastAsia="仿宋_GB2312"/>
          <w:b/>
          <w:sz w:val="28"/>
          <w:szCs w:val="28"/>
        </w:rPr>
      </w:pPr>
      <w:r>
        <w:rPr>
          <w:rFonts w:hint="eastAsia" w:ascii="仿宋_GB2312" w:eastAsia="仿宋_GB2312"/>
          <w:b/>
          <w:sz w:val="28"/>
          <w:szCs w:val="28"/>
        </w:rPr>
        <w:t>第</w:t>
      </w:r>
      <w:r>
        <w:rPr>
          <w:rFonts w:hint="eastAsia" w:ascii="仿宋_GB2312" w:eastAsia="仿宋_GB2312"/>
          <w:b/>
          <w:sz w:val="28"/>
          <w:szCs w:val="28"/>
          <w:lang w:eastAsia="zh-CN"/>
        </w:rPr>
        <w:t>二</w:t>
      </w:r>
      <w:r>
        <w:rPr>
          <w:rFonts w:hint="eastAsia" w:ascii="仿宋_GB2312" w:eastAsia="仿宋_GB2312"/>
          <w:b/>
          <w:sz w:val="28"/>
          <w:szCs w:val="28"/>
        </w:rPr>
        <w:t>条</w:t>
      </w:r>
      <w:r>
        <w:rPr>
          <w:rFonts w:hint="eastAsia" w:ascii="仿宋_GB2312" w:eastAsia="仿宋_GB2312"/>
          <w:b/>
          <w:sz w:val="28"/>
          <w:szCs w:val="28"/>
          <w:lang w:val="en-US" w:eastAsia="zh-CN"/>
        </w:rPr>
        <w:t xml:space="preserve"> </w:t>
      </w:r>
      <w:r>
        <w:rPr>
          <w:rFonts w:hint="eastAsia" w:ascii="仿宋_GB2312" w:eastAsia="仿宋_GB2312"/>
          <w:b/>
          <w:sz w:val="28"/>
          <w:szCs w:val="28"/>
        </w:rPr>
        <w:t>合同标的</w:t>
      </w:r>
    </w:p>
    <w:p w14:paraId="1BDCFDAE">
      <w:pPr>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1、服务一览表</w:t>
      </w:r>
    </w:p>
    <w:tbl>
      <w:tblPr>
        <w:tblStyle w:val="8"/>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343"/>
        <w:gridCol w:w="2615"/>
        <w:gridCol w:w="559"/>
        <w:gridCol w:w="583"/>
        <w:gridCol w:w="1129"/>
        <w:gridCol w:w="1092"/>
        <w:gridCol w:w="1073"/>
      </w:tblGrid>
      <w:tr w14:paraId="4F42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97" w:type="dxa"/>
            <w:vAlign w:val="center"/>
          </w:tcPr>
          <w:p w14:paraId="3236C31B">
            <w:pPr>
              <w:snapToGrid w:val="0"/>
              <w:spacing w:line="400" w:lineRule="exact"/>
              <w:jc w:val="center"/>
              <w:rPr>
                <w:rFonts w:ascii="仿宋" w:hAnsi="仿宋" w:eastAsia="仿宋" w:cs="仿宋"/>
                <w:szCs w:val="21"/>
              </w:rPr>
            </w:pPr>
            <w:r>
              <w:rPr>
                <w:rFonts w:hint="eastAsia" w:ascii="仿宋" w:hAnsi="仿宋" w:eastAsia="仿宋" w:cs="仿宋"/>
                <w:szCs w:val="21"/>
              </w:rPr>
              <w:t>序号</w:t>
            </w:r>
          </w:p>
        </w:tc>
        <w:tc>
          <w:tcPr>
            <w:tcW w:w="1343" w:type="dxa"/>
            <w:vAlign w:val="center"/>
          </w:tcPr>
          <w:p w14:paraId="076E1AF9">
            <w:pPr>
              <w:snapToGrid w:val="0"/>
              <w:spacing w:line="400" w:lineRule="exact"/>
              <w:jc w:val="center"/>
              <w:rPr>
                <w:rFonts w:ascii="仿宋" w:hAnsi="仿宋" w:eastAsia="仿宋" w:cs="仿宋"/>
                <w:szCs w:val="21"/>
              </w:rPr>
            </w:pPr>
            <w:r>
              <w:rPr>
                <w:rFonts w:hint="eastAsia" w:ascii="仿宋" w:hAnsi="仿宋" w:eastAsia="仿宋" w:cs="仿宋"/>
                <w:szCs w:val="21"/>
              </w:rPr>
              <w:t>服务名称</w:t>
            </w:r>
          </w:p>
        </w:tc>
        <w:tc>
          <w:tcPr>
            <w:tcW w:w="2615" w:type="dxa"/>
            <w:vAlign w:val="center"/>
          </w:tcPr>
          <w:p w14:paraId="3F0BE4DD">
            <w:pPr>
              <w:snapToGrid w:val="0"/>
              <w:spacing w:line="400" w:lineRule="exact"/>
              <w:jc w:val="center"/>
              <w:rPr>
                <w:rFonts w:ascii="仿宋" w:hAnsi="仿宋" w:eastAsia="仿宋" w:cs="仿宋"/>
                <w:szCs w:val="21"/>
              </w:rPr>
            </w:pPr>
            <w:r>
              <w:rPr>
                <w:rFonts w:hint="eastAsia" w:ascii="仿宋" w:hAnsi="仿宋" w:eastAsia="仿宋" w:cs="仿宋"/>
                <w:szCs w:val="21"/>
              </w:rPr>
              <w:t>主要服务内容</w:t>
            </w:r>
          </w:p>
        </w:tc>
        <w:tc>
          <w:tcPr>
            <w:tcW w:w="559" w:type="dxa"/>
            <w:vAlign w:val="center"/>
          </w:tcPr>
          <w:p w14:paraId="15E4A0AA">
            <w:pPr>
              <w:snapToGrid w:val="0"/>
              <w:spacing w:line="400" w:lineRule="exact"/>
              <w:jc w:val="center"/>
              <w:rPr>
                <w:rFonts w:ascii="仿宋" w:hAnsi="仿宋" w:eastAsia="仿宋" w:cs="仿宋"/>
                <w:szCs w:val="21"/>
              </w:rPr>
            </w:pPr>
            <w:r>
              <w:rPr>
                <w:rFonts w:hint="eastAsia" w:ascii="仿宋" w:hAnsi="仿宋" w:eastAsia="仿宋" w:cs="仿宋"/>
                <w:szCs w:val="21"/>
              </w:rPr>
              <w:t>数量</w:t>
            </w:r>
          </w:p>
        </w:tc>
        <w:tc>
          <w:tcPr>
            <w:tcW w:w="583" w:type="dxa"/>
            <w:vAlign w:val="center"/>
          </w:tcPr>
          <w:p w14:paraId="3CE9FB16">
            <w:pPr>
              <w:snapToGrid w:val="0"/>
              <w:spacing w:line="400" w:lineRule="exact"/>
              <w:jc w:val="center"/>
              <w:rPr>
                <w:rFonts w:ascii="仿宋" w:hAnsi="仿宋" w:eastAsia="仿宋" w:cs="仿宋"/>
                <w:szCs w:val="21"/>
              </w:rPr>
            </w:pPr>
            <w:r>
              <w:rPr>
                <w:rFonts w:hint="eastAsia" w:ascii="仿宋" w:hAnsi="仿宋" w:eastAsia="仿宋" w:cs="仿宋"/>
                <w:szCs w:val="21"/>
              </w:rPr>
              <w:t>单位</w:t>
            </w:r>
          </w:p>
        </w:tc>
        <w:tc>
          <w:tcPr>
            <w:tcW w:w="1129" w:type="dxa"/>
            <w:vAlign w:val="center"/>
          </w:tcPr>
          <w:p w14:paraId="19BF834E">
            <w:pPr>
              <w:snapToGrid w:val="0"/>
              <w:spacing w:line="400" w:lineRule="exact"/>
              <w:jc w:val="center"/>
              <w:rPr>
                <w:rFonts w:ascii="仿宋" w:hAnsi="仿宋" w:eastAsia="仿宋" w:cs="仿宋"/>
                <w:szCs w:val="21"/>
              </w:rPr>
            </w:pPr>
            <w:r>
              <w:rPr>
                <w:rFonts w:hint="eastAsia" w:ascii="仿宋" w:hAnsi="仿宋" w:eastAsia="仿宋" w:cs="仿宋"/>
                <w:szCs w:val="21"/>
              </w:rPr>
              <w:t>单  价</w:t>
            </w:r>
          </w:p>
          <w:p w14:paraId="6E694FFD">
            <w:pPr>
              <w:snapToGrid w:val="0"/>
              <w:spacing w:line="400" w:lineRule="exact"/>
              <w:jc w:val="center"/>
              <w:rPr>
                <w:rFonts w:ascii="仿宋" w:hAnsi="仿宋" w:eastAsia="仿宋" w:cs="仿宋"/>
                <w:szCs w:val="21"/>
              </w:rPr>
            </w:pPr>
            <w:r>
              <w:rPr>
                <w:rFonts w:hint="eastAsia" w:ascii="仿宋" w:hAnsi="仿宋" w:eastAsia="仿宋" w:cs="仿宋"/>
                <w:szCs w:val="21"/>
              </w:rPr>
              <w:t>（元）</w:t>
            </w:r>
          </w:p>
        </w:tc>
        <w:tc>
          <w:tcPr>
            <w:tcW w:w="1092" w:type="dxa"/>
            <w:vAlign w:val="center"/>
          </w:tcPr>
          <w:p w14:paraId="565E57DF">
            <w:pPr>
              <w:snapToGrid w:val="0"/>
              <w:spacing w:line="400" w:lineRule="exact"/>
              <w:jc w:val="center"/>
              <w:rPr>
                <w:rFonts w:ascii="仿宋" w:hAnsi="仿宋" w:eastAsia="仿宋" w:cs="仿宋"/>
                <w:szCs w:val="21"/>
              </w:rPr>
            </w:pPr>
            <w:r>
              <w:rPr>
                <w:rFonts w:hint="eastAsia" w:ascii="仿宋" w:hAnsi="仿宋" w:eastAsia="仿宋" w:cs="仿宋"/>
                <w:szCs w:val="21"/>
              </w:rPr>
              <w:t>金  额</w:t>
            </w:r>
          </w:p>
          <w:p w14:paraId="4903BE7C">
            <w:pPr>
              <w:snapToGrid w:val="0"/>
              <w:spacing w:line="400" w:lineRule="exact"/>
              <w:jc w:val="center"/>
              <w:rPr>
                <w:rFonts w:ascii="仿宋" w:hAnsi="仿宋" w:eastAsia="仿宋" w:cs="仿宋"/>
                <w:szCs w:val="21"/>
              </w:rPr>
            </w:pPr>
            <w:r>
              <w:rPr>
                <w:rFonts w:hint="eastAsia" w:ascii="仿宋" w:hAnsi="仿宋" w:eastAsia="仿宋" w:cs="仿宋"/>
                <w:szCs w:val="21"/>
              </w:rPr>
              <w:t>（元）</w:t>
            </w:r>
          </w:p>
        </w:tc>
        <w:tc>
          <w:tcPr>
            <w:tcW w:w="1073" w:type="dxa"/>
            <w:vAlign w:val="center"/>
          </w:tcPr>
          <w:p w14:paraId="1EB43E03">
            <w:pPr>
              <w:snapToGrid w:val="0"/>
              <w:spacing w:line="400" w:lineRule="exact"/>
              <w:jc w:val="center"/>
              <w:rPr>
                <w:rFonts w:ascii="仿宋" w:hAnsi="仿宋" w:eastAsia="仿宋" w:cs="仿宋"/>
                <w:szCs w:val="21"/>
              </w:rPr>
            </w:pPr>
            <w:r>
              <w:rPr>
                <w:rFonts w:hint="eastAsia" w:ascii="仿宋" w:hAnsi="仿宋" w:eastAsia="仿宋" w:cs="仿宋"/>
                <w:szCs w:val="21"/>
              </w:rPr>
              <w:t>备注</w:t>
            </w:r>
          </w:p>
        </w:tc>
      </w:tr>
      <w:tr w14:paraId="6BEE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97" w:type="dxa"/>
            <w:vAlign w:val="center"/>
          </w:tcPr>
          <w:p w14:paraId="6DDB65D1">
            <w:pPr>
              <w:snapToGrid w:val="0"/>
              <w:spacing w:line="400" w:lineRule="exact"/>
              <w:jc w:val="center"/>
              <w:rPr>
                <w:rFonts w:ascii="仿宋" w:hAnsi="仿宋" w:eastAsia="仿宋" w:cs="仿宋"/>
                <w:szCs w:val="21"/>
              </w:rPr>
            </w:pPr>
            <w:r>
              <w:rPr>
                <w:rFonts w:hint="eastAsia" w:ascii="仿宋" w:hAnsi="仿宋" w:eastAsia="仿宋" w:cs="仿宋"/>
                <w:szCs w:val="21"/>
              </w:rPr>
              <w:t>1</w:t>
            </w:r>
          </w:p>
        </w:tc>
        <w:tc>
          <w:tcPr>
            <w:tcW w:w="1343" w:type="dxa"/>
            <w:vAlign w:val="center"/>
          </w:tcPr>
          <w:p w14:paraId="6351699B">
            <w:pPr>
              <w:snapToGrid w:val="0"/>
              <w:spacing w:line="400" w:lineRule="exact"/>
              <w:jc w:val="center"/>
              <w:rPr>
                <w:rFonts w:ascii="仿宋" w:hAnsi="仿宋" w:eastAsia="仿宋" w:cs="仿宋"/>
                <w:szCs w:val="21"/>
              </w:rPr>
            </w:pPr>
          </w:p>
        </w:tc>
        <w:tc>
          <w:tcPr>
            <w:tcW w:w="2615" w:type="dxa"/>
            <w:vAlign w:val="center"/>
          </w:tcPr>
          <w:p w14:paraId="0D6F5B71">
            <w:pPr>
              <w:snapToGrid w:val="0"/>
              <w:spacing w:line="400" w:lineRule="exact"/>
              <w:jc w:val="center"/>
              <w:rPr>
                <w:rFonts w:ascii="仿宋" w:hAnsi="仿宋" w:eastAsia="仿宋" w:cs="仿宋"/>
                <w:szCs w:val="21"/>
              </w:rPr>
            </w:pPr>
          </w:p>
        </w:tc>
        <w:tc>
          <w:tcPr>
            <w:tcW w:w="559" w:type="dxa"/>
          </w:tcPr>
          <w:p w14:paraId="7E2A9EE5">
            <w:pPr>
              <w:snapToGrid w:val="0"/>
              <w:spacing w:line="400" w:lineRule="exact"/>
              <w:jc w:val="center"/>
              <w:rPr>
                <w:rFonts w:ascii="仿宋" w:hAnsi="仿宋" w:eastAsia="仿宋" w:cs="仿宋"/>
                <w:szCs w:val="21"/>
              </w:rPr>
            </w:pPr>
          </w:p>
        </w:tc>
        <w:tc>
          <w:tcPr>
            <w:tcW w:w="583" w:type="dxa"/>
          </w:tcPr>
          <w:p w14:paraId="36EC358B">
            <w:pPr>
              <w:snapToGrid w:val="0"/>
              <w:spacing w:line="400" w:lineRule="exact"/>
              <w:jc w:val="center"/>
              <w:rPr>
                <w:rFonts w:ascii="仿宋" w:hAnsi="仿宋" w:eastAsia="仿宋" w:cs="仿宋"/>
                <w:szCs w:val="21"/>
              </w:rPr>
            </w:pPr>
          </w:p>
        </w:tc>
        <w:tc>
          <w:tcPr>
            <w:tcW w:w="1129" w:type="dxa"/>
            <w:vAlign w:val="center"/>
          </w:tcPr>
          <w:p w14:paraId="6E08021C">
            <w:pPr>
              <w:snapToGrid w:val="0"/>
              <w:spacing w:line="400" w:lineRule="exact"/>
              <w:jc w:val="center"/>
              <w:rPr>
                <w:rFonts w:ascii="仿宋" w:hAnsi="仿宋" w:eastAsia="仿宋" w:cs="仿宋"/>
                <w:szCs w:val="21"/>
              </w:rPr>
            </w:pPr>
          </w:p>
        </w:tc>
        <w:tc>
          <w:tcPr>
            <w:tcW w:w="1092" w:type="dxa"/>
            <w:vAlign w:val="center"/>
          </w:tcPr>
          <w:p w14:paraId="369E2934">
            <w:pPr>
              <w:snapToGrid w:val="0"/>
              <w:spacing w:line="400" w:lineRule="exact"/>
              <w:jc w:val="center"/>
              <w:rPr>
                <w:rFonts w:ascii="仿宋" w:hAnsi="仿宋" w:eastAsia="仿宋" w:cs="仿宋"/>
                <w:szCs w:val="21"/>
              </w:rPr>
            </w:pPr>
          </w:p>
        </w:tc>
        <w:tc>
          <w:tcPr>
            <w:tcW w:w="1073" w:type="dxa"/>
            <w:vAlign w:val="center"/>
          </w:tcPr>
          <w:p w14:paraId="16B27775">
            <w:pPr>
              <w:snapToGrid w:val="0"/>
              <w:spacing w:line="400" w:lineRule="exact"/>
              <w:jc w:val="center"/>
              <w:rPr>
                <w:rFonts w:ascii="仿宋" w:hAnsi="仿宋" w:eastAsia="仿宋" w:cs="仿宋"/>
                <w:szCs w:val="21"/>
              </w:rPr>
            </w:pPr>
          </w:p>
        </w:tc>
      </w:tr>
      <w:tr w14:paraId="4AC5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97" w:type="dxa"/>
            <w:vAlign w:val="center"/>
          </w:tcPr>
          <w:p w14:paraId="1E16D7A7">
            <w:pPr>
              <w:snapToGrid w:val="0"/>
              <w:spacing w:line="400" w:lineRule="exact"/>
              <w:jc w:val="center"/>
              <w:rPr>
                <w:rFonts w:ascii="仿宋" w:hAnsi="仿宋" w:eastAsia="仿宋" w:cs="仿宋"/>
                <w:szCs w:val="21"/>
              </w:rPr>
            </w:pPr>
            <w:r>
              <w:rPr>
                <w:rFonts w:hint="eastAsia" w:ascii="仿宋" w:hAnsi="仿宋" w:eastAsia="仿宋" w:cs="仿宋"/>
                <w:szCs w:val="21"/>
              </w:rPr>
              <w:t>2</w:t>
            </w:r>
          </w:p>
        </w:tc>
        <w:tc>
          <w:tcPr>
            <w:tcW w:w="1343" w:type="dxa"/>
            <w:vAlign w:val="center"/>
          </w:tcPr>
          <w:p w14:paraId="730E58E9">
            <w:pPr>
              <w:snapToGrid w:val="0"/>
              <w:spacing w:line="400" w:lineRule="exact"/>
              <w:jc w:val="center"/>
              <w:rPr>
                <w:rFonts w:ascii="仿宋" w:hAnsi="仿宋" w:eastAsia="仿宋" w:cs="仿宋"/>
                <w:szCs w:val="21"/>
              </w:rPr>
            </w:pPr>
          </w:p>
        </w:tc>
        <w:tc>
          <w:tcPr>
            <w:tcW w:w="2615" w:type="dxa"/>
            <w:vAlign w:val="center"/>
          </w:tcPr>
          <w:p w14:paraId="52A87C8F">
            <w:pPr>
              <w:snapToGrid w:val="0"/>
              <w:spacing w:line="400" w:lineRule="exact"/>
              <w:jc w:val="center"/>
              <w:rPr>
                <w:rFonts w:ascii="仿宋" w:hAnsi="仿宋" w:eastAsia="仿宋" w:cs="仿宋"/>
                <w:szCs w:val="21"/>
              </w:rPr>
            </w:pPr>
          </w:p>
        </w:tc>
        <w:tc>
          <w:tcPr>
            <w:tcW w:w="559" w:type="dxa"/>
          </w:tcPr>
          <w:p w14:paraId="30E1F704">
            <w:pPr>
              <w:snapToGrid w:val="0"/>
              <w:spacing w:line="400" w:lineRule="exact"/>
              <w:jc w:val="center"/>
              <w:rPr>
                <w:rFonts w:ascii="仿宋" w:hAnsi="仿宋" w:eastAsia="仿宋" w:cs="仿宋"/>
                <w:szCs w:val="21"/>
              </w:rPr>
            </w:pPr>
          </w:p>
        </w:tc>
        <w:tc>
          <w:tcPr>
            <w:tcW w:w="583" w:type="dxa"/>
          </w:tcPr>
          <w:p w14:paraId="42046886">
            <w:pPr>
              <w:snapToGrid w:val="0"/>
              <w:spacing w:line="400" w:lineRule="exact"/>
              <w:jc w:val="center"/>
              <w:rPr>
                <w:rFonts w:ascii="仿宋" w:hAnsi="仿宋" w:eastAsia="仿宋" w:cs="仿宋"/>
                <w:szCs w:val="21"/>
              </w:rPr>
            </w:pPr>
          </w:p>
        </w:tc>
        <w:tc>
          <w:tcPr>
            <w:tcW w:w="1129" w:type="dxa"/>
            <w:vAlign w:val="center"/>
          </w:tcPr>
          <w:p w14:paraId="66F34568">
            <w:pPr>
              <w:snapToGrid w:val="0"/>
              <w:spacing w:line="400" w:lineRule="exact"/>
              <w:jc w:val="center"/>
              <w:rPr>
                <w:rFonts w:ascii="仿宋" w:hAnsi="仿宋" w:eastAsia="仿宋" w:cs="仿宋"/>
                <w:szCs w:val="21"/>
              </w:rPr>
            </w:pPr>
          </w:p>
        </w:tc>
        <w:tc>
          <w:tcPr>
            <w:tcW w:w="1092" w:type="dxa"/>
            <w:vAlign w:val="center"/>
          </w:tcPr>
          <w:p w14:paraId="00857C94">
            <w:pPr>
              <w:snapToGrid w:val="0"/>
              <w:spacing w:line="400" w:lineRule="exact"/>
              <w:jc w:val="center"/>
              <w:rPr>
                <w:rFonts w:ascii="仿宋" w:hAnsi="仿宋" w:eastAsia="仿宋" w:cs="仿宋"/>
                <w:szCs w:val="21"/>
              </w:rPr>
            </w:pPr>
          </w:p>
        </w:tc>
        <w:tc>
          <w:tcPr>
            <w:tcW w:w="1073" w:type="dxa"/>
            <w:vAlign w:val="center"/>
          </w:tcPr>
          <w:p w14:paraId="02BC306D">
            <w:pPr>
              <w:snapToGrid w:val="0"/>
              <w:spacing w:line="400" w:lineRule="exact"/>
              <w:jc w:val="center"/>
              <w:rPr>
                <w:rFonts w:ascii="仿宋" w:hAnsi="仿宋" w:eastAsia="仿宋" w:cs="仿宋"/>
                <w:szCs w:val="21"/>
              </w:rPr>
            </w:pPr>
          </w:p>
        </w:tc>
      </w:tr>
      <w:tr w14:paraId="1BA7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97" w:type="dxa"/>
            <w:vAlign w:val="center"/>
          </w:tcPr>
          <w:p w14:paraId="3344B8F2">
            <w:pPr>
              <w:snapToGrid w:val="0"/>
              <w:spacing w:line="400" w:lineRule="exact"/>
              <w:jc w:val="center"/>
              <w:rPr>
                <w:rFonts w:ascii="仿宋" w:hAnsi="仿宋" w:eastAsia="仿宋" w:cs="仿宋"/>
                <w:szCs w:val="21"/>
              </w:rPr>
            </w:pPr>
            <w:r>
              <w:rPr>
                <w:rFonts w:hint="eastAsia" w:ascii="仿宋" w:hAnsi="仿宋" w:eastAsia="仿宋" w:cs="仿宋"/>
                <w:szCs w:val="21"/>
              </w:rPr>
              <w:t>3</w:t>
            </w:r>
          </w:p>
        </w:tc>
        <w:tc>
          <w:tcPr>
            <w:tcW w:w="1343" w:type="dxa"/>
            <w:vAlign w:val="center"/>
          </w:tcPr>
          <w:p w14:paraId="3480EC0A">
            <w:pPr>
              <w:snapToGrid w:val="0"/>
              <w:spacing w:line="400" w:lineRule="exact"/>
              <w:jc w:val="center"/>
              <w:rPr>
                <w:rFonts w:ascii="仿宋" w:hAnsi="仿宋" w:eastAsia="仿宋" w:cs="仿宋"/>
                <w:szCs w:val="21"/>
              </w:rPr>
            </w:pPr>
          </w:p>
        </w:tc>
        <w:tc>
          <w:tcPr>
            <w:tcW w:w="2615" w:type="dxa"/>
            <w:vAlign w:val="center"/>
          </w:tcPr>
          <w:p w14:paraId="697918A8">
            <w:pPr>
              <w:snapToGrid w:val="0"/>
              <w:spacing w:line="400" w:lineRule="exact"/>
              <w:jc w:val="center"/>
              <w:rPr>
                <w:rFonts w:ascii="仿宋" w:hAnsi="仿宋" w:eastAsia="仿宋" w:cs="仿宋"/>
                <w:szCs w:val="21"/>
              </w:rPr>
            </w:pPr>
          </w:p>
        </w:tc>
        <w:tc>
          <w:tcPr>
            <w:tcW w:w="559" w:type="dxa"/>
          </w:tcPr>
          <w:p w14:paraId="28C8332D">
            <w:pPr>
              <w:snapToGrid w:val="0"/>
              <w:spacing w:line="400" w:lineRule="exact"/>
              <w:jc w:val="center"/>
              <w:rPr>
                <w:rFonts w:ascii="仿宋" w:hAnsi="仿宋" w:eastAsia="仿宋" w:cs="仿宋"/>
                <w:szCs w:val="21"/>
              </w:rPr>
            </w:pPr>
          </w:p>
        </w:tc>
        <w:tc>
          <w:tcPr>
            <w:tcW w:w="583" w:type="dxa"/>
          </w:tcPr>
          <w:p w14:paraId="4A63707F">
            <w:pPr>
              <w:snapToGrid w:val="0"/>
              <w:spacing w:line="400" w:lineRule="exact"/>
              <w:jc w:val="center"/>
              <w:rPr>
                <w:rFonts w:ascii="仿宋" w:hAnsi="仿宋" w:eastAsia="仿宋" w:cs="仿宋"/>
                <w:szCs w:val="21"/>
              </w:rPr>
            </w:pPr>
          </w:p>
        </w:tc>
        <w:tc>
          <w:tcPr>
            <w:tcW w:w="1129" w:type="dxa"/>
            <w:vAlign w:val="center"/>
          </w:tcPr>
          <w:p w14:paraId="3A200ED5">
            <w:pPr>
              <w:snapToGrid w:val="0"/>
              <w:spacing w:line="400" w:lineRule="exact"/>
              <w:jc w:val="center"/>
              <w:rPr>
                <w:rFonts w:ascii="仿宋" w:hAnsi="仿宋" w:eastAsia="仿宋" w:cs="仿宋"/>
                <w:szCs w:val="21"/>
              </w:rPr>
            </w:pPr>
          </w:p>
        </w:tc>
        <w:tc>
          <w:tcPr>
            <w:tcW w:w="1092" w:type="dxa"/>
            <w:vAlign w:val="center"/>
          </w:tcPr>
          <w:p w14:paraId="65627340">
            <w:pPr>
              <w:snapToGrid w:val="0"/>
              <w:spacing w:line="400" w:lineRule="exact"/>
              <w:jc w:val="center"/>
              <w:rPr>
                <w:rFonts w:ascii="仿宋" w:hAnsi="仿宋" w:eastAsia="仿宋" w:cs="仿宋"/>
                <w:szCs w:val="21"/>
              </w:rPr>
            </w:pPr>
          </w:p>
        </w:tc>
        <w:tc>
          <w:tcPr>
            <w:tcW w:w="1073" w:type="dxa"/>
            <w:vAlign w:val="center"/>
          </w:tcPr>
          <w:p w14:paraId="07A3842D">
            <w:pPr>
              <w:snapToGrid w:val="0"/>
              <w:spacing w:line="400" w:lineRule="exact"/>
              <w:jc w:val="center"/>
              <w:rPr>
                <w:rFonts w:ascii="仿宋" w:hAnsi="仿宋" w:eastAsia="仿宋" w:cs="仿宋"/>
                <w:szCs w:val="21"/>
              </w:rPr>
            </w:pPr>
          </w:p>
        </w:tc>
      </w:tr>
      <w:tr w14:paraId="6E84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918" w:type="dxa"/>
            <w:gridSpan w:val="7"/>
            <w:vAlign w:val="center"/>
          </w:tcPr>
          <w:p w14:paraId="65FA460D">
            <w:pPr>
              <w:snapToGrid w:val="0"/>
              <w:spacing w:line="400" w:lineRule="exact"/>
              <w:rPr>
                <w:rFonts w:ascii="仿宋" w:hAnsi="仿宋" w:eastAsia="仿宋" w:cs="仿宋"/>
                <w:szCs w:val="21"/>
              </w:rPr>
            </w:pPr>
            <w:r>
              <w:rPr>
                <w:rFonts w:hint="eastAsia" w:ascii="仿宋" w:hAnsi="仿宋" w:eastAsia="仿宋" w:cs="仿宋"/>
                <w:szCs w:val="21"/>
              </w:rPr>
              <w:t xml:space="preserve">人民币合计金额（大写）                          （小写）                 </w:t>
            </w:r>
          </w:p>
        </w:tc>
        <w:tc>
          <w:tcPr>
            <w:tcW w:w="1073" w:type="dxa"/>
            <w:vAlign w:val="center"/>
          </w:tcPr>
          <w:p w14:paraId="7EE246D6">
            <w:pPr>
              <w:snapToGrid w:val="0"/>
              <w:spacing w:line="400" w:lineRule="exact"/>
              <w:rPr>
                <w:rFonts w:ascii="仿宋" w:hAnsi="仿宋" w:eastAsia="仿宋" w:cs="仿宋"/>
                <w:szCs w:val="21"/>
              </w:rPr>
            </w:pPr>
          </w:p>
        </w:tc>
      </w:tr>
    </w:tbl>
    <w:p w14:paraId="1D9567DC">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2、合同合计金额含产品金额：</w:t>
      </w:r>
      <w:r>
        <w:rPr>
          <w:rFonts w:hint="eastAsia" w:ascii="仿宋_GB2312" w:hAnsi="仿宋" w:eastAsia="仿宋_GB2312" w:cs="仿宋"/>
          <w:b/>
          <w:bCs/>
          <w:sz w:val="28"/>
          <w:szCs w:val="28"/>
        </w:rPr>
        <w:t xml:space="preserve"> XXXXXXX </w:t>
      </w:r>
      <w:r>
        <w:rPr>
          <w:rFonts w:hint="eastAsia" w:ascii="仿宋_GB2312" w:hAnsi="仿宋" w:eastAsia="仿宋_GB2312" w:cs="仿宋"/>
          <w:sz w:val="28"/>
          <w:szCs w:val="28"/>
        </w:rPr>
        <w:t>元，服务金额：</w:t>
      </w:r>
      <w:r>
        <w:rPr>
          <w:rFonts w:hint="eastAsia" w:ascii="仿宋_GB2312" w:hAnsi="仿宋" w:eastAsia="仿宋_GB2312" w:cs="仿宋"/>
          <w:b/>
          <w:bCs/>
          <w:sz w:val="28"/>
          <w:szCs w:val="28"/>
        </w:rPr>
        <w:t xml:space="preserve"> XXXXXXX </w:t>
      </w:r>
      <w:r>
        <w:rPr>
          <w:rFonts w:hint="eastAsia" w:ascii="仿宋_GB2312" w:hAnsi="仿宋" w:eastAsia="仿宋_GB2312" w:cs="仿宋"/>
          <w:sz w:val="28"/>
          <w:szCs w:val="28"/>
        </w:rPr>
        <w:t>元，包括相关服务、备品备件、标准附件、专用工具、人员薪酬、交通费、安装、调试、技术支持、检测检验、必要的保费、各项税费、代理服务费等各项费用的总和。如招投标文件对其另有规定的，从其规定。</w:t>
      </w:r>
    </w:p>
    <w:p w14:paraId="0225193A">
      <w:pPr>
        <w:snapToGrid w:val="0"/>
        <w:spacing w:line="460" w:lineRule="exact"/>
        <w:ind w:firstLine="562" w:firstLineChars="200"/>
        <w:outlineLvl w:val="1"/>
        <w:rPr>
          <w:rFonts w:hint="eastAsia" w:ascii="仿宋_GB2312" w:hAnsi="仿宋" w:eastAsia="仿宋_GB2312" w:cs="仿宋"/>
          <w:sz w:val="28"/>
          <w:szCs w:val="28"/>
        </w:rPr>
      </w:pPr>
      <w:r>
        <w:rPr>
          <w:rFonts w:hint="eastAsia" w:ascii="仿宋_GB2312" w:hAnsi="仿宋" w:eastAsia="仿宋_GB2312" w:cs="仿宋"/>
          <w:b/>
          <w:sz w:val="28"/>
          <w:szCs w:val="28"/>
        </w:rPr>
        <w:t>第</w:t>
      </w:r>
      <w:r>
        <w:rPr>
          <w:rFonts w:hint="eastAsia" w:ascii="仿宋_GB2312" w:hAnsi="仿宋" w:eastAsia="仿宋_GB2312" w:cs="仿宋"/>
          <w:b/>
          <w:sz w:val="28"/>
          <w:szCs w:val="28"/>
          <w:lang w:eastAsia="zh-CN"/>
        </w:rPr>
        <w:t>三</w:t>
      </w:r>
      <w:r>
        <w:rPr>
          <w:rFonts w:hint="eastAsia" w:ascii="仿宋_GB2312" w:hAnsi="仿宋" w:eastAsia="仿宋_GB2312" w:cs="仿宋"/>
          <w:b/>
          <w:sz w:val="28"/>
          <w:szCs w:val="28"/>
        </w:rPr>
        <w:t>条　质量保证</w:t>
      </w:r>
    </w:p>
    <w:p w14:paraId="174B23B2">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1、乙方所提供的技术条款、服务标准等质量必须与招投标文件和承诺相一致。</w:t>
      </w:r>
    </w:p>
    <w:p w14:paraId="7B7F6F19">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2、乙方提供的零配件必须是全新原厂商出产的设备配件，不允许使用第三方配件及二手配件进行更换，更换时提供原厂证件。</w:t>
      </w:r>
    </w:p>
    <w:p w14:paraId="619AB825">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3、乙方所提供的服务必须是符合招标要求、国家标准、行业标准的，在正常使用和保养条件下，其使用寿命期内各项指标均达到质量要求。</w:t>
      </w:r>
    </w:p>
    <w:p w14:paraId="1C9AA8C5">
      <w:pPr>
        <w:snapToGrid w:val="0"/>
        <w:spacing w:line="460" w:lineRule="exact"/>
        <w:ind w:firstLine="562" w:firstLineChars="200"/>
        <w:outlineLvl w:val="1"/>
        <w:rPr>
          <w:rFonts w:hint="eastAsia" w:ascii="仿宋_GB2312" w:hAnsi="仿宋" w:eastAsia="仿宋_GB2312" w:cs="仿宋"/>
          <w:sz w:val="28"/>
          <w:szCs w:val="28"/>
        </w:rPr>
      </w:pPr>
      <w:r>
        <w:rPr>
          <w:rFonts w:hint="eastAsia" w:ascii="仿宋_GB2312" w:hAnsi="仿宋" w:eastAsia="仿宋_GB2312" w:cs="仿宋"/>
          <w:b/>
          <w:sz w:val="28"/>
          <w:szCs w:val="28"/>
        </w:rPr>
        <w:t>第</w:t>
      </w:r>
      <w:r>
        <w:rPr>
          <w:rFonts w:hint="eastAsia" w:ascii="仿宋_GB2312" w:hAnsi="仿宋" w:eastAsia="仿宋_GB2312" w:cs="仿宋"/>
          <w:b/>
          <w:sz w:val="28"/>
          <w:szCs w:val="28"/>
          <w:lang w:eastAsia="zh-CN"/>
        </w:rPr>
        <w:t>四</w:t>
      </w:r>
      <w:r>
        <w:rPr>
          <w:rFonts w:hint="eastAsia" w:ascii="仿宋_GB2312" w:hAnsi="仿宋" w:eastAsia="仿宋_GB2312" w:cs="仿宋"/>
          <w:b/>
          <w:sz w:val="28"/>
          <w:szCs w:val="28"/>
        </w:rPr>
        <w:t>条　权力保证</w:t>
      </w:r>
    </w:p>
    <w:p w14:paraId="0170CC18">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1、乙方应保证所提供货物/服务在使用时不会侵犯任何第三方的专利权、商标权、工业设计权或其他权利。</w:t>
      </w:r>
    </w:p>
    <w:p w14:paraId="3FDE645F">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2、乙方应按采购文件规定的时间向甲方提供使用货物/服务的有关技术资料。</w:t>
      </w:r>
    </w:p>
    <w:p w14:paraId="16C12ACC">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没有甲方事先书面同意，乙方不得将由甲方提供的有关合同或任何合同条文、规格、计划、方案或资料提供给与履行本合同无关的任何其他人。即使向履行本合同有关的人员提供，也应注意保密并限于履行合同的必需范围。</w:t>
      </w:r>
    </w:p>
    <w:p w14:paraId="2C619810">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4、乙方保证所交付的硬件、软件的所有权完全属于乙方且无任何抵押、质押、查封等产权瑕疵。</w:t>
      </w:r>
    </w:p>
    <w:p w14:paraId="58D7AF4C">
      <w:pPr>
        <w:snapToGrid w:val="0"/>
        <w:spacing w:line="460" w:lineRule="exact"/>
        <w:ind w:firstLine="562" w:firstLineChars="200"/>
        <w:outlineLvl w:val="1"/>
        <w:rPr>
          <w:rFonts w:hint="eastAsia" w:ascii="仿宋_GB2312" w:hAnsi="仿宋" w:eastAsia="仿宋_GB2312" w:cs="仿宋"/>
          <w:sz w:val="28"/>
          <w:szCs w:val="28"/>
        </w:rPr>
      </w:pPr>
      <w:r>
        <w:rPr>
          <w:rFonts w:hint="eastAsia" w:ascii="仿宋_GB2312" w:hAnsi="仿宋" w:eastAsia="仿宋_GB2312" w:cs="仿宋"/>
          <w:b/>
          <w:sz w:val="28"/>
          <w:szCs w:val="28"/>
        </w:rPr>
        <w:t>第</w:t>
      </w:r>
      <w:r>
        <w:rPr>
          <w:rFonts w:hint="eastAsia" w:ascii="仿宋_GB2312" w:hAnsi="仿宋" w:eastAsia="仿宋_GB2312" w:cs="仿宋"/>
          <w:b/>
          <w:sz w:val="28"/>
          <w:szCs w:val="28"/>
          <w:lang w:eastAsia="zh-CN"/>
        </w:rPr>
        <w:t>五</w:t>
      </w:r>
      <w:r>
        <w:rPr>
          <w:rFonts w:hint="eastAsia" w:ascii="仿宋_GB2312" w:hAnsi="仿宋" w:eastAsia="仿宋_GB2312" w:cs="仿宋"/>
          <w:b/>
          <w:sz w:val="28"/>
          <w:szCs w:val="28"/>
        </w:rPr>
        <w:t>条　交付要求</w:t>
      </w:r>
    </w:p>
    <w:p w14:paraId="25DEC487">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交付使用期：自签订合同之日起12月内完成系统调研、安装、调试和系统上线工作并交付使用。本项目</w:t>
      </w:r>
      <w:r>
        <w:rPr>
          <w:rFonts w:hint="eastAsia" w:ascii="仿宋_GB2312" w:hAnsi="仿宋" w:eastAsia="仿宋_GB2312" w:cs="仿宋"/>
          <w:sz w:val="28"/>
          <w:szCs w:val="28"/>
          <w:lang w:eastAsia="zh-Hans"/>
        </w:rPr>
        <w:t>软件功能</w:t>
      </w:r>
      <w:r>
        <w:rPr>
          <w:rFonts w:hint="eastAsia" w:ascii="仿宋_GB2312" w:hAnsi="仿宋" w:eastAsia="仿宋_GB2312" w:cs="仿宋"/>
          <w:sz w:val="28"/>
          <w:szCs w:val="28"/>
        </w:rPr>
        <w:t>应达到互联网医院功能，并对接互联网医院监管平台数据，配合医院获得互联网医院牌照、通过信息互联互通标准化成熟度四级甲等评测、配合医院通过电子病历五级评审。</w:t>
      </w:r>
    </w:p>
    <w:p w14:paraId="3FE88BE4">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交付地点：采购人指定地点。</w:t>
      </w:r>
    </w:p>
    <w:p w14:paraId="4E1204C2">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w:t>
      </w:r>
      <w:r>
        <w:rPr>
          <w:rFonts w:hint="eastAsia" w:ascii="仿宋_GB2312" w:hAnsi="仿宋" w:eastAsia="仿宋_GB2312" w:cs="仿宋"/>
          <w:b/>
          <w:sz w:val="28"/>
          <w:szCs w:val="28"/>
          <w:lang w:eastAsia="zh-CN"/>
        </w:rPr>
        <w:t>六</w:t>
      </w:r>
      <w:r>
        <w:rPr>
          <w:rFonts w:hint="eastAsia" w:ascii="仿宋_GB2312" w:hAnsi="仿宋" w:eastAsia="仿宋_GB2312" w:cs="仿宋"/>
          <w:b/>
          <w:sz w:val="28"/>
          <w:szCs w:val="28"/>
        </w:rPr>
        <w:t>条  售后服务和质保期</w:t>
      </w:r>
    </w:p>
    <w:p w14:paraId="45E18532">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1、软件支持服务</w:t>
      </w:r>
    </w:p>
    <w:p w14:paraId="4BCEABD4">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投标人须保证系统能够长期安全、可靠、高效运行，必须提供软件的现场安装服务和技术后援支持，为今后系统中软件提供长期的技术支持。技术支持的方式包括：电话技术支持服务，现场技术服务、定期巡查服务，技术升级服务等。</w:t>
      </w:r>
    </w:p>
    <w:p w14:paraId="4CB7B048">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系统维护的范围包括：系统优化、系统的正常运行及数据维护。</w:t>
      </w:r>
    </w:p>
    <w:p w14:paraId="29F793A0">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在质保期内，当行业标准、技术规范发生改变时，免费修改相关内容。质保期内，免费进行软件修改、完善和同版本升级。在质保期内，提供免费的维护，期间如发生系统运行故障，或出现瑕疵与缺陷，需在30分钟内作出响应，2小时内到现场提供维护服务。如系统设计存在重大缺陷，导致无法运行或效率低下，须对系统进行结构性调整开发至满足使用要求，一个月内必须解决，如果不能解决给医院带来重大损失由投标人与院方协商解决赔偿；质保期内未完成修改、完善和同版本升级，质保期按最终完成开发并正式交付使用之日起免费服务一年。</w:t>
      </w:r>
    </w:p>
    <w:p w14:paraId="58801790">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2、售后服务时间及方式</w:t>
      </w:r>
    </w:p>
    <w:p w14:paraId="1CBD6B6F">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提供7×24小时运维服务。出现故障，在接到电话通知后，30分钟内做出响应，2小时赶到现场；一般问题应在12小时内解决，重大问题应在24小时内解决，积极解答采购人在系统使用、维护过程中遇到的问题，并及时提出解决问题的建议和操作方法；定期回访、维护；每季度不少于2次定期回访及对系统进行维护巡检，同时需要出具巡检报告。</w:t>
      </w:r>
    </w:p>
    <w:p w14:paraId="0E2DBD2B">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响应手段：电话、传真和电子邮件及现场服务。</w:t>
      </w:r>
    </w:p>
    <w:p w14:paraId="5D6CCE3D">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3、维保合同续签</w:t>
      </w:r>
    </w:p>
    <w:p w14:paraId="665E1189">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质保期满后，医院有权与投标人续签维保合同，投标人应明确承诺继续提供维护服务，包括但不限于上述支持服务要求，其他服务要求可另行协商。</w:t>
      </w:r>
    </w:p>
    <w:p w14:paraId="6770DC4A">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4、其他</w:t>
      </w:r>
    </w:p>
    <w:p w14:paraId="772CA7FB">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投标人有其它优惠条件的，请在投标文件中作出具体说明。软件投入使用后，新旧系统切换过程中，因投标人产品或操作原因造成的经济损失，由投标人承担。</w:t>
      </w:r>
    </w:p>
    <w:p w14:paraId="08862475">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5、产品按国家有关规定或厂家承诺实行“三包”，免费送货上门、免费安装调试合格。质保期从验收合格之日起1年，保修期内出现故障，由驻点工程师处理，如超过12小时驻点工程师仍无法处理，由乙方派出高级技术工程师到达现场处理故障的，乙方承担相关费用，24小时内必须处理完毕；产品免费维护期为验收合格后1年，满1年后为有偿维护,维护费收取标准为每年收费不超过本次采购款价的5%，软件使用期内有效，（投标时须提供软件厂家书面承诺函）。</w:t>
      </w:r>
    </w:p>
    <w:p w14:paraId="2D0204E5">
      <w:pPr>
        <w:snapToGrid w:val="0"/>
        <w:spacing w:line="460" w:lineRule="exact"/>
        <w:ind w:firstLine="562" w:firstLineChars="200"/>
        <w:rPr>
          <w:rFonts w:hint="eastAsia" w:ascii="仿宋_GB2312" w:hAnsi="仿宋" w:eastAsia="仿宋_GB2312" w:cs="仿宋"/>
          <w:b/>
          <w:bCs/>
          <w:sz w:val="28"/>
          <w:szCs w:val="28"/>
        </w:rPr>
      </w:pPr>
      <w:r>
        <w:rPr>
          <w:rFonts w:hint="eastAsia" w:ascii="仿宋_GB2312" w:hAnsi="仿宋" w:eastAsia="仿宋_GB2312" w:cs="仿宋"/>
          <w:b/>
          <w:bCs/>
          <w:sz w:val="28"/>
          <w:szCs w:val="28"/>
        </w:rPr>
        <w:t>第</w:t>
      </w:r>
      <w:r>
        <w:rPr>
          <w:rFonts w:hint="eastAsia" w:ascii="仿宋_GB2312" w:hAnsi="仿宋" w:eastAsia="仿宋_GB2312" w:cs="仿宋"/>
          <w:b/>
          <w:bCs/>
          <w:sz w:val="28"/>
          <w:szCs w:val="28"/>
          <w:lang w:eastAsia="zh-CN"/>
        </w:rPr>
        <w:t>七</w:t>
      </w:r>
      <w:r>
        <w:rPr>
          <w:rFonts w:hint="eastAsia" w:ascii="仿宋_GB2312" w:hAnsi="仿宋" w:eastAsia="仿宋_GB2312" w:cs="仿宋"/>
          <w:b/>
          <w:bCs/>
          <w:sz w:val="28"/>
          <w:szCs w:val="28"/>
        </w:rPr>
        <w:t>条　付款方式和保证金（桂东医〔2023〕28 号）</w:t>
      </w:r>
    </w:p>
    <w:p w14:paraId="4B2F7F3A">
      <w:pPr>
        <w:pStyle w:val="2"/>
        <w:spacing w:line="460" w:lineRule="exact"/>
        <w:ind w:firstLine="560" w:firstLineChars="200"/>
        <w:rPr>
          <w:rFonts w:hint="eastAsia" w:ascii="仿宋_GB2312" w:hAnsi="仿宋" w:eastAsia="仿宋_GB2312" w:cs="仿宋"/>
          <w:color w:val="auto"/>
          <w:kern w:val="2"/>
          <w:sz w:val="28"/>
          <w:szCs w:val="28"/>
          <w:lang w:val="en-US" w:eastAsia="zh-CN" w:bidi="ar-SA"/>
        </w:rPr>
      </w:pPr>
      <w:bookmarkStart w:id="0" w:name="_GoBack"/>
      <w:bookmarkEnd w:id="0"/>
      <w:r>
        <w:rPr>
          <w:rFonts w:hint="eastAsia" w:ascii="仿宋_GB2312" w:hAnsi="仿宋" w:eastAsia="仿宋_GB2312" w:cs="仿宋"/>
          <w:color w:val="auto"/>
          <w:kern w:val="2"/>
          <w:sz w:val="28"/>
          <w:szCs w:val="28"/>
          <w:lang w:val="en-US" w:eastAsia="zh-CN" w:bidi="ar-SA"/>
        </w:rPr>
        <w:t>分期付款：签订合同后，全部货物到达指定地点、安装调试并验收合格后，凭双方签署验收合格书，甲方按照政府规定时间内支付，第一期：甲方支付合同总金额的90% ；第二期：交付后十二个月，经乙方书面申请，甲方支付合同总金额的 10%（不计利息）。</w:t>
      </w:r>
    </w:p>
    <w:p w14:paraId="573E0712">
      <w:pPr>
        <w:snapToGrid w:val="0"/>
        <w:spacing w:line="460" w:lineRule="exact"/>
        <w:ind w:firstLine="562" w:firstLineChars="200"/>
        <w:rPr>
          <w:rFonts w:hint="eastAsia" w:ascii="仿宋_GB2312" w:hAnsi="仿宋" w:eastAsia="仿宋_GB2312" w:cs="仿宋"/>
          <w:b/>
          <w:bCs/>
          <w:sz w:val="28"/>
          <w:szCs w:val="28"/>
        </w:rPr>
      </w:pPr>
      <w:r>
        <w:rPr>
          <w:rFonts w:hint="eastAsia" w:ascii="仿宋_GB2312" w:hAnsi="仿宋" w:eastAsia="仿宋_GB2312" w:cs="仿宋"/>
          <w:b/>
          <w:bCs/>
          <w:sz w:val="28"/>
          <w:szCs w:val="28"/>
        </w:rPr>
        <w:t>第</w:t>
      </w:r>
      <w:r>
        <w:rPr>
          <w:rFonts w:hint="eastAsia" w:ascii="仿宋_GB2312" w:hAnsi="仿宋" w:eastAsia="仿宋_GB2312" w:cs="仿宋"/>
          <w:b/>
          <w:bCs/>
          <w:sz w:val="28"/>
          <w:szCs w:val="28"/>
          <w:lang w:eastAsia="zh-CN"/>
        </w:rPr>
        <w:t>八</w:t>
      </w:r>
      <w:r>
        <w:rPr>
          <w:rFonts w:hint="eastAsia" w:ascii="仿宋_GB2312" w:hAnsi="仿宋" w:eastAsia="仿宋_GB2312" w:cs="仿宋"/>
          <w:b/>
          <w:bCs/>
          <w:sz w:val="28"/>
          <w:szCs w:val="28"/>
        </w:rPr>
        <w:t>条  税费本合同执行中相关的一切税费均由乙方负担。</w:t>
      </w:r>
    </w:p>
    <w:p w14:paraId="47D774EA">
      <w:pPr>
        <w:snapToGrid w:val="0"/>
        <w:spacing w:line="460" w:lineRule="exact"/>
        <w:ind w:firstLine="562" w:firstLineChars="200"/>
        <w:rPr>
          <w:rFonts w:hint="eastAsia" w:ascii="仿宋_GB2312" w:hAnsi="仿宋" w:eastAsia="仿宋_GB2312" w:cs="仿宋"/>
          <w:b/>
          <w:bCs/>
          <w:sz w:val="28"/>
          <w:szCs w:val="28"/>
        </w:rPr>
      </w:pPr>
      <w:r>
        <w:rPr>
          <w:rFonts w:hint="eastAsia" w:ascii="仿宋_GB2312" w:hAnsi="仿宋" w:eastAsia="仿宋_GB2312" w:cs="仿宋"/>
          <w:b/>
          <w:bCs/>
          <w:sz w:val="28"/>
          <w:szCs w:val="28"/>
        </w:rPr>
        <w:t>第</w:t>
      </w:r>
      <w:r>
        <w:rPr>
          <w:rFonts w:hint="eastAsia" w:ascii="仿宋_GB2312" w:hAnsi="仿宋" w:eastAsia="仿宋_GB2312" w:cs="仿宋"/>
          <w:b/>
          <w:bCs/>
          <w:sz w:val="28"/>
          <w:szCs w:val="28"/>
          <w:lang w:eastAsia="zh-CN"/>
        </w:rPr>
        <w:t>九</w:t>
      </w:r>
      <w:r>
        <w:rPr>
          <w:rFonts w:hint="eastAsia" w:ascii="仿宋_GB2312" w:hAnsi="仿宋" w:eastAsia="仿宋_GB2312" w:cs="仿宋"/>
          <w:b/>
          <w:bCs/>
          <w:sz w:val="28"/>
          <w:szCs w:val="28"/>
        </w:rPr>
        <w:t>条  质量保证及售后服务</w:t>
      </w:r>
    </w:p>
    <w:p w14:paraId="76DDE410">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1、乙方应按采购文件规定的技术要求、服务质量标准向甲方提供服务及更换的零配件。不符合要求者，根据实际情况，经双方协商，可按以下办法处理：</w:t>
      </w:r>
    </w:p>
    <w:p w14:paraId="141E9AD2">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⑴更换：由乙方承担所发生的全部费用。</w:t>
      </w:r>
    </w:p>
    <w:p w14:paraId="789145FC">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⑵贬值处理：由甲乙双方合议定价。</w:t>
      </w:r>
    </w:p>
    <w:p w14:paraId="4AE31C6A">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⑶退货处理：乙方应退还甲方支付的合同款，同时应承担该货物的直接费用（运输、保险、检验、货款利息及银行手续费等）。</w:t>
      </w:r>
    </w:p>
    <w:p w14:paraId="14B08BA4">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2、服务期内，接到故障报修电话后2小时响应，24小时内需到达现场进行维修，节假日或不可抗力除外。</w:t>
      </w:r>
    </w:p>
    <w:p w14:paraId="35071E25">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3、在零配件的质保期内，乙方应对该货物出现的质量及安全问题负责处理解决并承担一切费用。</w:t>
      </w:r>
    </w:p>
    <w:p w14:paraId="150590DB">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4、零配件的免费保修期按厂家规定执行，因人为因素出现的故障不在免费保修范围内的，维修时只收部件成本费。</w:t>
      </w:r>
    </w:p>
    <w:p w14:paraId="0053A453">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w:t>
      </w:r>
      <w:r>
        <w:rPr>
          <w:rFonts w:hint="eastAsia" w:ascii="仿宋_GB2312" w:hAnsi="仿宋" w:eastAsia="仿宋_GB2312" w:cs="仿宋"/>
          <w:b/>
          <w:sz w:val="28"/>
          <w:szCs w:val="28"/>
          <w:lang w:eastAsia="zh-CN"/>
        </w:rPr>
        <w:t>十</w:t>
      </w:r>
      <w:r>
        <w:rPr>
          <w:rFonts w:hint="eastAsia" w:ascii="仿宋_GB2312" w:hAnsi="仿宋" w:eastAsia="仿宋_GB2312" w:cs="仿宋"/>
          <w:b/>
          <w:sz w:val="28"/>
          <w:szCs w:val="28"/>
        </w:rPr>
        <w:t>条  调试和验收</w:t>
      </w:r>
    </w:p>
    <w:p w14:paraId="208012FF">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1.验收方法：本项目涉及软件验收将按合同要求完成后进行项目总验收。验收工作由投标人方提出，招标人组织相关评审人员组成验收小组共同进行验收。</w:t>
      </w:r>
    </w:p>
    <w:p w14:paraId="0325EBC6">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2.验收时间：待系统安装、调试完毕，满足业务需求并稳定运行一个月后，由投标人提出验收申请，招标人接到申请后十个工作日内组织验收。</w:t>
      </w:r>
    </w:p>
    <w:p w14:paraId="30AC5727">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3.验收内容：按照招投标文件、采购合同和其他相关资料内容进行。</w:t>
      </w:r>
    </w:p>
    <w:p w14:paraId="77B0B86D">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4.验收标准：</w:t>
      </w:r>
    </w:p>
    <w:p w14:paraId="2CCC88D4">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①项目服务所有技术性能规格及参数：应符合需求文件、投标人承诺的技术标准及服务标准及满足客户化修改要求。系统运行稳定，无故障，数据无错误。</w:t>
      </w:r>
    </w:p>
    <w:p w14:paraId="7E1B381D">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②验收文件的签署：由投标人撰写服务完成报告，由招标人委派的验收小组在审核后签署。</w:t>
      </w:r>
    </w:p>
    <w:p w14:paraId="330AA8B6">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③配合医院获得互联网医院牌照、通过信息互联互通标准化成熟度四级甲等评测、配合医院通过电子病历五级评审后。</w:t>
      </w:r>
    </w:p>
    <w:p w14:paraId="29ADE6BA">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5、对技术复杂的货物/服务，甲方应请国家认可的专业检测机构参与初步验收及最终验收，并由其出具质量检测报告。</w:t>
      </w:r>
    </w:p>
    <w:p w14:paraId="35DE441E">
      <w:pPr>
        <w:snapToGrid w:val="0"/>
        <w:spacing w:line="460" w:lineRule="exact"/>
        <w:ind w:firstLine="560" w:firstLineChars="200"/>
        <w:rPr>
          <w:rFonts w:hint="eastAsia" w:ascii="仿宋_GB2312" w:hAnsi="宋体" w:eastAsia="仿宋_GB2312" w:cs="宋体"/>
          <w:sz w:val="28"/>
          <w:szCs w:val="28"/>
        </w:rPr>
      </w:pPr>
      <w:r>
        <w:rPr>
          <w:rFonts w:hint="eastAsia" w:ascii="仿宋_GB2312" w:hAnsi="仿宋" w:eastAsia="仿宋_GB2312" w:cs="仿宋"/>
          <w:sz w:val="28"/>
          <w:szCs w:val="28"/>
        </w:rPr>
        <w:t>6、验收时乙方必须在现场，验收完毕后作出验收结果报告；验收费用由乙方负责。</w:t>
      </w:r>
    </w:p>
    <w:p w14:paraId="15000C4F">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第十</w:t>
      </w:r>
      <w:r>
        <w:rPr>
          <w:rFonts w:hint="eastAsia" w:ascii="仿宋_GB2312" w:hAnsi="仿宋" w:eastAsia="仿宋_GB2312" w:cs="仿宋"/>
          <w:b/>
          <w:sz w:val="28"/>
          <w:szCs w:val="28"/>
          <w:lang w:eastAsia="zh-CN"/>
        </w:rPr>
        <w:t>一</w:t>
      </w:r>
      <w:r>
        <w:rPr>
          <w:rFonts w:hint="eastAsia" w:ascii="仿宋_GB2312" w:hAnsi="仿宋" w:eastAsia="仿宋_GB2312" w:cs="仿宋"/>
          <w:b/>
          <w:sz w:val="28"/>
          <w:szCs w:val="28"/>
        </w:rPr>
        <w:t>条  货物包装、发运及运输（纯软件服务类项目可以去掉这点）</w:t>
      </w:r>
    </w:p>
    <w:p w14:paraId="584974D6">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1、服务期内更换的零配件应由乙方负责安全、完好运输至甲方指定地点。</w:t>
      </w:r>
    </w:p>
    <w:p w14:paraId="7C3F4AAE">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2、更换的零配件必须附有质量合格证书、使用说明书、随配附件和工具等。</w:t>
      </w:r>
    </w:p>
    <w:p w14:paraId="05A407CE">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3、更换的零配件在验收合格交付甲方使用前发生的所有风险均由乙方负责。</w:t>
      </w:r>
    </w:p>
    <w:p w14:paraId="71B6AADC">
      <w:pPr>
        <w:snapToGrid w:val="0"/>
        <w:spacing w:line="460" w:lineRule="exact"/>
        <w:ind w:firstLine="560" w:firstLineChars="200"/>
        <w:rPr>
          <w:rFonts w:hint="eastAsia" w:ascii="仿宋_GB2312" w:hAnsi="仿宋" w:eastAsia="仿宋_GB2312" w:cs="仿宋"/>
          <w:spacing w:val="-8"/>
          <w:sz w:val="28"/>
          <w:szCs w:val="28"/>
        </w:rPr>
      </w:pPr>
      <w:r>
        <w:rPr>
          <w:rFonts w:hint="eastAsia" w:ascii="仿宋_GB2312" w:hAnsi="仿宋" w:eastAsia="仿宋_GB2312" w:cs="仿宋"/>
          <w:sz w:val="28"/>
          <w:szCs w:val="28"/>
        </w:rPr>
        <w:t>4、更换的零配件</w:t>
      </w:r>
      <w:r>
        <w:rPr>
          <w:rFonts w:hint="eastAsia" w:ascii="仿宋_GB2312" w:hAnsi="仿宋" w:eastAsia="仿宋_GB2312" w:cs="仿宋"/>
          <w:spacing w:val="-8"/>
          <w:sz w:val="28"/>
          <w:szCs w:val="28"/>
        </w:rPr>
        <w:t>在</w:t>
      </w:r>
      <w:r>
        <w:rPr>
          <w:rFonts w:hint="eastAsia" w:ascii="仿宋_GB2312" w:hAnsi="仿宋" w:eastAsia="仿宋_GB2312" w:cs="仿宋"/>
          <w:sz w:val="28"/>
          <w:szCs w:val="28"/>
        </w:rPr>
        <w:t>承诺</w:t>
      </w:r>
      <w:r>
        <w:rPr>
          <w:rFonts w:hint="eastAsia" w:ascii="仿宋_GB2312" w:hAnsi="仿宋" w:eastAsia="仿宋_GB2312" w:cs="仿宋"/>
          <w:spacing w:val="-8"/>
          <w:sz w:val="28"/>
          <w:szCs w:val="28"/>
        </w:rPr>
        <w:t>的交付期限内由乙方送达甲方指定的地点视为交付，乙方同时需通知甲方。</w:t>
      </w:r>
    </w:p>
    <w:p w14:paraId="1CB570ED">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第十</w:t>
      </w:r>
      <w:r>
        <w:rPr>
          <w:rFonts w:hint="eastAsia" w:ascii="仿宋_GB2312" w:hAnsi="仿宋" w:eastAsia="仿宋_GB2312" w:cs="仿宋"/>
          <w:b/>
          <w:sz w:val="28"/>
          <w:szCs w:val="28"/>
          <w:lang w:eastAsia="zh-CN"/>
        </w:rPr>
        <w:t>二</w:t>
      </w:r>
      <w:r>
        <w:rPr>
          <w:rFonts w:hint="eastAsia" w:ascii="仿宋_GB2312" w:hAnsi="仿宋" w:eastAsia="仿宋_GB2312" w:cs="仿宋"/>
          <w:b/>
          <w:sz w:val="28"/>
          <w:szCs w:val="28"/>
        </w:rPr>
        <w:t>条　违约责任</w:t>
      </w:r>
    </w:p>
    <w:p w14:paraId="5AC60328">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乙方所提供的技术标准、服务标准等质量不合格的，应及时更换或整改，更换或整改不及时的按逾期交付处罚，项目期限不顺延；因质量问题甲方不同意接收的或特殊情况甲方同意接收的，乙方应向甲方支付违约部分价款额5%违约金并赔偿甲方经济损失。</w:t>
      </w:r>
    </w:p>
    <w:p w14:paraId="70442112">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2、乙方提供的货物/服务如侵犯了第三方合法权益而引发的任何纠纷或诉讼，均由乙方负责交涉并承担全部责任，包括但不限于诉讼费、律师费、赔偿款、保全费等。</w:t>
      </w:r>
    </w:p>
    <w:p w14:paraId="0766CB86">
      <w:pPr>
        <w:snapToGrid w:val="0"/>
        <w:spacing w:line="460" w:lineRule="exact"/>
        <w:ind w:firstLine="560" w:firstLineChars="200"/>
        <w:outlineLvl w:val="2"/>
        <w:rPr>
          <w:rFonts w:hint="eastAsia" w:ascii="仿宋_GB2312" w:hAnsi="仿宋" w:eastAsia="仿宋_GB2312" w:cs="仿宋"/>
          <w:sz w:val="28"/>
          <w:szCs w:val="28"/>
        </w:rPr>
      </w:pPr>
      <w:r>
        <w:rPr>
          <w:rFonts w:hint="eastAsia" w:ascii="仿宋_GB2312" w:hAnsi="仿宋" w:eastAsia="仿宋_GB2312" w:cs="仿宋"/>
          <w:sz w:val="28"/>
          <w:szCs w:val="28"/>
        </w:rPr>
        <w:t>3、因包装、运输引起的货物损坏，按质量不合格处罚</w:t>
      </w:r>
      <w:r>
        <w:rPr>
          <w:rFonts w:hint="eastAsia" w:ascii="仿宋_GB2312" w:hAnsi="仿宋" w:eastAsia="仿宋_GB2312" w:cs="仿宋"/>
          <w:b/>
          <w:sz w:val="28"/>
          <w:szCs w:val="28"/>
        </w:rPr>
        <w:t>（纯软件服务类项目可以去掉这点）</w:t>
      </w:r>
      <w:r>
        <w:rPr>
          <w:rFonts w:hint="eastAsia" w:ascii="仿宋_GB2312" w:hAnsi="仿宋" w:eastAsia="仿宋_GB2312" w:cs="仿宋"/>
          <w:sz w:val="28"/>
          <w:szCs w:val="28"/>
        </w:rPr>
        <w:t>。</w:t>
      </w:r>
    </w:p>
    <w:p w14:paraId="4364127E">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由于乙方原因导致乙方逾期交付的，逾期不超20天的，每逾期1天罚款1000元/天，超过20天甲方出具整改要求函，若仍未达到要求甲方有权单方解除合同，并有权要求乙方返还已经支付的全部款项，如果造成经济损失，违约方承担因此给对方造成经济损失。</w:t>
      </w:r>
    </w:p>
    <w:p w14:paraId="42947EB2">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5、在攻防演练期间发现该系统漏洞而乙方不能及时修复，超过20天仍然无法解决，甲方有权单方解除合同，如果造成经济损失，违约方承担因此给对方造成经济损失。</w:t>
      </w:r>
    </w:p>
    <w:p w14:paraId="02608EC3">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6、乙方未按本合同和投标文件中规定的服务承诺提供售后服务的，甲方书面警告三次后，仍然拒绝改正的，甲方有权另外聘请第三方处理相关问题，所产生的费用由乙方承担，同时，乙方应按本合同</w:t>
      </w:r>
      <w:r>
        <w:rPr>
          <w:rFonts w:hint="eastAsia" w:ascii="仿宋_GB2312" w:hAnsi="仿宋" w:eastAsia="仿宋_GB2312" w:cs="仿宋"/>
          <w:sz w:val="28"/>
          <w:szCs w:val="28"/>
          <w:lang w:eastAsia="zh-Hans"/>
        </w:rPr>
        <w:t>相应技术服务的合计金额</w:t>
      </w:r>
      <w:r>
        <w:rPr>
          <w:rFonts w:hint="eastAsia" w:ascii="仿宋_GB2312" w:hAnsi="仿宋" w:eastAsia="仿宋_GB2312" w:cs="仿宋"/>
          <w:sz w:val="28"/>
          <w:szCs w:val="28"/>
        </w:rPr>
        <w:t>5%向甲方支付违约金。</w:t>
      </w:r>
    </w:p>
    <w:p w14:paraId="28D383DC">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7、乙方提供的货物/服务在质量保证期内，因质量原因造成的问题，由乙方负责，费用从下一阶段付款中扣除，不足另补。</w:t>
      </w:r>
    </w:p>
    <w:p w14:paraId="2A46E3B0">
      <w:pPr>
        <w:snapToGrid w:val="0"/>
        <w:spacing w:line="460" w:lineRule="exact"/>
        <w:ind w:firstLine="560" w:firstLineChars="200"/>
        <w:outlineLvl w:val="2"/>
        <w:rPr>
          <w:rFonts w:hint="eastAsia" w:ascii="仿宋_GB2312" w:hAnsi="仿宋" w:eastAsia="仿宋_GB2312" w:cs="仿宋"/>
          <w:sz w:val="28"/>
          <w:szCs w:val="28"/>
        </w:rPr>
      </w:pPr>
      <w:r>
        <w:rPr>
          <w:rFonts w:hint="eastAsia" w:ascii="仿宋_GB2312" w:hAnsi="仿宋" w:eastAsia="仿宋_GB2312" w:cs="仿宋"/>
          <w:sz w:val="28"/>
          <w:szCs w:val="28"/>
        </w:rPr>
        <w:t>8、其它违约行为按违约货款额5%收取违约金并赔偿经济损失。</w:t>
      </w:r>
    </w:p>
    <w:p w14:paraId="61163B75">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9、甲方应付合同款逾期一个月未付，乙方有权终止甲方使用软件并停止技术支持，直至乙方收到逾期合同款。因停止技术支持和软件使用造成的损失由甲方承担。</w:t>
      </w:r>
    </w:p>
    <w:p w14:paraId="05623274">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第十</w:t>
      </w:r>
      <w:r>
        <w:rPr>
          <w:rFonts w:hint="eastAsia" w:ascii="仿宋_GB2312" w:hAnsi="仿宋" w:eastAsia="仿宋_GB2312" w:cs="仿宋"/>
          <w:b/>
          <w:sz w:val="28"/>
          <w:szCs w:val="28"/>
          <w:lang w:eastAsia="zh-CN"/>
        </w:rPr>
        <w:t>三</w:t>
      </w:r>
      <w:r>
        <w:rPr>
          <w:rFonts w:hint="eastAsia" w:ascii="仿宋_GB2312" w:hAnsi="仿宋" w:eastAsia="仿宋_GB2312" w:cs="仿宋"/>
          <w:b/>
          <w:sz w:val="28"/>
          <w:szCs w:val="28"/>
        </w:rPr>
        <w:t>条  不可抗力事件处理</w:t>
      </w:r>
    </w:p>
    <w:p w14:paraId="3C15D60F">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1、在合同有效期内，任何一方因不可抗力事件导致不能履行合同，则合同履行期可延长，其延长期与不可抗力影响期相同。</w:t>
      </w:r>
    </w:p>
    <w:p w14:paraId="4BA8FDA4">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2、不可抗力事件发生后，应3日内通知对方，并寄送有关权威机构出具的证明，否则无法顺延合同履行期限。</w:t>
      </w:r>
    </w:p>
    <w:p w14:paraId="7A058A50">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3、不可抗力事件延续120天以上，双方应通过友好协商，确定是否继续履行合同。</w:t>
      </w:r>
    </w:p>
    <w:p w14:paraId="3143F712">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第十</w:t>
      </w:r>
      <w:r>
        <w:rPr>
          <w:rFonts w:hint="eastAsia" w:ascii="仿宋_GB2312" w:hAnsi="仿宋" w:eastAsia="仿宋_GB2312" w:cs="仿宋"/>
          <w:b/>
          <w:sz w:val="28"/>
          <w:szCs w:val="28"/>
          <w:lang w:eastAsia="zh-CN"/>
        </w:rPr>
        <w:t>四</w:t>
      </w:r>
      <w:r>
        <w:rPr>
          <w:rFonts w:hint="eastAsia" w:ascii="仿宋_GB2312" w:hAnsi="仿宋" w:eastAsia="仿宋_GB2312" w:cs="仿宋"/>
          <w:b/>
          <w:sz w:val="28"/>
          <w:szCs w:val="28"/>
        </w:rPr>
        <w:t>条  合同争议解决和诉讼</w:t>
      </w:r>
    </w:p>
    <w:p w14:paraId="609DF4B0">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1、因货物/服务质量问题发生争议的，应邀请国家认可的质量检测机构对货物/服务质量进行鉴定。货物/服务符合标准的，鉴定费由甲方承担；货物/服务不符合标准的，鉴定费由乙方承担。</w:t>
      </w:r>
    </w:p>
    <w:p w14:paraId="7D8397DE">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2、因履行本合同引起的或与本合同有关的争议，甲乙双方应首先通过友好协商解决，如果协商不能解决，可向甲方所在地人民法院提起诉讼。</w:t>
      </w:r>
    </w:p>
    <w:p w14:paraId="673C080C">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3、诉讼期间，本合同继续履行。</w:t>
      </w:r>
    </w:p>
    <w:p w14:paraId="340560BD">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第十</w:t>
      </w:r>
      <w:r>
        <w:rPr>
          <w:rFonts w:hint="eastAsia" w:ascii="仿宋_GB2312" w:hAnsi="仿宋" w:eastAsia="仿宋_GB2312" w:cs="仿宋"/>
          <w:b/>
          <w:sz w:val="28"/>
          <w:szCs w:val="28"/>
          <w:lang w:eastAsia="zh-CN"/>
        </w:rPr>
        <w:t>五</w:t>
      </w:r>
      <w:r>
        <w:rPr>
          <w:rFonts w:hint="eastAsia" w:ascii="仿宋_GB2312" w:hAnsi="仿宋" w:eastAsia="仿宋_GB2312" w:cs="仿宋"/>
          <w:b/>
          <w:sz w:val="28"/>
          <w:szCs w:val="28"/>
        </w:rPr>
        <w:t>条  合同生效及其它</w:t>
      </w:r>
    </w:p>
    <w:p w14:paraId="7D4CD2BC">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1、合同经双方法定代表人或授权代表签字并加盖单位公章后生效。</w:t>
      </w:r>
    </w:p>
    <w:p w14:paraId="32FA7827">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2、合同执行中涉及采购资金和采购内容修改或补充的，须经财政部门审批，并签书面补充协议报财政部门备案，方可作为主合同不可分割的一部分。</w:t>
      </w:r>
    </w:p>
    <w:p w14:paraId="39089D94">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3、本合同未尽事宜，遵照《中华人民共和国民法典》有关条文执行。</w:t>
      </w:r>
    </w:p>
    <w:p w14:paraId="0BCEC2FA">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4、若非乙方原因导致合同解除的，乙方有权就已完成的履约部分收取相应合同款项。</w:t>
      </w:r>
    </w:p>
    <w:p w14:paraId="27E84984">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第十</w:t>
      </w:r>
      <w:r>
        <w:rPr>
          <w:rFonts w:hint="eastAsia" w:ascii="仿宋_GB2312" w:hAnsi="仿宋" w:eastAsia="仿宋_GB2312" w:cs="仿宋"/>
          <w:b/>
          <w:sz w:val="28"/>
          <w:szCs w:val="28"/>
          <w:lang w:eastAsia="zh-CN"/>
        </w:rPr>
        <w:t>六</w:t>
      </w:r>
      <w:r>
        <w:rPr>
          <w:rFonts w:hint="eastAsia" w:ascii="仿宋_GB2312" w:hAnsi="仿宋" w:eastAsia="仿宋_GB2312" w:cs="仿宋"/>
          <w:b/>
          <w:sz w:val="28"/>
          <w:szCs w:val="28"/>
        </w:rPr>
        <w:t>条　合同的变更、终止与转让</w:t>
      </w:r>
    </w:p>
    <w:p w14:paraId="71D379E5">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1、除《中华人民共和国政府采购法》第50条规定的情形外，本合同一经签订，甲乙双方不得擅自变更、中止或终止。</w:t>
      </w:r>
    </w:p>
    <w:p w14:paraId="0EC5E4A7">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2、乙方不得擅自转让（无进口资格的供应商委托进口货物除外）其应履行的合同义务。</w:t>
      </w:r>
    </w:p>
    <w:p w14:paraId="3346CBA0">
      <w:pPr>
        <w:snapToGrid w:val="0"/>
        <w:spacing w:line="460" w:lineRule="exact"/>
        <w:ind w:firstLine="562" w:firstLineChars="200"/>
        <w:outlineLvl w:val="1"/>
        <w:rPr>
          <w:rFonts w:hint="eastAsia" w:ascii="仿宋_GB2312" w:hAnsi="仿宋" w:eastAsia="仿宋_GB2312" w:cs="仿宋"/>
          <w:b/>
          <w:sz w:val="28"/>
          <w:szCs w:val="28"/>
        </w:rPr>
      </w:pPr>
      <w:r>
        <w:rPr>
          <w:rFonts w:hint="eastAsia" w:ascii="仿宋_GB2312" w:hAnsi="仿宋" w:eastAsia="仿宋_GB2312" w:cs="仿宋"/>
          <w:b/>
          <w:sz w:val="28"/>
          <w:szCs w:val="28"/>
        </w:rPr>
        <w:t>第十</w:t>
      </w:r>
      <w:r>
        <w:rPr>
          <w:rFonts w:hint="eastAsia" w:ascii="仿宋_GB2312" w:hAnsi="仿宋" w:eastAsia="仿宋_GB2312" w:cs="仿宋"/>
          <w:b/>
          <w:sz w:val="28"/>
          <w:szCs w:val="28"/>
          <w:lang w:eastAsia="zh-CN"/>
        </w:rPr>
        <w:t>七</w:t>
      </w:r>
      <w:r>
        <w:rPr>
          <w:rFonts w:hint="eastAsia" w:ascii="仿宋_GB2312" w:hAnsi="仿宋" w:eastAsia="仿宋_GB2312" w:cs="仿宋"/>
          <w:b/>
          <w:sz w:val="28"/>
          <w:szCs w:val="28"/>
        </w:rPr>
        <w:t>条　签订本合同依据</w:t>
      </w:r>
    </w:p>
    <w:p w14:paraId="388B5DBF">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1、政府采购采购文件；</w:t>
      </w:r>
    </w:p>
    <w:p w14:paraId="2725E32D">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2、乙方提供的投标文件；</w:t>
      </w:r>
    </w:p>
    <w:p w14:paraId="4AE43396">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3、投标承诺书；</w:t>
      </w:r>
    </w:p>
    <w:p w14:paraId="026729B2">
      <w:pPr>
        <w:snapToGrid w:val="0"/>
        <w:spacing w:line="46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4、中标通知书。</w:t>
      </w:r>
    </w:p>
    <w:p w14:paraId="19F55A69">
      <w:pPr>
        <w:pStyle w:val="4"/>
        <w:spacing w:line="460" w:lineRule="exact"/>
        <w:ind w:firstLine="562" w:firstLineChars="200"/>
        <w:jc w:val="both"/>
        <w:rPr>
          <w:rFonts w:hint="eastAsia" w:ascii="仿宋_GB2312" w:eastAsia="仿宋_GB2312"/>
          <w:sz w:val="28"/>
          <w:szCs w:val="28"/>
        </w:rPr>
      </w:pPr>
      <w:r>
        <w:rPr>
          <w:rFonts w:hint="eastAsia" w:ascii="仿宋_GB2312" w:eastAsia="仿宋_GB2312"/>
          <w:sz w:val="28"/>
          <w:szCs w:val="28"/>
        </w:rPr>
        <w:t>第十</w:t>
      </w:r>
      <w:r>
        <w:rPr>
          <w:rFonts w:hint="eastAsia" w:ascii="仿宋_GB2312" w:eastAsia="仿宋_GB2312"/>
          <w:sz w:val="28"/>
          <w:szCs w:val="28"/>
          <w:lang w:eastAsia="zh-CN"/>
        </w:rPr>
        <w:t>八</w:t>
      </w:r>
      <w:r>
        <w:rPr>
          <w:rFonts w:hint="eastAsia" w:ascii="仿宋_GB2312" w:eastAsia="仿宋_GB2312"/>
          <w:sz w:val="28"/>
          <w:szCs w:val="28"/>
        </w:rPr>
        <w:t>条　本合同一式陆份，经甲乙双方法定代表人或委托代理人签字并加盖公章后生效。甲执叁份，乙执叁份，具有同等效力。</w:t>
      </w:r>
    </w:p>
    <w:p w14:paraId="028D1F2B">
      <w:pPr>
        <w:pStyle w:val="4"/>
        <w:rPr>
          <w:rFonts w:hint="eastAsia"/>
        </w:rPr>
      </w:pPr>
    </w:p>
    <w:p w14:paraId="2E1537ED">
      <w:pPr>
        <w:pStyle w:val="4"/>
        <w:rPr>
          <w:rFonts w:hint="eastAsia"/>
        </w:rPr>
      </w:pPr>
    </w:p>
    <w:p w14:paraId="79511560">
      <w:pPr>
        <w:pStyle w:val="4"/>
        <w:rPr>
          <w:rFonts w:hint="eastAsia"/>
        </w:rPr>
      </w:pPr>
    </w:p>
    <w:p w14:paraId="44A58EEB">
      <w:pPr>
        <w:pStyle w:val="4"/>
        <w:rPr>
          <w:rFonts w:hint="eastAsia"/>
        </w:rPr>
      </w:pPr>
    </w:p>
    <w:p w14:paraId="6E93C362">
      <w:pPr>
        <w:pStyle w:val="4"/>
        <w:rPr>
          <w:rFonts w:hint="eastAsia"/>
        </w:rPr>
      </w:pPr>
    </w:p>
    <w:p w14:paraId="0C3B9303">
      <w:pPr>
        <w:pStyle w:val="4"/>
        <w:rPr>
          <w:rFonts w:hint="eastAsia"/>
        </w:rPr>
      </w:pPr>
    </w:p>
    <w:p w14:paraId="7D208E85">
      <w:pPr>
        <w:pStyle w:val="4"/>
        <w:rPr>
          <w:rFonts w:hint="eastAsia"/>
        </w:rPr>
      </w:pPr>
    </w:p>
    <w:p w14:paraId="68E65AF3">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甲方（章）广西壮族自治区桂东人民医院</w:t>
      </w:r>
    </w:p>
    <w:p w14:paraId="79254FBA">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单位地址：广西梧州市西江四路金鸡冲</w:t>
      </w:r>
      <w:r>
        <w:rPr>
          <w:rFonts w:ascii="仿宋_GB2312" w:hAnsi="宋体" w:eastAsia="仿宋_GB2312" w:cs="宋体"/>
          <w:sz w:val="28"/>
          <w:szCs w:val="28"/>
        </w:rPr>
        <w:t xml:space="preserve"> 1 </w:t>
      </w:r>
      <w:r>
        <w:rPr>
          <w:rFonts w:hint="eastAsia" w:ascii="仿宋_GB2312" w:hAnsi="宋体" w:eastAsia="仿宋_GB2312" w:cs="宋体"/>
          <w:sz w:val="28"/>
          <w:szCs w:val="28"/>
        </w:rPr>
        <w:t>号</w:t>
      </w:r>
    </w:p>
    <w:p w14:paraId="02153A08">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法定代表人：</w:t>
      </w:r>
    </w:p>
    <w:p w14:paraId="09FC5BC2">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委托代理人：</w:t>
      </w:r>
    </w:p>
    <w:p w14:paraId="6B18F6A4">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电话：</w:t>
      </w:r>
      <w:r>
        <w:rPr>
          <w:rFonts w:ascii="仿宋_GB2312" w:hAnsi="宋体" w:eastAsia="仿宋_GB2312" w:cs="宋体"/>
          <w:sz w:val="28"/>
          <w:szCs w:val="28"/>
        </w:rPr>
        <w:t>0774-2023107</w:t>
      </w:r>
    </w:p>
    <w:p w14:paraId="70482D30">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开户银行：交通银行梧州分行营业部</w:t>
      </w:r>
    </w:p>
    <w:p w14:paraId="79BF7C9E">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账号：</w:t>
      </w:r>
      <w:r>
        <w:rPr>
          <w:rFonts w:ascii="仿宋_GB2312" w:hAnsi="宋体" w:eastAsia="仿宋_GB2312" w:cs="宋体"/>
          <w:sz w:val="28"/>
          <w:szCs w:val="28"/>
        </w:rPr>
        <w:t>454060900018150298388</w:t>
      </w:r>
    </w:p>
    <w:p w14:paraId="5FC6DF10">
      <w:pPr>
        <w:spacing w:line="460" w:lineRule="exact"/>
        <w:ind w:firstLine="560" w:firstLineChars="200"/>
        <w:jc w:val="left"/>
        <w:rPr>
          <w:rFonts w:hint="eastAsia" w:ascii="仿宋_GB2312" w:hAnsi="宋体" w:eastAsia="仿宋_GB2312" w:cs="宋体"/>
          <w:sz w:val="28"/>
          <w:szCs w:val="28"/>
        </w:rPr>
      </w:pPr>
    </w:p>
    <w:p w14:paraId="29D2A945">
      <w:pPr>
        <w:pStyle w:val="2"/>
      </w:pPr>
    </w:p>
    <w:p w14:paraId="5B55A9BE">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乙方（章）</w:t>
      </w:r>
      <w:r>
        <w:rPr>
          <w:rFonts w:ascii="仿宋_GB2312" w:hAnsi="宋体" w:eastAsia="仿宋_GB2312" w:cs="宋体"/>
          <w:sz w:val="28"/>
          <w:szCs w:val="28"/>
        </w:rPr>
        <w:t xml:space="preserve"> </w:t>
      </w:r>
    </w:p>
    <w:p w14:paraId="1543A763">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单位地址：</w:t>
      </w:r>
      <w:r>
        <w:rPr>
          <w:rFonts w:ascii="仿宋_GB2312" w:hAnsi="宋体" w:eastAsia="仿宋_GB2312" w:cs="宋体"/>
          <w:sz w:val="28"/>
          <w:szCs w:val="28"/>
        </w:rPr>
        <w:t xml:space="preserve"> </w:t>
      </w:r>
    </w:p>
    <w:p w14:paraId="2C22211A">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法定代表人：</w:t>
      </w:r>
      <w:r>
        <w:rPr>
          <w:rFonts w:ascii="仿宋_GB2312" w:hAnsi="宋体" w:eastAsia="仿宋_GB2312" w:cs="宋体"/>
          <w:sz w:val="28"/>
          <w:szCs w:val="28"/>
        </w:rPr>
        <w:t xml:space="preserve"> </w:t>
      </w:r>
    </w:p>
    <w:p w14:paraId="7557A0AB">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委托代理人：</w:t>
      </w:r>
    </w:p>
    <w:p w14:paraId="12E73B1E">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电话：</w:t>
      </w:r>
      <w:r>
        <w:rPr>
          <w:rFonts w:ascii="仿宋_GB2312" w:hAnsi="宋体" w:eastAsia="仿宋_GB2312" w:cs="宋体"/>
          <w:sz w:val="28"/>
          <w:szCs w:val="28"/>
        </w:rPr>
        <w:t xml:space="preserve"> </w:t>
      </w:r>
    </w:p>
    <w:p w14:paraId="31A1CB08">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开户银行：</w:t>
      </w:r>
      <w:r>
        <w:rPr>
          <w:rFonts w:ascii="仿宋_GB2312" w:hAnsi="宋体" w:eastAsia="仿宋_GB2312" w:cs="宋体"/>
          <w:sz w:val="28"/>
          <w:szCs w:val="28"/>
        </w:rPr>
        <w:t xml:space="preserve"> </w:t>
      </w:r>
    </w:p>
    <w:p w14:paraId="1C32879F">
      <w:pPr>
        <w:spacing w:line="46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账号：</w:t>
      </w:r>
    </w:p>
    <w:p w14:paraId="1B42491F">
      <w:pPr>
        <w:spacing w:line="400" w:lineRule="exact"/>
        <w:outlineLvl w:val="0"/>
        <w:rPr>
          <w:rFonts w:ascii="仿宋" w:hAnsi="仿宋" w:eastAsia="仿宋" w:cs="仿宋"/>
          <w:b/>
          <w:szCs w:val="21"/>
        </w:rPr>
      </w:pPr>
    </w:p>
    <w:p w14:paraId="65EF4EC6">
      <w:pPr>
        <w:rPr>
          <w:rFonts w:ascii="仿宋" w:hAnsi="仿宋" w:eastAsia="仿宋" w:cs="仿宋"/>
          <w:szCs w:val="21"/>
        </w:rPr>
      </w:pPr>
    </w:p>
    <w:sectPr>
      <w:footerReference r:id="rId9" w:type="default"/>
      <w:pgSz w:w="11906" w:h="16838"/>
      <w:pgMar w:top="1701"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595D">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B65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FA1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012506"/>
      <w:docPartObj>
        <w:docPartGallery w:val="autotext"/>
      </w:docPartObj>
    </w:sdtPr>
    <w:sdtEndPr>
      <w:rPr>
        <w:rFonts w:asciiTheme="majorEastAsia" w:hAnsiTheme="majorEastAsia" w:eastAsiaTheme="majorEastAsia"/>
        <w:sz w:val="28"/>
        <w:szCs w:val="28"/>
      </w:rPr>
    </w:sdtEndPr>
    <w:sdtContent>
      <w:p w14:paraId="79CC8AA5">
        <w:pPr>
          <w:pStyle w:val="5"/>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8</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3CC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CBF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6E3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DVhNGU2ZDc0MmNmODViMjQ2ZWRhOGM3OGZiYzAifQ=="/>
  </w:docVars>
  <w:rsids>
    <w:rsidRoot w:val="00E7136E"/>
    <w:rsid w:val="002D0579"/>
    <w:rsid w:val="004478A4"/>
    <w:rsid w:val="00675D6D"/>
    <w:rsid w:val="00E14AF0"/>
    <w:rsid w:val="00E7136E"/>
    <w:rsid w:val="012B4EE3"/>
    <w:rsid w:val="03567A3B"/>
    <w:rsid w:val="038F1226"/>
    <w:rsid w:val="03D447E1"/>
    <w:rsid w:val="04F828E9"/>
    <w:rsid w:val="06552C99"/>
    <w:rsid w:val="070E6E8B"/>
    <w:rsid w:val="08303AE2"/>
    <w:rsid w:val="09B86C1D"/>
    <w:rsid w:val="0B2F56B3"/>
    <w:rsid w:val="0EF55486"/>
    <w:rsid w:val="131A32C0"/>
    <w:rsid w:val="13A17F5A"/>
    <w:rsid w:val="14320A1A"/>
    <w:rsid w:val="14C06381"/>
    <w:rsid w:val="160F077B"/>
    <w:rsid w:val="18272607"/>
    <w:rsid w:val="182D2B27"/>
    <w:rsid w:val="18FD4718"/>
    <w:rsid w:val="1C195197"/>
    <w:rsid w:val="1D5E3520"/>
    <w:rsid w:val="1E0E5196"/>
    <w:rsid w:val="1E533A52"/>
    <w:rsid w:val="1F0B6962"/>
    <w:rsid w:val="1FCC5214"/>
    <w:rsid w:val="1FDF3A60"/>
    <w:rsid w:val="2086054F"/>
    <w:rsid w:val="20C705E7"/>
    <w:rsid w:val="23F31646"/>
    <w:rsid w:val="250340C1"/>
    <w:rsid w:val="265B5688"/>
    <w:rsid w:val="26D27B96"/>
    <w:rsid w:val="27B35183"/>
    <w:rsid w:val="2A8016D4"/>
    <w:rsid w:val="2CEE6F67"/>
    <w:rsid w:val="2DA57435"/>
    <w:rsid w:val="2E322228"/>
    <w:rsid w:val="2F683D38"/>
    <w:rsid w:val="31490E1D"/>
    <w:rsid w:val="33361D5D"/>
    <w:rsid w:val="33D03372"/>
    <w:rsid w:val="342E70C8"/>
    <w:rsid w:val="362920DB"/>
    <w:rsid w:val="38B2136F"/>
    <w:rsid w:val="38B72E46"/>
    <w:rsid w:val="38CC68BA"/>
    <w:rsid w:val="39697611"/>
    <w:rsid w:val="3B6D2EEF"/>
    <w:rsid w:val="3E8D0BE9"/>
    <w:rsid w:val="3FCD6C82"/>
    <w:rsid w:val="40BD45BC"/>
    <w:rsid w:val="41E33632"/>
    <w:rsid w:val="422C1AE4"/>
    <w:rsid w:val="43BC7102"/>
    <w:rsid w:val="44153A38"/>
    <w:rsid w:val="44FB6EF6"/>
    <w:rsid w:val="45221F62"/>
    <w:rsid w:val="454F7C99"/>
    <w:rsid w:val="46D976B7"/>
    <w:rsid w:val="476734BF"/>
    <w:rsid w:val="4B15295F"/>
    <w:rsid w:val="4B2755A6"/>
    <w:rsid w:val="4BA67DBC"/>
    <w:rsid w:val="4C242C40"/>
    <w:rsid w:val="4C4A5008"/>
    <w:rsid w:val="4C4E7DCC"/>
    <w:rsid w:val="4E093615"/>
    <w:rsid w:val="4E303BC9"/>
    <w:rsid w:val="4FD63390"/>
    <w:rsid w:val="502F7CE9"/>
    <w:rsid w:val="5057529A"/>
    <w:rsid w:val="510420C2"/>
    <w:rsid w:val="53BD6D4A"/>
    <w:rsid w:val="542A71F8"/>
    <w:rsid w:val="557B13BE"/>
    <w:rsid w:val="58647451"/>
    <w:rsid w:val="598A5547"/>
    <w:rsid w:val="59AD2577"/>
    <w:rsid w:val="59C12AAB"/>
    <w:rsid w:val="59CC7FB2"/>
    <w:rsid w:val="5A7E5D34"/>
    <w:rsid w:val="5AB35FAE"/>
    <w:rsid w:val="5BF945D9"/>
    <w:rsid w:val="5CDA650C"/>
    <w:rsid w:val="5EA44546"/>
    <w:rsid w:val="60C87CD4"/>
    <w:rsid w:val="60F30FE5"/>
    <w:rsid w:val="6302395D"/>
    <w:rsid w:val="641C2B12"/>
    <w:rsid w:val="68025C85"/>
    <w:rsid w:val="6B2575F0"/>
    <w:rsid w:val="6C0E4EF3"/>
    <w:rsid w:val="6EB40B40"/>
    <w:rsid w:val="6F502241"/>
    <w:rsid w:val="72AC12AE"/>
    <w:rsid w:val="731C1591"/>
    <w:rsid w:val="73AC41C0"/>
    <w:rsid w:val="73EC302E"/>
    <w:rsid w:val="76A469FE"/>
    <w:rsid w:val="79470918"/>
    <w:rsid w:val="79907720"/>
    <w:rsid w:val="7C8A2798"/>
    <w:rsid w:val="7E88068B"/>
    <w:rsid w:val="7EE4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autoRedefine/>
    <w:qFormat/>
    <w:uiPriority w:val="0"/>
    <w:pPr>
      <w:spacing w:line="380" w:lineRule="exact"/>
    </w:pPr>
    <w:rPr>
      <w:sz w:val="24"/>
    </w:rPr>
  </w:style>
  <w:style w:type="paragraph" w:styleId="4">
    <w:name w:val="Plain Text"/>
    <w:basedOn w:val="1"/>
    <w:autoRedefine/>
    <w:qFormat/>
    <w:uiPriority w:val="0"/>
    <w:pPr>
      <w:jc w:val="center"/>
    </w:pPr>
    <w:rPr>
      <w:rFonts w:ascii="宋体" w:hAnsi="宋体"/>
      <w:b/>
      <w:sz w:val="32"/>
      <w:szCs w:val="32"/>
    </w:rPr>
  </w:style>
  <w:style w:type="paragraph" w:styleId="5">
    <w:name w:val="footer"/>
    <w:basedOn w:val="1"/>
    <w:link w:val="11"/>
    <w:autoRedefine/>
    <w:qFormat/>
    <w:uiPriority w:val="99"/>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tabs>
        <w:tab w:val="right" w:leader="dot" w:pos="8398"/>
      </w:tabs>
      <w:spacing w:before="120" w:after="120"/>
      <w:ind w:firstLine="240" w:firstLineChars="100"/>
      <w:jc w:val="left"/>
    </w:pPr>
    <w:rPr>
      <w:rFonts w:ascii="宋体" w:hAnsi="宋体"/>
      <w:b/>
      <w:bCs/>
      <w:caps/>
      <w:sz w:val="24"/>
    </w:rPr>
  </w:style>
  <w:style w:type="character" w:customStyle="1" w:styleId="10">
    <w:name w:val="页眉 Char"/>
    <w:basedOn w:val="9"/>
    <w:link w:val="6"/>
    <w:autoRedefine/>
    <w:qFormat/>
    <w:uiPriority w:val="0"/>
    <w:rPr>
      <w:kern w:val="2"/>
      <w:sz w:val="18"/>
      <w:szCs w:val="18"/>
    </w:rPr>
  </w:style>
  <w:style w:type="character" w:customStyle="1" w:styleId="11">
    <w:name w:val="页脚 Char"/>
    <w:basedOn w:val="9"/>
    <w:link w:val="5"/>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4615</Words>
  <Characters>4725</Characters>
  <Lines>35</Lines>
  <Paragraphs>9</Paragraphs>
  <TotalTime>13</TotalTime>
  <ScaleCrop>false</ScaleCrop>
  <LinksUpToDate>false</LinksUpToDate>
  <CharactersWithSpaces>4910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2022-12-02T01:36:00Z</dcterms:created>
  <dc:creator>Administrator</dc:creator>
  <cp:lastModifiedBy>chance</cp:lastModifiedBy>
  <dcterms:modified xsi:type="dcterms:W3CDTF">2025-06-11T08:54:20Z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6E4CE9C2EC2A411F9F3859185D52807F</vt:lpwstr>
  </property>
  <property fmtid="{D5CDD505-2E9C-101B-9397-08002B2CF9AE}" pid="4" name="KSOTemplateDocerSaveRecord">
    <vt:lpwstr>eyJoZGlkIjoiMWEyYmY4MjA0MzAxNjIyZGNjMDk1MmY5N2E0MzMwOWEiLCJ1c2VySWQiOiI1OTI0NDY0NDUifQ==</vt:lpwstr>
  </property>
</Properties>
</file>