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56495DB0">
      <w:pPr>
        <w:pStyle w:val="2"/>
        <w:ind w:left="-225" w:leftChars="-107" w:firstLine="0" w:firstLineChars="0"/>
        <w:rPr>
          <w:rFonts w:hint="eastAsia" w:ascii="宋体" w:hAnsi="宋体"/>
          <w:b w:val="0"/>
          <w:bCs/>
          <w:color w:val="FF0000"/>
          <w:lang w:eastAsia="zh-CN"/>
        </w:rPr>
      </w:pPr>
      <w:r>
        <w:rPr>
          <w:rFonts w:hint="eastAsia" w:ascii="宋体" w:hAnsi="宋体"/>
          <w:b/>
          <w:bCs w:val="0"/>
          <w:color w:val="000000" w:themeColor="text1"/>
          <w:lang w:eastAsia="zh-CN"/>
          <w14:textFill>
            <w14:solidFill>
              <w14:schemeClr w14:val="tx1"/>
            </w14:solidFill>
          </w14:textFill>
        </w:rPr>
        <w:t>所有</w:t>
      </w:r>
      <w:r>
        <w:rPr>
          <w:rFonts w:hint="eastAsia" w:ascii="宋体" w:hAnsi="宋体"/>
          <w:b/>
          <w:bCs w:val="0"/>
          <w:color w:val="000000" w:themeColor="text1"/>
          <w14:textFill>
            <w14:solidFill>
              <w14:schemeClr w14:val="tx1"/>
            </w14:solidFill>
          </w14:textFill>
        </w:rPr>
        <w:t>技术</w:t>
      </w:r>
      <w:r>
        <w:rPr>
          <w:rFonts w:hint="eastAsia" w:ascii="宋体" w:hAnsi="宋体"/>
          <w:b/>
          <w:bCs w:val="0"/>
          <w:color w:val="000000" w:themeColor="text1"/>
          <w:lang w:eastAsia="zh-CN"/>
          <w14:textFill>
            <w14:solidFill>
              <w14:schemeClr w14:val="tx1"/>
            </w14:solidFill>
          </w14:textFill>
        </w:rPr>
        <w:t>规格参数</w:t>
      </w:r>
      <w:r>
        <w:rPr>
          <w:rFonts w:hint="eastAsia" w:ascii="宋体" w:hAnsi="宋体"/>
          <w:b/>
          <w:bCs w:val="0"/>
          <w:color w:val="000000" w:themeColor="text1"/>
          <w14:textFill>
            <w14:solidFill>
              <w14:schemeClr w14:val="tx1"/>
            </w14:solidFill>
          </w14:textFill>
        </w:rPr>
        <w:t>要求均为实质性条款，必须满足或者优于，否则其</w:t>
      </w:r>
      <w:r>
        <w:rPr>
          <w:rFonts w:hint="eastAsia" w:ascii="宋体" w:hAnsi="宋体"/>
          <w:b/>
          <w:bCs w:val="0"/>
          <w:color w:val="000000" w:themeColor="text1"/>
          <w:lang w:eastAsia="zh-CN"/>
          <w14:textFill>
            <w14:solidFill>
              <w14:schemeClr w14:val="tx1"/>
            </w14:solidFill>
          </w14:textFill>
        </w:rPr>
        <w:t>投标</w:t>
      </w:r>
      <w:r>
        <w:rPr>
          <w:rFonts w:hint="eastAsia" w:ascii="宋体" w:hAnsi="宋体"/>
          <w:b/>
          <w:bCs w:val="0"/>
          <w:color w:val="000000" w:themeColor="text1"/>
          <w14:textFill>
            <w14:solidFill>
              <w14:schemeClr w14:val="tx1"/>
            </w14:solidFill>
          </w14:textFill>
        </w:rPr>
        <w:t>文件</w:t>
      </w:r>
      <w:r>
        <w:rPr>
          <w:rFonts w:hint="eastAsia" w:ascii="宋体" w:hAnsi="宋体"/>
          <w:b/>
          <w:bCs w:val="0"/>
          <w:color w:val="000000" w:themeColor="text1"/>
          <w:lang w:eastAsia="zh-CN"/>
          <w14:textFill>
            <w14:solidFill>
              <w14:schemeClr w14:val="tx1"/>
            </w14:solidFill>
          </w14:textFill>
        </w:rPr>
        <w:t>无效</w:t>
      </w:r>
    </w:p>
    <w:p w14:paraId="11BBA451">
      <w:pPr>
        <w:pStyle w:val="2"/>
        <w:ind w:left="-708" w:leftChars="-337"/>
        <w:rPr>
          <w:rFonts w:hint="eastAsia" w:cs="宋体"/>
          <w:b/>
          <w:bCs/>
          <w:sz w:val="28"/>
          <w:szCs w:val="28"/>
        </w:rPr>
      </w:pPr>
      <w:r>
        <w:rPr>
          <w:rFonts w:hint="eastAsia" w:cs="宋体"/>
          <w:b/>
          <w:bCs/>
          <w:sz w:val="28"/>
          <w:szCs w:val="28"/>
        </w:rPr>
        <w:t>一、采购清单、技术规格参数、质量标准和要求</w:t>
      </w:r>
    </w:p>
    <w:p w14:paraId="515CA7BA">
      <w:pPr>
        <w:pStyle w:val="2"/>
        <w:ind w:left="-708" w:leftChars="-337"/>
        <w:rPr>
          <w:b/>
          <w:bCs/>
        </w:rPr>
      </w:pPr>
      <w:r>
        <w:rPr>
          <w:rFonts w:hint="eastAsia" w:cs="宋体"/>
          <w:b/>
          <w:bCs/>
        </w:rPr>
        <w:t>（一）采购清单</w:t>
      </w:r>
      <w:r>
        <w:rPr>
          <w:b/>
          <w:bCs/>
        </w:rPr>
        <w:t> </w:t>
      </w:r>
    </w:p>
    <w:p w14:paraId="616956DA">
      <w:pPr>
        <w:pStyle w:val="2"/>
        <w:ind w:left="-708" w:leftChars="-337"/>
        <w:rPr>
          <w:rFonts w:hint="eastAsia"/>
          <w:b/>
          <w:bCs/>
          <w:lang w:val="en-US" w:eastAsia="zh-CN"/>
        </w:rPr>
      </w:pPr>
      <w:r>
        <w:rPr>
          <w:rFonts w:hint="eastAsia"/>
          <w:b/>
          <w:bCs/>
          <w:lang w:val="en-US" w:eastAsia="zh-CN"/>
        </w:rPr>
        <w:t xml:space="preserve">  </w:t>
      </w:r>
    </w:p>
    <w:tbl>
      <w:tblPr>
        <w:tblStyle w:val="8"/>
        <w:tblW w:w="10283" w:type="dxa"/>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721"/>
        <w:gridCol w:w="1406"/>
        <w:gridCol w:w="703"/>
        <w:gridCol w:w="750"/>
        <w:gridCol w:w="912"/>
        <w:gridCol w:w="1142"/>
        <w:gridCol w:w="2991"/>
      </w:tblGrid>
      <w:tr w14:paraId="004C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51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E7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89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85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08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65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B4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总价限价（元）</w:t>
            </w:r>
          </w:p>
        </w:tc>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C6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4BC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0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2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空调盘管机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双电机三风轮，单个电机功率≥40W</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9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B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28800</w:t>
            </w:r>
          </w:p>
        </w:tc>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适配现有中央空调安装</w:t>
            </w:r>
          </w:p>
        </w:tc>
      </w:tr>
      <w:tr w14:paraId="01D5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空调线控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A3E">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C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9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新增盘管机所需，含接线</w:t>
            </w:r>
          </w:p>
        </w:tc>
      </w:tr>
      <w:tr w14:paraId="279C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1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改造出风口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BE9">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2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7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4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5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807">
            <w:pPr>
              <w:jc w:val="center"/>
              <w:rPr>
                <w:rFonts w:hint="eastAsia" w:ascii="宋体" w:hAnsi="宋体" w:eastAsia="宋体" w:cs="宋体"/>
                <w:i w:val="0"/>
                <w:iCs w:val="0"/>
                <w:color w:val="000000"/>
                <w:sz w:val="21"/>
                <w:szCs w:val="21"/>
                <w:u w:val="none"/>
              </w:rPr>
            </w:pPr>
          </w:p>
        </w:tc>
      </w:tr>
      <w:tr w14:paraId="63FA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2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A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吊管螺丝</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DFD">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8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C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3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5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192">
            <w:pPr>
              <w:jc w:val="center"/>
              <w:rPr>
                <w:rFonts w:hint="eastAsia" w:ascii="宋体" w:hAnsi="宋体" w:eastAsia="宋体" w:cs="宋体"/>
                <w:i w:val="0"/>
                <w:iCs w:val="0"/>
                <w:color w:val="000000"/>
                <w:sz w:val="21"/>
                <w:szCs w:val="21"/>
                <w:u w:val="none"/>
              </w:rPr>
            </w:pPr>
          </w:p>
        </w:tc>
      </w:tr>
      <w:tr w14:paraId="139C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B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改造回风口和百叶</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FB4">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3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788">
            <w:pPr>
              <w:jc w:val="center"/>
              <w:rPr>
                <w:rFonts w:hint="eastAsia" w:ascii="宋体" w:hAnsi="宋体" w:eastAsia="宋体" w:cs="宋体"/>
                <w:i w:val="0"/>
                <w:iCs w:val="0"/>
                <w:color w:val="000000"/>
                <w:sz w:val="21"/>
                <w:szCs w:val="21"/>
                <w:u w:val="none"/>
              </w:rPr>
            </w:pPr>
          </w:p>
        </w:tc>
      </w:tr>
      <w:tr w14:paraId="73F1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7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安装配件、辅材</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21E">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4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C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含过滤器，球阀，软管，内牙接、二通阀等</w:t>
            </w:r>
          </w:p>
        </w:tc>
      </w:tr>
      <w:tr w14:paraId="0666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C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安装人工费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514">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6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2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3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装中会议室4台，信息科办公室2台，三甲办会议室1台，21楼护士站1台，治疗准备间1台，医生办公司1台，20楼护士站1台，医生办公室1台，13楼NICU3台</w:t>
            </w:r>
          </w:p>
        </w:tc>
      </w:tr>
      <w:tr w14:paraId="02E9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0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9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拆盘管机人工费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D240">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7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3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拆中会议室4台，信息科办公室2台，三甲办会议室1台，治疗准备间1台，医生办公司1台，医生办公室1台，13楼NICU3台</w:t>
            </w:r>
          </w:p>
        </w:tc>
      </w:tr>
      <w:tr w14:paraId="3714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8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6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新加水管</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2F2">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A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7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8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1295</w:t>
            </w:r>
          </w:p>
        </w:tc>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3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6分水管含包保温棉</w:t>
            </w:r>
          </w:p>
        </w:tc>
      </w:tr>
      <w:tr w14:paraId="1785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8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新加风管</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403">
            <w:pPr>
              <w:jc w:val="center"/>
              <w:rPr>
                <w:rFonts w:hint="eastAsia" w:ascii="宋体" w:hAnsi="宋体" w:eastAsia="宋体" w:cs="宋体"/>
                <w:i w:val="0"/>
                <w:iCs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0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1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4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3404</w:t>
            </w:r>
          </w:p>
        </w:tc>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4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复合板材料</w:t>
            </w:r>
          </w:p>
        </w:tc>
      </w:tr>
      <w:tr w14:paraId="668B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1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4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C8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57519</w:t>
            </w:r>
          </w:p>
        </w:tc>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2865">
            <w:pPr>
              <w:jc w:val="center"/>
              <w:rPr>
                <w:rFonts w:hint="eastAsia" w:ascii="宋体" w:hAnsi="宋体" w:eastAsia="宋体" w:cs="宋体"/>
                <w:i w:val="0"/>
                <w:iCs w:val="0"/>
                <w:color w:val="000000"/>
                <w:sz w:val="21"/>
                <w:szCs w:val="21"/>
                <w:u w:val="none"/>
              </w:rPr>
            </w:pPr>
          </w:p>
        </w:tc>
      </w:tr>
    </w:tbl>
    <w:p w14:paraId="73EA55EE">
      <w:pPr>
        <w:pStyle w:val="2"/>
        <w:ind w:left="-708" w:leftChars="-337"/>
        <w:rPr>
          <w:rFonts w:hint="default" w:eastAsia="宋体"/>
          <w:b/>
          <w:bCs/>
          <w:lang w:val="en-US" w:eastAsia="zh-CN"/>
        </w:rPr>
      </w:pPr>
      <w:r>
        <w:rPr>
          <w:rFonts w:hint="eastAsia"/>
          <w:b/>
          <w:bCs/>
          <w:lang w:val="en-US" w:eastAsia="zh-CN"/>
        </w:rPr>
        <w:t xml:space="preserve"> </w:t>
      </w:r>
    </w:p>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14:paraId="43EF9EC7">
      <w:pPr>
        <w:pStyle w:val="2"/>
        <w:ind w:left="-708" w:leftChars="-337"/>
        <w:rPr>
          <w:rFonts w:hint="default"/>
          <w:lang w:val="en-US" w:eastAsia="zh-CN"/>
        </w:rPr>
      </w:pPr>
      <w:r>
        <w:rPr>
          <w:rFonts w:hint="eastAsia"/>
          <w:lang w:val="en-US" w:eastAsia="zh-CN"/>
        </w:rPr>
        <w:t xml:space="preserve">     </w:t>
      </w:r>
      <w:r>
        <w:rPr>
          <w:rFonts w:hint="eastAsia"/>
          <w:b/>
          <w:bCs/>
          <w:color w:val="0000FF"/>
          <w:sz w:val="21"/>
          <w:szCs w:val="21"/>
          <w:lang w:val="en-US" w:eastAsia="zh-CN"/>
        </w:rPr>
        <w:t>按国家或行业的质量检验评定标准为依据做好工程质量，竣工验收以工程量清单、国家颁发的施工验收规范和质量检验标准为依据。</w:t>
      </w:r>
    </w:p>
    <w:p w14:paraId="139B2D88">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2"/>
        <w:ind w:left="-708" w:leftChars="-337"/>
        <w:rPr>
          <w:rFonts w:hint="eastAsia"/>
          <w:color w:val="auto"/>
        </w:rPr>
      </w:pPr>
      <w:r>
        <w:rPr>
          <w:rFonts w:hint="eastAsia"/>
          <w:color w:val="auto"/>
        </w:rPr>
        <w:t>2、投标人所投产品参数应同等或优于以上各项参数要求，产品、辅材及生产工艺符合国家相关规范。</w:t>
      </w:r>
    </w:p>
    <w:p w14:paraId="4D8610B4">
      <w:pPr>
        <w:pStyle w:val="2"/>
        <w:ind w:left="-708" w:leftChars="-337"/>
        <w:rPr>
          <w:rFonts w:hint="eastAsia"/>
          <w:color w:val="auto"/>
        </w:rPr>
      </w:pPr>
      <w:r>
        <w:rPr>
          <w:rFonts w:hint="eastAsia"/>
          <w:color w:val="auto"/>
          <w:lang w:val="en-US" w:eastAsia="zh-CN"/>
        </w:rPr>
        <w:t>3</w:t>
      </w:r>
      <w:r>
        <w:rPr>
          <w:rFonts w:hint="eastAsia"/>
          <w:color w:val="auto"/>
        </w:rPr>
        <w:t>、以工程量清单、国家颁发的施工验收规范和质量检验标准为验收依据，工程结算以实际工程量进行结算，并以甲方审计部门意见为基准，双方协商达成一致作为结算依据。双方协商不成的，可诉讼至当地法院。</w:t>
      </w:r>
    </w:p>
    <w:p w14:paraId="0F0B179C">
      <w:pPr>
        <w:pStyle w:val="2"/>
        <w:ind w:left="-708" w:leftChars="-337"/>
        <w:rPr>
          <w:rFonts w:hint="eastAsia"/>
          <w:color w:val="auto"/>
        </w:rPr>
      </w:pPr>
      <w:r>
        <w:rPr>
          <w:rFonts w:hint="eastAsia"/>
          <w:color w:val="auto"/>
          <w:lang w:val="en-US" w:eastAsia="zh-CN"/>
        </w:rPr>
        <w:t>4</w:t>
      </w:r>
      <w:r>
        <w:rPr>
          <w:rFonts w:hint="eastAsia"/>
          <w:color w:val="auto"/>
        </w:rPr>
        <w:t>、施工工期：15日历天，违约责任：乙方未按合同规定的时间竣工，每逾期一天，按合同总价的1%/天计算违约金，不可抗力事件发生或甲方原因影响除外。如无不可抗力事件发生或甲方原因影响的发生，乙方无故拖延工程期限，甲方可随时终止合同，支付已完成工程量的80%工程款给乙方。</w:t>
      </w:r>
    </w:p>
    <w:p w14:paraId="62ED69AC">
      <w:pPr>
        <w:pStyle w:val="2"/>
        <w:ind w:left="-708" w:leftChars="-337"/>
        <w:rPr>
          <w:color w:val="auto"/>
        </w:rPr>
      </w:pPr>
      <w:r>
        <w:rPr>
          <w:rFonts w:hint="eastAsia"/>
          <w:color w:val="auto"/>
          <w:lang w:val="en-US" w:eastAsia="zh-CN"/>
        </w:rPr>
        <w:t>5</w:t>
      </w:r>
      <w:r>
        <w:rPr>
          <w:rFonts w:hint="eastAsia"/>
          <w:color w:val="auto"/>
        </w:rPr>
        <w:t>、投标人应保证所提供的货物或其任何一部分均不会侵犯任何第三方的专利权、商标权等，如在使用过程中出现的一切经济和法律责任均由投标人负责。</w:t>
      </w:r>
    </w:p>
    <w:p w14:paraId="6C89FF25">
      <w:pPr>
        <w:pStyle w:val="2"/>
        <w:ind w:left="-708" w:leftChars="-337"/>
        <w:rPr>
          <w:color w:val="auto"/>
        </w:rPr>
      </w:pPr>
      <w:r>
        <w:rPr>
          <w:rFonts w:hint="eastAsia"/>
          <w:color w:val="auto"/>
          <w:lang w:val="en-US" w:eastAsia="zh-CN"/>
        </w:rPr>
        <w:t>6</w:t>
      </w:r>
      <w:r>
        <w:rPr>
          <w:rFonts w:hint="eastAsia"/>
          <w:color w:val="auto"/>
        </w:rPr>
        <w:t>、投标总价必须包含货物及货物运抵指定交货地点的各种费用和安装调校、售后服务、税金、验收检验及其它所有费用的总和，如另有要求请在投标文件中注明。</w:t>
      </w:r>
    </w:p>
    <w:p w14:paraId="08DCA6C9">
      <w:pPr>
        <w:pStyle w:val="2"/>
        <w:ind w:left="-708" w:leftChars="-337"/>
        <w:rPr>
          <w:rFonts w:hint="eastAsia"/>
          <w:color w:val="auto"/>
        </w:rPr>
      </w:pPr>
      <w:r>
        <w:rPr>
          <w:rFonts w:hint="eastAsia"/>
          <w:color w:val="auto"/>
          <w:lang w:val="en-US" w:eastAsia="zh-CN"/>
        </w:rPr>
        <w:t>7、投标人所投产品必须</w:t>
      </w:r>
      <w:r>
        <w:rPr>
          <w:rFonts w:hint="eastAsia"/>
          <w:color w:val="auto"/>
        </w:rPr>
        <w:t>提供产品“三包”服务；定期安排相关人员回访进行质量跟踪；保证提供临床应用和售后技术服务支持方式；其他售后服务按厂家承诺实行。</w:t>
      </w:r>
    </w:p>
    <w:p w14:paraId="60491C93">
      <w:pPr>
        <w:pStyle w:val="2"/>
        <w:ind w:left="-708" w:leftChars="-337"/>
        <w:rPr>
          <w:rFonts w:hint="eastAsia" w:cs="宋体"/>
          <w:b/>
          <w:bCs/>
        </w:rPr>
      </w:pPr>
      <w:r>
        <w:rPr>
          <w:rFonts w:hint="eastAsia" w:cs="宋体"/>
          <w:b/>
          <w:bCs/>
        </w:rPr>
        <w:t>（四）商务要求</w:t>
      </w:r>
    </w:p>
    <w:p w14:paraId="6B26C896">
      <w:pPr>
        <w:pStyle w:val="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2"/>
        <w:ind w:left="-708" w:leftChars="-337"/>
        <w:rPr>
          <w:rFonts w:hint="eastAsia" w:eastAsia="宋体" w:cs="宋体"/>
          <w:color w:val="FF0000"/>
          <w:lang w:val="en-US" w:eastAsia="zh-CN"/>
        </w:rPr>
      </w:pPr>
      <w:r>
        <w:rPr>
          <w:rFonts w:hint="eastAsia" w:cs="宋体"/>
          <w:color w:val="FF0000"/>
        </w:rPr>
        <w:t>1</w:t>
      </w:r>
      <w:r>
        <w:rPr>
          <w:rFonts w:hint="eastAsia" w:cs="宋体"/>
          <w:color w:val="FF0000"/>
          <w:lang w:eastAsia="zh-CN"/>
        </w:rPr>
        <w:t>）</w:t>
      </w:r>
      <w:r>
        <w:rPr>
          <w:rFonts w:hint="eastAsia" w:ascii="宋体" w:hAnsi="宋体" w:cs="宋体"/>
          <w:bCs/>
          <w:color w:val="FF0000"/>
          <w:szCs w:val="21"/>
          <w:lang w:bidi="ar"/>
        </w:rPr>
        <w:t>竞争性谈判供应商应为满足《中华人民共和国政府采购法（中华人民共和国主席令第八十六号）》第二十二条规定各项标准的法人、其他组织或者自然人</w:t>
      </w:r>
      <w:r>
        <w:rPr>
          <w:rFonts w:hint="eastAsia" w:ascii="宋体" w:hAnsi="宋体" w:cs="宋体"/>
          <w:bCs/>
          <w:color w:val="FF0000"/>
          <w:szCs w:val="21"/>
          <w:lang w:eastAsia="zh-CN" w:bidi="ar"/>
        </w:rPr>
        <w:t>。</w:t>
      </w:r>
    </w:p>
    <w:p w14:paraId="5E38F82D">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55AF7A05">
      <w:pPr>
        <w:pStyle w:val="2"/>
        <w:ind w:left="-708" w:leftChars="-337"/>
        <w:rPr>
          <w:rFonts w:hint="default" w:eastAsia="宋体"/>
          <w:b/>
          <w:color w:val="FF0000"/>
          <w:spacing w:val="-8"/>
          <w:szCs w:val="21"/>
          <w:highlight w:val="yellow"/>
          <w:u w:val="single"/>
          <w:lang w:val="en-US" w:eastAsia="zh-CN"/>
        </w:rPr>
      </w:pPr>
      <w:r>
        <w:rPr>
          <w:rFonts w:hint="eastAsia" w:cs="宋体"/>
          <w:lang w:val="en-US" w:eastAsia="zh-CN"/>
        </w:rPr>
        <w:t>4）</w:t>
      </w:r>
      <w:r>
        <w:rPr>
          <w:rFonts w:hint="eastAsia" w:cs="宋体"/>
          <w:color w:val="auto"/>
        </w:rPr>
        <w:t>本项目不接收联合体投标。</w:t>
      </w:r>
    </w:p>
    <w:p w14:paraId="636F4B1C">
      <w:pPr>
        <w:pStyle w:val="2"/>
        <w:ind w:left="-708" w:leftChars="-337"/>
        <w:rPr>
          <w:rFonts w:hint="default" w:cs="宋体"/>
          <w:b/>
          <w:bCs/>
          <w:lang w:val="en-US" w:eastAsia="zh-CN"/>
        </w:rPr>
      </w:pPr>
      <w:r>
        <w:rPr>
          <w:rFonts w:hint="eastAsia" w:cs="宋体"/>
          <w:b/>
          <w:bCs/>
          <w:lang w:val="en-US" w:eastAsia="zh-CN"/>
        </w:rPr>
        <w:t>2.投标产品资格要求</w:t>
      </w:r>
    </w:p>
    <w:p w14:paraId="26B5E0B8">
      <w:pPr>
        <w:pStyle w:val="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26F6C95F">
      <w:pPr>
        <w:pStyle w:val="2"/>
        <w:ind w:left="-708" w:leftChars="-337"/>
        <w:rPr>
          <w:rFonts w:hint="eastAsia"/>
        </w:rPr>
      </w:pPr>
      <w:r>
        <w:rPr>
          <w:rFonts w:hint="eastAsia"/>
          <w:b/>
          <w:bCs/>
        </w:rPr>
        <w:t>3</w:t>
      </w:r>
      <w:r>
        <w:rPr>
          <w:rFonts w:hint="eastAsia"/>
          <w:b/>
          <w:bCs/>
          <w:lang w:val="en-US" w:eastAsia="zh-CN"/>
        </w:rPr>
        <w:t>.</w:t>
      </w:r>
      <w:r>
        <w:rPr>
          <w:rFonts w:hint="eastAsia"/>
          <w:b/>
          <w:bCs/>
        </w:rPr>
        <w:t>售后服务和</w:t>
      </w:r>
      <w:r>
        <w:rPr>
          <w:rFonts w:hint="eastAsia"/>
          <w:b/>
          <w:bCs/>
          <w:lang w:val="en-US" w:eastAsia="zh-CN"/>
        </w:rPr>
        <w:t>资质</w:t>
      </w:r>
    </w:p>
    <w:p w14:paraId="6A4B446E">
      <w:pPr>
        <w:pStyle w:val="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2"/>
        <w:ind w:left="-708" w:leftChars="-337"/>
        <w:rPr>
          <w:rFonts w:hint="eastAsia"/>
        </w:rPr>
      </w:pPr>
      <w:r>
        <w:rPr>
          <w:rFonts w:hint="eastAsia"/>
          <w:lang w:val="en-US" w:eastAsia="zh-CN"/>
        </w:rPr>
        <w:t>2）</w:t>
      </w:r>
      <w:r>
        <w:rPr>
          <w:rFonts w:hint="eastAsia"/>
        </w:rPr>
        <w:t>维修备件必须是原厂备件。</w:t>
      </w:r>
    </w:p>
    <w:p w14:paraId="3309615C">
      <w:pPr>
        <w:pStyle w:val="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none"/>
          <w:u w:val="single"/>
          <w:lang w:val="en-US" w:eastAsia="zh-CN"/>
        </w:rPr>
        <w:t xml:space="preserve">  1  </w:t>
      </w:r>
      <w:r>
        <w:rPr>
          <w:rFonts w:hint="eastAsia"/>
        </w:rPr>
        <w:t>年。</w:t>
      </w:r>
    </w:p>
    <w:p w14:paraId="36E10A0B">
      <w:pPr>
        <w:pStyle w:val="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15</w:t>
      </w:r>
      <w:r>
        <w:rPr>
          <w:rFonts w:hint="eastAsia" w:cs="宋体"/>
          <w:kern w:val="0"/>
          <w:sz w:val="24"/>
          <w:szCs w:val="24"/>
        </w:rPr>
        <w:t>天内</w:t>
      </w:r>
      <w:r>
        <w:rPr>
          <w:rFonts w:hint="eastAsia" w:cs="宋体"/>
          <w:kern w:val="0"/>
          <w:sz w:val="24"/>
          <w:szCs w:val="24"/>
          <w:lang w:val="en-US" w:eastAsia="zh-CN"/>
        </w:rPr>
        <w:t>工程完工并交付招标人使用</w:t>
      </w:r>
      <w:r>
        <w:rPr>
          <w:rFonts w:hint="eastAsia" w:cs="宋体"/>
          <w:kern w:val="0"/>
          <w:sz w:val="24"/>
          <w:szCs w:val="24"/>
        </w:rPr>
        <w:t>。投标人予以特别注意：如出现未能到期供货的情况，采购人有权单方终止合同的执行，所有的经济损失由逾期供货商单方承担。</w:t>
      </w:r>
    </w:p>
    <w:p w14:paraId="6278501E">
      <w:pPr>
        <w:pStyle w:val="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none"/>
        </w:rPr>
        <w:t>广西壮族自治区桂东人民医院</w:t>
      </w:r>
      <w:r>
        <w:rPr>
          <w:kern w:val="0"/>
          <w:sz w:val="24"/>
          <w:szCs w:val="24"/>
        </w:rPr>
        <w:t xml:space="preserve">  </w:t>
      </w:r>
    </w:p>
    <w:p w14:paraId="65E4493E">
      <w:pPr>
        <w:pStyle w:val="2"/>
        <w:ind w:left="-708" w:leftChars="-337"/>
        <w:rPr>
          <w:rFonts w:hint="eastAsia"/>
          <w:b w:val="0"/>
          <w:bCs w:val="0"/>
          <w:kern w:val="0"/>
          <w:sz w:val="24"/>
          <w:szCs w:val="24"/>
          <w:lang w:val="en-US" w:eastAsia="zh-CN"/>
        </w:rPr>
      </w:pPr>
      <w:r>
        <w:rPr>
          <w:rFonts w:hint="eastAsia"/>
          <w:kern w:val="0"/>
          <w:sz w:val="24"/>
          <w:szCs w:val="24"/>
          <w:lang w:val="en-US" w:eastAsia="zh-CN"/>
        </w:rPr>
        <w:t>7）</w:t>
      </w:r>
      <w:bookmarkStart w:id="0" w:name="_GoBack"/>
      <w:bookmarkEnd w:id="0"/>
      <w:r>
        <w:rPr>
          <w:rFonts w:hint="eastAsia"/>
          <w:b w:val="0"/>
          <w:bCs w:val="0"/>
          <w:kern w:val="0"/>
          <w:sz w:val="24"/>
          <w:szCs w:val="24"/>
          <w:lang w:val="en-US" w:eastAsia="zh-CN"/>
        </w:rPr>
        <w:t>付款条件（进度和方式）：</w:t>
      </w:r>
    </w:p>
    <w:p w14:paraId="432FB11F">
      <w:pPr>
        <w:widowControl/>
        <w:numPr>
          <w:ilvl w:val="0"/>
          <w:numId w:val="0"/>
        </w:numPr>
        <w:spacing w:line="400" w:lineRule="exact"/>
        <w:ind w:leftChars="-138"/>
        <w:jc w:val="left"/>
        <w:rPr>
          <w:rFonts w:hint="eastAsia" w:cs="宋体"/>
          <w:kern w:val="0"/>
          <w:sz w:val="24"/>
          <w:szCs w:val="24"/>
          <w:lang w:eastAsia="zh-CN"/>
        </w:rPr>
      </w:pPr>
      <w:r>
        <w:rPr>
          <w:rFonts w:hint="eastAsia" w:cs="宋体"/>
          <w:kern w:val="0"/>
          <w:sz w:val="24"/>
          <w:szCs w:val="24"/>
          <w:lang w:val="en-US" w:eastAsia="zh-CN"/>
        </w:rPr>
        <w:t>验收合格且招标人在收到投标人开具发票后10日内付95%，余5%在质保期满后由招标人申请且无第三方维修费用产生后付清</w:t>
      </w:r>
      <w:r>
        <w:rPr>
          <w:rFonts w:hint="eastAsia" w:cs="宋体"/>
          <w:kern w:val="0"/>
          <w:sz w:val="24"/>
          <w:szCs w:val="24"/>
        </w:rPr>
        <w:t>。</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5B7002E8">
      <w:pPr>
        <w:widowControl/>
        <w:jc w:val="both"/>
        <w:rPr>
          <w:rFonts w:hint="eastAsia" w:cs="宋体"/>
          <w:b/>
          <w:bCs/>
          <w:kern w:val="0"/>
          <w:sz w:val="38"/>
          <w:szCs w:val="38"/>
        </w:rPr>
      </w:pPr>
    </w:p>
    <w:p w14:paraId="4829AC7E">
      <w:pPr>
        <w:widowControl/>
        <w:jc w:val="both"/>
        <w:rPr>
          <w:rFonts w:hint="eastAsia" w:cs="宋体"/>
          <w:b/>
          <w:bCs/>
          <w:kern w:val="0"/>
          <w:sz w:val="38"/>
          <w:szCs w:val="38"/>
        </w:rPr>
      </w:pPr>
    </w:p>
    <w:p w14:paraId="07747203">
      <w:pPr>
        <w:widowControl/>
        <w:jc w:val="both"/>
        <w:rPr>
          <w:rFonts w:hint="eastAsia" w:cs="宋体"/>
          <w:b/>
          <w:bCs/>
          <w:kern w:val="0"/>
          <w:sz w:val="38"/>
          <w:szCs w:val="38"/>
        </w:rPr>
      </w:pPr>
    </w:p>
    <w:p w14:paraId="6C272030">
      <w:pPr>
        <w:widowControl/>
        <w:ind w:firstLine="1907" w:firstLineChars="500"/>
        <w:jc w:val="both"/>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14:paraId="13B45921">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170385"/>
    <w:rsid w:val="01A43ED9"/>
    <w:rsid w:val="01CB43E2"/>
    <w:rsid w:val="02615DF0"/>
    <w:rsid w:val="03B56736"/>
    <w:rsid w:val="05E424F2"/>
    <w:rsid w:val="07E61381"/>
    <w:rsid w:val="08A47272"/>
    <w:rsid w:val="094E71DE"/>
    <w:rsid w:val="0A795D65"/>
    <w:rsid w:val="0B69785C"/>
    <w:rsid w:val="0CC05EEA"/>
    <w:rsid w:val="0DAB0B9B"/>
    <w:rsid w:val="0E6B1369"/>
    <w:rsid w:val="0E8C22E1"/>
    <w:rsid w:val="0ECE5049"/>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1FD813BF"/>
    <w:rsid w:val="21B710F4"/>
    <w:rsid w:val="2218153E"/>
    <w:rsid w:val="22486A69"/>
    <w:rsid w:val="229415CF"/>
    <w:rsid w:val="23720241"/>
    <w:rsid w:val="23CD191B"/>
    <w:rsid w:val="25773183"/>
    <w:rsid w:val="26431704"/>
    <w:rsid w:val="26CD4569"/>
    <w:rsid w:val="27D01D3D"/>
    <w:rsid w:val="27D34CA5"/>
    <w:rsid w:val="28110468"/>
    <w:rsid w:val="293A4A87"/>
    <w:rsid w:val="2B141355"/>
    <w:rsid w:val="2C82654C"/>
    <w:rsid w:val="2CD07D87"/>
    <w:rsid w:val="2E44559E"/>
    <w:rsid w:val="311834AF"/>
    <w:rsid w:val="318469E5"/>
    <w:rsid w:val="3194337D"/>
    <w:rsid w:val="31C61758"/>
    <w:rsid w:val="341D3232"/>
    <w:rsid w:val="349849ED"/>
    <w:rsid w:val="35D22DC1"/>
    <w:rsid w:val="364A2958"/>
    <w:rsid w:val="3737378F"/>
    <w:rsid w:val="3806606D"/>
    <w:rsid w:val="397701BE"/>
    <w:rsid w:val="3B546CEC"/>
    <w:rsid w:val="3EA21DFC"/>
    <w:rsid w:val="3F8769CB"/>
    <w:rsid w:val="41366ED0"/>
    <w:rsid w:val="453B5FB7"/>
    <w:rsid w:val="484D14FE"/>
    <w:rsid w:val="48D85C25"/>
    <w:rsid w:val="49A95790"/>
    <w:rsid w:val="4A236DE1"/>
    <w:rsid w:val="4A6022F2"/>
    <w:rsid w:val="4B2E23F0"/>
    <w:rsid w:val="4C1C5576"/>
    <w:rsid w:val="4C3E6663"/>
    <w:rsid w:val="4CD9638C"/>
    <w:rsid w:val="4D442BFB"/>
    <w:rsid w:val="4D781BD4"/>
    <w:rsid w:val="4DA009DA"/>
    <w:rsid w:val="4DA97E72"/>
    <w:rsid w:val="4DB9683E"/>
    <w:rsid w:val="4F3D41BA"/>
    <w:rsid w:val="50502E0F"/>
    <w:rsid w:val="51794369"/>
    <w:rsid w:val="51B2246F"/>
    <w:rsid w:val="539906F6"/>
    <w:rsid w:val="55D712FC"/>
    <w:rsid w:val="57783371"/>
    <w:rsid w:val="589150FF"/>
    <w:rsid w:val="591470C9"/>
    <w:rsid w:val="5C797243"/>
    <w:rsid w:val="5D1A4465"/>
    <w:rsid w:val="5DCD43FF"/>
    <w:rsid w:val="5E761C8C"/>
    <w:rsid w:val="5ECE3876"/>
    <w:rsid w:val="5FFD63C3"/>
    <w:rsid w:val="62DE3608"/>
    <w:rsid w:val="635822A8"/>
    <w:rsid w:val="64CA4726"/>
    <w:rsid w:val="65706B30"/>
    <w:rsid w:val="67EF0C5A"/>
    <w:rsid w:val="686B3132"/>
    <w:rsid w:val="6A513DD5"/>
    <w:rsid w:val="6BF540D9"/>
    <w:rsid w:val="6CA20189"/>
    <w:rsid w:val="6DD0797D"/>
    <w:rsid w:val="6E1A0EFE"/>
    <w:rsid w:val="6E9F789B"/>
    <w:rsid w:val="71754026"/>
    <w:rsid w:val="72C07522"/>
    <w:rsid w:val="73A11102"/>
    <w:rsid w:val="74B5471E"/>
    <w:rsid w:val="77E41C8F"/>
    <w:rsid w:val="77FF632E"/>
    <w:rsid w:val="7B036868"/>
    <w:rsid w:val="7B14665D"/>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next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2008</Words>
  <Characters>2131</Characters>
  <Lines>26</Lines>
  <Paragraphs>7</Paragraphs>
  <TotalTime>6</TotalTime>
  <ScaleCrop>false</ScaleCrop>
  <LinksUpToDate>false</LinksUpToDate>
  <CharactersWithSpaces>2155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2025-06-16T09:50:38Z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