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55AF6">
      <w:pPr>
        <w:widowControl/>
        <w:jc w:val="center"/>
        <w:rPr>
          <w:kern w:val="0"/>
          <w:sz w:val="28"/>
          <w:szCs w:val="28"/>
        </w:rPr>
      </w:pPr>
      <w:r>
        <w:rPr>
          <w:rFonts w:hint="eastAsia" w:cs="宋体"/>
          <w:b/>
          <w:bCs/>
          <w:kern w:val="0"/>
          <w:sz w:val="38"/>
          <w:szCs w:val="38"/>
        </w:rPr>
        <w:t>项目需求和质量标准</w:t>
      </w:r>
    </w:p>
    <w:p w14:paraId="27685341">
      <w:pPr>
        <w:pStyle w:val="13"/>
        <w:ind w:left="0" w:leftChars="0" w:firstLine="0" w:firstLineChars="0"/>
        <w:rPr>
          <w:rFonts w:hint="eastAsia" w:cs="宋体"/>
          <w:b w:val="0"/>
          <w:bCs/>
          <w:color w:val="auto"/>
          <w:sz w:val="28"/>
          <w:szCs w:val="28"/>
        </w:rPr>
      </w:pPr>
      <w:r>
        <w:rPr>
          <w:rFonts w:hint="eastAsia" w:ascii="宋体" w:hAnsi="宋体"/>
          <w:b w:val="0"/>
          <w:bCs/>
          <w:color w:val="auto"/>
        </w:rPr>
        <w:t>技术</w:t>
      </w:r>
      <w:r>
        <w:rPr>
          <w:rFonts w:hint="eastAsia" w:ascii="宋体" w:hAnsi="宋体"/>
          <w:b w:val="0"/>
          <w:bCs/>
          <w:color w:val="auto"/>
          <w:lang w:eastAsia="zh-CN"/>
        </w:rPr>
        <w:t>参数</w:t>
      </w:r>
      <w:r>
        <w:rPr>
          <w:rFonts w:hint="eastAsia" w:ascii="宋体" w:hAnsi="宋体"/>
          <w:b w:val="0"/>
          <w:bCs/>
          <w:color w:val="auto"/>
        </w:rPr>
        <w:t>要求</w:t>
      </w:r>
      <w:r>
        <w:rPr>
          <w:rFonts w:hint="eastAsia" w:ascii="宋体" w:hAnsi="宋体"/>
          <w:b w:val="0"/>
          <w:bCs/>
          <w:color w:val="auto"/>
          <w:lang w:eastAsia="zh-CN"/>
        </w:rPr>
        <w:t>所有条款</w:t>
      </w:r>
      <w:r>
        <w:rPr>
          <w:rFonts w:hint="eastAsia" w:ascii="宋体" w:hAnsi="宋体"/>
          <w:b w:val="0"/>
          <w:bCs/>
          <w:color w:val="auto"/>
        </w:rPr>
        <w:t>均为实质性条款，必须满足或者优于，否则其《响应文件》（竞标）作否决处理。</w:t>
      </w:r>
    </w:p>
    <w:p w14:paraId="11BBA451">
      <w:pPr>
        <w:pStyle w:val="13"/>
        <w:ind w:left="0" w:leftChars="0"/>
        <w:rPr>
          <w:rFonts w:cs="宋体"/>
          <w:b/>
          <w:bCs/>
          <w:sz w:val="28"/>
          <w:szCs w:val="28"/>
        </w:rPr>
      </w:pPr>
      <w:r>
        <w:rPr>
          <w:rFonts w:hint="eastAsia" w:cs="宋体"/>
          <w:b/>
          <w:bCs/>
          <w:sz w:val="28"/>
          <w:szCs w:val="28"/>
        </w:rPr>
        <w:t>一、采购清单、技术规格参数、质量标准和要求</w:t>
      </w:r>
    </w:p>
    <w:p w14:paraId="515CA7BA">
      <w:pPr>
        <w:pStyle w:val="13"/>
        <w:ind w:left="0" w:leftChars="0"/>
        <w:rPr>
          <w:b/>
          <w:bCs/>
        </w:rPr>
      </w:pPr>
      <w:r>
        <w:rPr>
          <w:rFonts w:hint="eastAsia" w:cs="宋体"/>
          <w:b/>
          <w:bCs/>
        </w:rPr>
        <w:t>（一）采购清单</w:t>
      </w:r>
      <w:r>
        <w:rPr>
          <w:b/>
          <w:bCs/>
        </w:rPr>
        <w:t> </w:t>
      </w:r>
    </w:p>
    <w:p w14:paraId="5AD80A9A">
      <w:pPr>
        <w:pStyle w:val="13"/>
        <w:ind w:left="0" w:leftChars="0"/>
        <w:rPr>
          <w:rFonts w:hint="eastAsia"/>
          <w:b w:val="0"/>
          <w:bCs w:val="0"/>
          <w:lang w:val="en-US" w:eastAsia="zh-CN"/>
        </w:rPr>
      </w:pPr>
      <w:r>
        <w:rPr>
          <w:rFonts w:hint="eastAsia"/>
          <w:b w:val="0"/>
          <w:bCs w:val="0"/>
          <w:lang w:val="en-US" w:eastAsia="zh-CN"/>
        </w:rPr>
        <w:t xml:space="preserve">  </w:t>
      </w:r>
      <w:bookmarkStart w:id="0" w:name="_GoBack"/>
      <w:bookmarkEnd w:id="0"/>
      <w:r>
        <w:rPr>
          <w:rFonts w:hint="eastAsia"/>
          <w:b w:val="0"/>
          <w:bCs w:val="0"/>
          <w:lang w:val="en-US" w:eastAsia="zh-CN"/>
        </w:rPr>
        <w:t>1.冷链监控系统（含软硬件）</w:t>
      </w:r>
    </w:p>
    <w:p w14:paraId="61F12926">
      <w:pPr>
        <w:pStyle w:val="13"/>
        <w:ind w:left="0" w:leftChars="0" w:firstLine="240" w:firstLineChars="100"/>
        <w:rPr>
          <w:rFonts w:hint="eastAsia"/>
          <w:b w:val="0"/>
          <w:bCs w:val="0"/>
          <w:lang w:val="en-US" w:eastAsia="zh-CN"/>
        </w:rPr>
      </w:pPr>
      <w:r>
        <w:rPr>
          <w:rFonts w:hint="eastAsia"/>
          <w:b w:val="0"/>
          <w:bCs w:val="0"/>
          <w:lang w:val="en-US" w:eastAsia="zh-CN"/>
        </w:rPr>
        <w:t>2.48套医用冰箱温度探测器（需嵌入式对接设备管理系统）</w:t>
      </w:r>
    </w:p>
    <w:p w14:paraId="01F19596">
      <w:pPr>
        <w:widowControl/>
        <w:numPr>
          <w:ilvl w:val="0"/>
          <w:numId w:val="0"/>
        </w:numPr>
        <w:spacing w:line="240" w:lineRule="auto"/>
        <w:jc w:val="left"/>
        <w:rPr>
          <w:rFonts w:hint="default" w:ascii="Times New Roman" w:hAnsi="Times New Roman" w:eastAsia="宋体" w:cs="宋体"/>
          <w:b/>
          <w:bCs/>
          <w:color w:val="000000"/>
          <w:kern w:val="0"/>
          <w:sz w:val="24"/>
          <w:szCs w:val="24"/>
          <w:lang w:val="en-US" w:eastAsia="zh-CN" w:bidi="ar-SA"/>
        </w:rPr>
      </w:pPr>
      <w:r>
        <w:rPr>
          <w:rFonts w:hint="eastAsia" w:cs="宋体"/>
          <w:b/>
          <w:bCs/>
          <w:color w:val="000000"/>
          <w:kern w:val="0"/>
          <w:sz w:val="24"/>
          <w:szCs w:val="24"/>
          <w:lang w:val="en-US" w:eastAsia="zh-CN" w:bidi="ar-SA"/>
        </w:rPr>
        <w:t>（二）</w:t>
      </w:r>
      <w:r>
        <w:rPr>
          <w:rFonts w:hint="eastAsia" w:ascii="Times New Roman" w:hAnsi="Times New Roman" w:eastAsia="宋体" w:cs="宋体"/>
          <w:b/>
          <w:bCs/>
          <w:color w:val="000000"/>
          <w:kern w:val="0"/>
          <w:sz w:val="24"/>
          <w:szCs w:val="24"/>
          <w:lang w:val="en-US" w:eastAsia="zh-CN" w:bidi="ar-SA"/>
        </w:rPr>
        <w:t>技术规格参数</w:t>
      </w:r>
    </w:p>
    <w:p w14:paraId="01850129">
      <w:pPr>
        <w:numPr>
          <w:ilvl w:val="0"/>
          <w:numId w:val="0"/>
        </w:numPr>
        <w:spacing w:line="360" w:lineRule="auto"/>
        <w:rPr>
          <w:rFonts w:hint="eastAsia"/>
          <w:lang w:val="en-US" w:eastAsia="zh-CN"/>
        </w:rPr>
      </w:pPr>
      <w:r>
        <w:rPr>
          <w:rFonts w:hint="eastAsia"/>
          <w:lang w:val="en-US" w:eastAsia="zh-CN"/>
        </w:rPr>
        <w:t>1、核心功能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039"/>
        <w:gridCol w:w="7607"/>
      </w:tblGrid>
      <w:tr w14:paraId="7D7A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Header/>
        </w:trPr>
        <w:tc>
          <w:tcPr>
            <w:tcW w:w="0" w:type="auto"/>
            <w:shd w:val="clear" w:color="auto" w:fill="FFFFFF"/>
            <w:tcMar>
              <w:top w:w="150" w:type="dxa"/>
              <w:left w:w="0" w:type="dxa"/>
              <w:bottom w:w="150" w:type="dxa"/>
              <w:right w:w="150" w:type="dxa"/>
            </w:tcMar>
            <w:vAlign w:val="center"/>
          </w:tcPr>
          <w:p w14:paraId="057B599F">
            <w:pPr>
              <w:keepNext w:val="0"/>
              <w:keepLines w:val="0"/>
              <w:widowControl/>
              <w:suppressLineNumbers w:val="0"/>
              <w:spacing w:line="26" w:lineRule="atLeast"/>
              <w:jc w:val="left"/>
              <w:rPr>
                <w:rFonts w:ascii="Segoe UI" w:hAnsi="Segoe UI" w:eastAsia="Segoe UI" w:cs="Segoe UI"/>
                <w:b/>
                <w:bCs/>
                <w:i w:val="0"/>
                <w:iCs w:val="0"/>
                <w:caps w:val="0"/>
                <w:color w:val="404040"/>
                <w:spacing w:val="0"/>
                <w:sz w:val="22"/>
                <w:szCs w:val="22"/>
              </w:rPr>
            </w:pPr>
            <w:r>
              <w:rPr>
                <w:rFonts w:hint="default" w:ascii="Segoe UI" w:hAnsi="Segoe UI" w:eastAsia="Segoe UI" w:cs="Segoe UI"/>
                <w:b/>
                <w:bCs/>
                <w:i w:val="0"/>
                <w:iCs w:val="0"/>
                <w:caps w:val="0"/>
                <w:color w:val="404040"/>
                <w:spacing w:val="0"/>
                <w:kern w:val="0"/>
                <w:sz w:val="22"/>
                <w:szCs w:val="22"/>
                <w:lang w:val="en-US" w:eastAsia="zh-CN" w:bidi="ar"/>
              </w:rPr>
              <w:t>功能模块</w:t>
            </w:r>
          </w:p>
        </w:tc>
        <w:tc>
          <w:tcPr>
            <w:tcW w:w="7607" w:type="dxa"/>
            <w:shd w:val="clear" w:color="auto" w:fill="FFFFFF"/>
            <w:tcMar>
              <w:top w:w="150" w:type="dxa"/>
              <w:left w:w="150" w:type="dxa"/>
              <w:bottom w:w="150" w:type="dxa"/>
              <w:right w:w="150" w:type="dxa"/>
            </w:tcMar>
            <w:vAlign w:val="center"/>
          </w:tcPr>
          <w:p w14:paraId="572F7BED">
            <w:pPr>
              <w:keepNext w:val="0"/>
              <w:keepLines w:val="0"/>
              <w:widowControl/>
              <w:suppressLineNumbers w:val="0"/>
              <w:spacing w:line="26" w:lineRule="atLeast"/>
              <w:jc w:val="left"/>
              <w:rPr>
                <w:rFonts w:hint="default" w:ascii="Segoe UI" w:hAnsi="Segoe UI" w:eastAsia="Segoe UI" w:cs="Segoe UI"/>
                <w:b/>
                <w:bCs/>
                <w:i w:val="0"/>
                <w:iCs w:val="0"/>
                <w:caps w:val="0"/>
                <w:color w:val="404040"/>
                <w:spacing w:val="0"/>
                <w:sz w:val="22"/>
                <w:szCs w:val="22"/>
              </w:rPr>
            </w:pPr>
            <w:r>
              <w:rPr>
                <w:rFonts w:hint="default" w:ascii="Segoe UI" w:hAnsi="Segoe UI" w:eastAsia="Segoe UI" w:cs="Segoe UI"/>
                <w:b/>
                <w:bCs/>
                <w:i w:val="0"/>
                <w:iCs w:val="0"/>
                <w:caps w:val="0"/>
                <w:color w:val="404040"/>
                <w:spacing w:val="0"/>
                <w:kern w:val="0"/>
                <w:sz w:val="22"/>
                <w:szCs w:val="22"/>
                <w:lang w:val="en-US" w:eastAsia="zh-CN" w:bidi="ar"/>
              </w:rPr>
              <w:t>详细要求</w:t>
            </w:r>
          </w:p>
        </w:tc>
      </w:tr>
      <w:tr w14:paraId="370F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9" w:hRule="atLeast"/>
        </w:trPr>
        <w:tc>
          <w:tcPr>
            <w:tcW w:w="0" w:type="auto"/>
            <w:shd w:val="clear" w:color="auto" w:fill="FFFFFF"/>
            <w:tcMar>
              <w:top w:w="150" w:type="dxa"/>
              <w:left w:w="0" w:type="dxa"/>
              <w:bottom w:w="150" w:type="dxa"/>
              <w:right w:w="150" w:type="dxa"/>
            </w:tcMar>
            <w:vAlign w:val="center"/>
          </w:tcPr>
          <w:p w14:paraId="684D924D">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Style w:val="10"/>
                <w:rFonts w:hint="default" w:ascii="Segoe UI" w:hAnsi="Segoe UI" w:eastAsia="Segoe UI" w:cs="Segoe UI"/>
                <w:b/>
                <w:bCs/>
                <w:i w:val="0"/>
                <w:iCs w:val="0"/>
                <w:caps w:val="0"/>
                <w:color w:val="404040"/>
                <w:spacing w:val="0"/>
                <w:kern w:val="0"/>
                <w:sz w:val="22"/>
                <w:szCs w:val="22"/>
                <w:lang w:val="en-US" w:eastAsia="zh-CN" w:bidi="ar"/>
              </w:rPr>
              <w:t>温度监测</w:t>
            </w:r>
          </w:p>
        </w:tc>
        <w:tc>
          <w:tcPr>
            <w:tcW w:w="7607" w:type="dxa"/>
            <w:shd w:val="clear" w:color="auto" w:fill="FFFFFF"/>
            <w:tcMar>
              <w:top w:w="150" w:type="dxa"/>
              <w:left w:w="150" w:type="dxa"/>
              <w:bottom w:w="150" w:type="dxa"/>
              <w:right w:w="150" w:type="dxa"/>
            </w:tcMar>
            <w:vAlign w:val="center"/>
          </w:tcPr>
          <w:p w14:paraId="5FBF4D4C">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default" w:ascii="Segoe UI" w:hAnsi="Segoe UI" w:eastAsia="Segoe UI" w:cs="Segoe UI"/>
                <w:i w:val="0"/>
                <w:iCs w:val="0"/>
                <w:caps w:val="0"/>
                <w:color w:val="404040"/>
                <w:spacing w:val="0"/>
                <w:kern w:val="0"/>
                <w:sz w:val="22"/>
                <w:szCs w:val="22"/>
                <w:lang w:val="en-US" w:eastAsia="zh-CN" w:bidi="ar"/>
              </w:rPr>
              <w:t>- 测量范围：-</w:t>
            </w:r>
            <w:r>
              <w:rPr>
                <w:rFonts w:hint="eastAsia" w:ascii="Segoe UI" w:hAnsi="Segoe UI" w:eastAsia="Segoe UI" w:cs="Segoe UI"/>
                <w:i w:val="0"/>
                <w:iCs w:val="0"/>
                <w:caps w:val="0"/>
                <w:color w:val="404040"/>
                <w:spacing w:val="0"/>
                <w:kern w:val="0"/>
                <w:sz w:val="22"/>
                <w:szCs w:val="22"/>
                <w:lang w:val="en-US" w:eastAsia="zh-CN" w:bidi="ar"/>
              </w:rPr>
              <w:t>86</w:t>
            </w:r>
            <w:r>
              <w:rPr>
                <w:rFonts w:hint="default" w:ascii="Segoe UI" w:hAnsi="Segoe UI" w:eastAsia="Segoe UI" w:cs="Segoe UI"/>
                <w:i w:val="0"/>
                <w:iCs w:val="0"/>
                <w:caps w:val="0"/>
                <w:color w:val="404040"/>
                <w:spacing w:val="0"/>
                <w:kern w:val="0"/>
                <w:sz w:val="22"/>
                <w:szCs w:val="22"/>
                <w:lang w:val="en-US" w:eastAsia="zh-CN" w:bidi="ar"/>
              </w:rPr>
              <w:t>℃~</w:t>
            </w:r>
            <w:r>
              <w:rPr>
                <w:rFonts w:hint="eastAsia" w:ascii="Segoe UI" w:hAnsi="Segoe UI" w:eastAsia="Segoe UI" w:cs="Segoe UI"/>
                <w:i w:val="0"/>
                <w:iCs w:val="0"/>
                <w:caps w:val="0"/>
                <w:color w:val="404040"/>
                <w:spacing w:val="0"/>
                <w:kern w:val="0"/>
                <w:sz w:val="22"/>
                <w:szCs w:val="22"/>
                <w:lang w:val="en-US" w:eastAsia="zh-CN" w:bidi="ar"/>
              </w:rPr>
              <w:t>20</w:t>
            </w:r>
            <w:r>
              <w:rPr>
                <w:rFonts w:hint="default" w:ascii="Segoe UI" w:hAnsi="Segoe UI" w:eastAsia="Segoe UI" w:cs="Segoe UI"/>
                <w:i w:val="0"/>
                <w:iCs w:val="0"/>
                <w:caps w:val="0"/>
                <w:color w:val="404040"/>
                <w:spacing w:val="0"/>
                <w:kern w:val="0"/>
                <w:sz w:val="22"/>
                <w:szCs w:val="22"/>
                <w:lang w:val="en-US" w:eastAsia="zh-CN" w:bidi="ar"/>
              </w:rPr>
              <w:t>℃</w:t>
            </w:r>
            <w:r>
              <w:rPr>
                <w:rFonts w:hint="default" w:ascii="Segoe UI" w:hAnsi="Segoe UI" w:eastAsia="Segoe UI" w:cs="Segoe UI"/>
                <w:i w:val="0"/>
                <w:iCs w:val="0"/>
                <w:caps w:val="0"/>
                <w:color w:val="404040"/>
                <w:spacing w:val="0"/>
                <w:kern w:val="0"/>
                <w:sz w:val="22"/>
                <w:szCs w:val="22"/>
                <w:lang w:val="en-US" w:eastAsia="zh-CN" w:bidi="ar"/>
              </w:rPr>
              <w:br w:type="textWrapping"/>
            </w:r>
            <w:r>
              <w:rPr>
                <w:rFonts w:hint="default" w:ascii="Segoe UI" w:hAnsi="Segoe UI" w:eastAsia="Segoe UI" w:cs="Segoe UI"/>
                <w:i w:val="0"/>
                <w:iCs w:val="0"/>
                <w:caps w:val="0"/>
                <w:color w:val="404040"/>
                <w:spacing w:val="0"/>
                <w:kern w:val="0"/>
                <w:sz w:val="22"/>
                <w:szCs w:val="22"/>
                <w:lang w:val="en-US" w:eastAsia="zh-CN" w:bidi="ar"/>
              </w:rPr>
              <w:t>- 精度：±0.1℃</w:t>
            </w:r>
          </w:p>
        </w:tc>
      </w:tr>
      <w:tr w14:paraId="2FE6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FFFFF"/>
            <w:tcMar>
              <w:top w:w="150" w:type="dxa"/>
              <w:left w:w="0" w:type="dxa"/>
              <w:bottom w:w="150" w:type="dxa"/>
              <w:right w:w="150" w:type="dxa"/>
            </w:tcMar>
            <w:vAlign w:val="center"/>
          </w:tcPr>
          <w:p w14:paraId="01CA49E1">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Style w:val="10"/>
                <w:rFonts w:hint="default" w:ascii="Segoe UI" w:hAnsi="Segoe UI" w:eastAsia="Segoe UI" w:cs="Segoe UI"/>
                <w:b/>
                <w:bCs/>
                <w:i w:val="0"/>
                <w:iCs w:val="0"/>
                <w:caps w:val="0"/>
                <w:color w:val="404040"/>
                <w:spacing w:val="0"/>
                <w:kern w:val="0"/>
                <w:sz w:val="22"/>
                <w:szCs w:val="22"/>
                <w:lang w:val="en-US" w:eastAsia="zh-CN" w:bidi="ar"/>
              </w:rPr>
              <w:t>远程传输</w:t>
            </w:r>
          </w:p>
        </w:tc>
        <w:tc>
          <w:tcPr>
            <w:tcW w:w="7607" w:type="dxa"/>
            <w:shd w:val="clear" w:color="auto" w:fill="FFFFFF"/>
            <w:tcMar>
              <w:top w:w="150" w:type="dxa"/>
              <w:left w:w="150" w:type="dxa"/>
              <w:bottom w:w="150" w:type="dxa"/>
              <w:right w:w="150" w:type="dxa"/>
            </w:tcMar>
            <w:vAlign w:val="center"/>
          </w:tcPr>
          <w:p w14:paraId="3DD0E863">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default" w:ascii="Segoe UI" w:hAnsi="Segoe UI" w:eastAsia="Segoe UI" w:cs="Segoe UI"/>
                <w:i w:val="0"/>
                <w:iCs w:val="0"/>
                <w:caps w:val="0"/>
                <w:color w:val="404040"/>
                <w:spacing w:val="0"/>
                <w:kern w:val="0"/>
                <w:sz w:val="22"/>
                <w:szCs w:val="22"/>
                <w:lang w:val="en-US" w:eastAsia="zh-CN" w:bidi="ar"/>
              </w:rPr>
              <w:t>- 支持4G/NB-IoT/WiFi至少两种传输方式</w:t>
            </w:r>
            <w:r>
              <w:rPr>
                <w:rFonts w:hint="default" w:ascii="Segoe UI" w:hAnsi="Segoe UI" w:eastAsia="Segoe UI" w:cs="Segoe UI"/>
                <w:i w:val="0"/>
                <w:iCs w:val="0"/>
                <w:caps w:val="0"/>
                <w:color w:val="404040"/>
                <w:spacing w:val="0"/>
                <w:kern w:val="0"/>
                <w:sz w:val="22"/>
                <w:szCs w:val="22"/>
                <w:lang w:val="en-US" w:eastAsia="zh-CN" w:bidi="ar"/>
              </w:rPr>
              <w:br w:type="textWrapping"/>
            </w:r>
            <w:r>
              <w:rPr>
                <w:rFonts w:hint="default" w:ascii="Segoe UI" w:hAnsi="Segoe UI" w:eastAsia="Segoe UI" w:cs="Segoe UI"/>
                <w:i w:val="0"/>
                <w:iCs w:val="0"/>
                <w:caps w:val="0"/>
                <w:color w:val="404040"/>
                <w:spacing w:val="0"/>
                <w:kern w:val="0"/>
                <w:sz w:val="22"/>
                <w:szCs w:val="22"/>
                <w:lang w:val="en-US" w:eastAsia="zh-CN" w:bidi="ar"/>
              </w:rPr>
              <w:t>- 断网续传功能（缓存≥72小时数据）</w:t>
            </w:r>
          </w:p>
        </w:tc>
      </w:tr>
      <w:tr w14:paraId="7634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FFFFF"/>
            <w:tcMar>
              <w:top w:w="150" w:type="dxa"/>
              <w:left w:w="0" w:type="dxa"/>
              <w:bottom w:w="150" w:type="dxa"/>
              <w:right w:w="150" w:type="dxa"/>
            </w:tcMar>
            <w:vAlign w:val="center"/>
          </w:tcPr>
          <w:p w14:paraId="3F47E0B4">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Style w:val="10"/>
                <w:rFonts w:hint="default" w:ascii="Segoe UI" w:hAnsi="Segoe UI" w:eastAsia="Segoe UI" w:cs="Segoe UI"/>
                <w:b/>
                <w:bCs/>
                <w:i w:val="0"/>
                <w:iCs w:val="0"/>
                <w:caps w:val="0"/>
                <w:color w:val="404040"/>
                <w:spacing w:val="0"/>
                <w:kern w:val="0"/>
                <w:sz w:val="22"/>
                <w:szCs w:val="22"/>
                <w:lang w:val="en-US" w:eastAsia="zh-CN" w:bidi="ar"/>
              </w:rPr>
              <w:t>报警系统</w:t>
            </w:r>
          </w:p>
        </w:tc>
        <w:tc>
          <w:tcPr>
            <w:tcW w:w="7607" w:type="dxa"/>
            <w:shd w:val="clear" w:color="auto" w:fill="FFFFFF"/>
            <w:tcMar>
              <w:top w:w="150" w:type="dxa"/>
              <w:left w:w="150" w:type="dxa"/>
              <w:bottom w:w="150" w:type="dxa"/>
              <w:right w:w="150" w:type="dxa"/>
            </w:tcMar>
            <w:vAlign w:val="center"/>
          </w:tcPr>
          <w:p w14:paraId="2C38B6EF">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default" w:ascii="Segoe UI" w:hAnsi="Segoe UI" w:eastAsia="Segoe UI" w:cs="Segoe UI"/>
                <w:i w:val="0"/>
                <w:iCs w:val="0"/>
                <w:caps w:val="0"/>
                <w:color w:val="404040"/>
                <w:spacing w:val="0"/>
                <w:kern w:val="0"/>
                <w:sz w:val="22"/>
                <w:szCs w:val="22"/>
                <w:lang w:val="en-US" w:eastAsia="zh-CN" w:bidi="ar"/>
              </w:rPr>
              <w:t>- 三级报警：±2℃（提醒）、±5℃（紧急）、持续超限（严重）</w:t>
            </w:r>
            <w:r>
              <w:rPr>
                <w:rFonts w:hint="default" w:ascii="Segoe UI" w:hAnsi="Segoe UI" w:eastAsia="Segoe UI" w:cs="Segoe UI"/>
                <w:i w:val="0"/>
                <w:iCs w:val="0"/>
                <w:caps w:val="0"/>
                <w:color w:val="404040"/>
                <w:spacing w:val="0"/>
                <w:kern w:val="0"/>
                <w:sz w:val="22"/>
                <w:szCs w:val="22"/>
                <w:lang w:val="en-US" w:eastAsia="zh-CN" w:bidi="ar"/>
              </w:rPr>
              <w:br w:type="textWrapping"/>
            </w:r>
            <w:r>
              <w:rPr>
                <w:rFonts w:hint="default" w:ascii="Segoe UI" w:hAnsi="Segoe UI" w:eastAsia="Segoe UI" w:cs="Segoe UI"/>
                <w:i w:val="0"/>
                <w:iCs w:val="0"/>
                <w:caps w:val="0"/>
                <w:color w:val="404040"/>
                <w:spacing w:val="0"/>
                <w:kern w:val="0"/>
                <w:sz w:val="22"/>
                <w:szCs w:val="22"/>
                <w:lang w:val="en-US" w:eastAsia="zh-CN" w:bidi="ar"/>
              </w:rPr>
              <w:t>- 支持声光/短信/平台弹窗多通道报警</w:t>
            </w:r>
          </w:p>
        </w:tc>
      </w:tr>
      <w:tr w14:paraId="3CA2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FFFFF"/>
            <w:tcMar>
              <w:top w:w="150" w:type="dxa"/>
              <w:left w:w="0" w:type="dxa"/>
              <w:bottom w:w="150" w:type="dxa"/>
              <w:right w:w="150" w:type="dxa"/>
            </w:tcMar>
            <w:vAlign w:val="center"/>
          </w:tcPr>
          <w:p w14:paraId="01D0665E">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Style w:val="10"/>
                <w:rFonts w:hint="default" w:ascii="Segoe UI" w:hAnsi="Segoe UI" w:eastAsia="Segoe UI" w:cs="Segoe UI"/>
                <w:b/>
                <w:bCs/>
                <w:i w:val="0"/>
                <w:iCs w:val="0"/>
                <w:caps w:val="0"/>
                <w:color w:val="404040"/>
                <w:spacing w:val="0"/>
                <w:kern w:val="0"/>
                <w:sz w:val="22"/>
                <w:szCs w:val="22"/>
                <w:lang w:val="en-US" w:eastAsia="zh-CN" w:bidi="ar"/>
              </w:rPr>
              <w:t>大屏展示</w:t>
            </w:r>
          </w:p>
        </w:tc>
        <w:tc>
          <w:tcPr>
            <w:tcW w:w="7607" w:type="dxa"/>
            <w:shd w:val="clear" w:color="auto" w:fill="FFFFFF"/>
            <w:tcMar>
              <w:top w:w="150" w:type="dxa"/>
              <w:left w:w="150" w:type="dxa"/>
              <w:bottom w:w="150" w:type="dxa"/>
              <w:right w:w="150" w:type="dxa"/>
            </w:tcMar>
            <w:vAlign w:val="center"/>
          </w:tcPr>
          <w:p w14:paraId="75E6A454">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default" w:ascii="Segoe UI" w:hAnsi="Segoe UI" w:eastAsia="Segoe UI" w:cs="Segoe UI"/>
                <w:i w:val="0"/>
                <w:iCs w:val="0"/>
                <w:caps w:val="0"/>
                <w:color w:val="404040"/>
                <w:spacing w:val="0"/>
                <w:kern w:val="0"/>
                <w:sz w:val="22"/>
                <w:szCs w:val="22"/>
                <w:lang w:val="en-US" w:eastAsia="zh-CN" w:bidi="ar"/>
              </w:rPr>
              <w:t>- 支持对接医院现有</w:t>
            </w:r>
            <w:r>
              <w:rPr>
                <w:rFonts w:hint="eastAsia" w:ascii="Segoe UI" w:hAnsi="Segoe UI" w:eastAsia="Segoe UI" w:cs="Segoe UI"/>
                <w:i w:val="0"/>
                <w:iCs w:val="0"/>
                <w:caps w:val="0"/>
                <w:color w:val="404040"/>
                <w:spacing w:val="0"/>
                <w:kern w:val="0"/>
                <w:sz w:val="22"/>
                <w:szCs w:val="22"/>
                <w:lang w:val="en-US" w:eastAsia="zh-CN" w:bidi="ar"/>
              </w:rPr>
              <w:t>监控大</w:t>
            </w:r>
            <w:r>
              <w:rPr>
                <w:rFonts w:hint="default" w:ascii="Segoe UI" w:hAnsi="Segoe UI" w:eastAsia="Segoe UI" w:cs="Segoe UI"/>
                <w:i w:val="0"/>
                <w:iCs w:val="0"/>
                <w:caps w:val="0"/>
                <w:color w:val="404040"/>
                <w:spacing w:val="0"/>
                <w:kern w:val="0"/>
                <w:sz w:val="22"/>
                <w:szCs w:val="22"/>
                <w:lang w:val="en-US" w:eastAsia="zh-CN" w:bidi="ar"/>
              </w:rPr>
              <w:t>屏</w:t>
            </w:r>
            <w:r>
              <w:rPr>
                <w:rFonts w:hint="default" w:ascii="Segoe UI" w:hAnsi="Segoe UI" w:eastAsia="Segoe UI" w:cs="Segoe UI"/>
                <w:i w:val="0"/>
                <w:iCs w:val="0"/>
                <w:caps w:val="0"/>
                <w:color w:val="404040"/>
                <w:spacing w:val="0"/>
                <w:kern w:val="0"/>
                <w:sz w:val="22"/>
                <w:szCs w:val="22"/>
                <w:lang w:val="en-US" w:eastAsia="zh-CN" w:bidi="ar"/>
              </w:rPr>
              <w:br w:type="textWrapping"/>
            </w:r>
            <w:r>
              <w:rPr>
                <w:rFonts w:hint="default" w:ascii="Segoe UI" w:hAnsi="Segoe UI" w:eastAsia="Segoe UI" w:cs="Segoe UI"/>
                <w:i w:val="0"/>
                <w:iCs w:val="0"/>
                <w:caps w:val="0"/>
                <w:color w:val="404040"/>
                <w:spacing w:val="0"/>
                <w:kern w:val="0"/>
                <w:sz w:val="22"/>
                <w:szCs w:val="22"/>
                <w:lang w:val="en-US" w:eastAsia="zh-CN" w:bidi="ar"/>
              </w:rPr>
              <w:t>- 需展示多冰箱温度曲线对比图</w:t>
            </w:r>
          </w:p>
        </w:tc>
      </w:tr>
    </w:tbl>
    <w:p w14:paraId="6B23092B">
      <w:pPr>
        <w:numPr>
          <w:ilvl w:val="0"/>
          <w:numId w:val="0"/>
        </w:numPr>
        <w:spacing w:line="360" w:lineRule="auto"/>
        <w:ind w:leftChars="0"/>
        <w:rPr>
          <w:rFonts w:hint="eastAsia"/>
          <w:lang w:val="en-US" w:eastAsia="zh-CN"/>
        </w:rPr>
      </w:pPr>
      <w:r>
        <w:rPr>
          <w:rFonts w:hint="eastAsia"/>
          <w:lang w:val="en-US" w:eastAsia="zh-CN"/>
        </w:rPr>
        <w:t>2、系统对接要求</w:t>
      </w:r>
    </w:p>
    <w:p w14:paraId="27C5DADD">
      <w:pPr>
        <w:numPr>
          <w:ilvl w:val="0"/>
          <w:numId w:val="0"/>
        </w:numPr>
        <w:spacing w:line="360" w:lineRule="auto"/>
        <w:ind w:leftChars="0"/>
        <w:rPr>
          <w:rFonts w:hint="eastAsia"/>
          <w:lang w:val="en-US" w:eastAsia="zh-CN"/>
        </w:rPr>
      </w:pPr>
      <w:r>
        <w:rPr>
          <w:rFonts w:hint="eastAsia"/>
          <w:lang w:val="en-US" w:eastAsia="zh-CN"/>
        </w:rPr>
        <w:t>①必须提供标准API接口文档</w:t>
      </w:r>
    </w:p>
    <w:p w14:paraId="2BA5C3F7">
      <w:pPr>
        <w:numPr>
          <w:ilvl w:val="0"/>
          <w:numId w:val="0"/>
        </w:numPr>
        <w:spacing w:line="360" w:lineRule="auto"/>
        <w:ind w:leftChars="0"/>
        <w:rPr>
          <w:rFonts w:hint="eastAsia"/>
          <w:lang w:val="en-US" w:eastAsia="zh-CN"/>
        </w:rPr>
      </w:pPr>
      <w:r>
        <w:rPr>
          <w:rFonts w:hint="eastAsia"/>
          <w:lang w:val="en-US" w:eastAsia="zh-CN"/>
        </w:rPr>
        <w:t>②需与本院设备管理系统实现数据交互和实现实时温度数据和报警阈值设置。</w:t>
      </w:r>
    </w:p>
    <w:p w14:paraId="5F25E87B">
      <w:pPr>
        <w:numPr>
          <w:ilvl w:val="0"/>
          <w:numId w:val="0"/>
        </w:numPr>
        <w:spacing w:line="360" w:lineRule="auto"/>
        <w:ind w:leftChars="0"/>
        <w:rPr>
          <w:rFonts w:hint="eastAsia"/>
          <w:lang w:val="en-US" w:eastAsia="zh-CN"/>
        </w:rPr>
      </w:pPr>
      <w:r>
        <w:rPr>
          <w:rFonts w:hint="eastAsia"/>
          <w:lang w:val="en-US" w:eastAsia="zh-CN"/>
        </w:rPr>
        <w:t>硬件详细技术参数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6544"/>
      </w:tblGrid>
      <w:tr w14:paraId="03CD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BEBEBE" w:themeFill="background1" w:themeFillShade="BF"/>
            <w:vAlign w:val="top"/>
          </w:tcPr>
          <w:p w14:paraId="46AE065F">
            <w:pPr>
              <w:numPr>
                <w:ilvl w:val="0"/>
                <w:numId w:val="0"/>
              </w:numPr>
              <w:spacing w:line="360" w:lineRule="auto"/>
              <w:rPr>
                <w:rFonts w:hint="default"/>
                <w:vertAlign w:val="baseline"/>
                <w:lang w:val="en-US" w:eastAsia="zh-CN"/>
              </w:rPr>
            </w:pPr>
            <w:r>
              <w:rPr>
                <w:rFonts w:hint="eastAsia"/>
                <w:vertAlign w:val="baseline"/>
                <w:lang w:val="en-US" w:eastAsia="zh-CN"/>
              </w:rPr>
              <w:t>主机</w:t>
            </w:r>
          </w:p>
        </w:tc>
      </w:tr>
      <w:tr w14:paraId="02E2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tcPr>
          <w:p w14:paraId="25370F6C">
            <w:pPr>
              <w:numPr>
                <w:ilvl w:val="0"/>
                <w:numId w:val="0"/>
              </w:numPr>
              <w:spacing w:line="360" w:lineRule="auto"/>
              <w:rPr>
                <w:rFonts w:hint="default"/>
                <w:vertAlign w:val="baseline"/>
                <w:lang w:val="en-US" w:eastAsia="zh-CN"/>
              </w:rPr>
            </w:pPr>
            <w:r>
              <w:rPr>
                <w:rFonts w:hint="eastAsia"/>
                <w:vertAlign w:val="baseline"/>
                <w:lang w:val="en-US" w:eastAsia="zh-CN"/>
              </w:rPr>
              <w:t>供电：</w:t>
            </w:r>
          </w:p>
        </w:tc>
        <w:tc>
          <w:tcPr>
            <w:tcW w:w="6544" w:type="dxa"/>
          </w:tcPr>
          <w:p w14:paraId="13146F8F">
            <w:pPr>
              <w:numPr>
                <w:ilvl w:val="0"/>
                <w:numId w:val="0"/>
              </w:numPr>
              <w:spacing w:line="360" w:lineRule="auto"/>
              <w:rPr>
                <w:rFonts w:hint="default"/>
                <w:vertAlign w:val="baseline"/>
                <w:lang w:val="en-US" w:eastAsia="zh-CN"/>
              </w:rPr>
            </w:pPr>
            <w:r>
              <w:rPr>
                <w:rFonts w:hint="eastAsia"/>
                <w:vertAlign w:val="baseline"/>
                <w:lang w:val="en-US" w:eastAsia="zh-CN"/>
              </w:rPr>
              <w:t>12/DC或者12V poe转换器</w:t>
            </w:r>
          </w:p>
        </w:tc>
      </w:tr>
      <w:tr w14:paraId="6267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tcPr>
          <w:p w14:paraId="34332922">
            <w:pPr>
              <w:numPr>
                <w:ilvl w:val="0"/>
                <w:numId w:val="0"/>
              </w:numPr>
              <w:spacing w:line="360" w:lineRule="auto"/>
              <w:rPr>
                <w:rFonts w:hint="default"/>
                <w:vertAlign w:val="baseline"/>
                <w:lang w:val="en-US" w:eastAsia="zh-CN"/>
              </w:rPr>
            </w:pPr>
            <w:r>
              <w:rPr>
                <w:rFonts w:hint="eastAsia"/>
                <w:vertAlign w:val="baseline"/>
                <w:lang w:val="en-US" w:eastAsia="zh-CN"/>
              </w:rPr>
              <w:t>设备欸接入端口：</w:t>
            </w:r>
          </w:p>
        </w:tc>
        <w:tc>
          <w:tcPr>
            <w:tcW w:w="6544" w:type="dxa"/>
          </w:tcPr>
          <w:p w14:paraId="4C0DA2A5">
            <w:pPr>
              <w:numPr>
                <w:ilvl w:val="0"/>
                <w:numId w:val="0"/>
              </w:numPr>
              <w:spacing w:line="360" w:lineRule="auto"/>
              <w:rPr>
                <w:rFonts w:hint="default"/>
                <w:vertAlign w:val="baseline"/>
                <w:lang w:val="en-US" w:eastAsia="zh-CN"/>
              </w:rPr>
            </w:pPr>
            <w:r>
              <w:rPr>
                <w:rFonts w:hint="eastAsia"/>
                <w:vertAlign w:val="baseline"/>
                <w:lang w:val="en-US" w:eastAsia="zh-CN"/>
              </w:rPr>
              <w:t>LORA 无线，可接入≤32台</w:t>
            </w:r>
          </w:p>
        </w:tc>
      </w:tr>
      <w:tr w14:paraId="5C38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tcPr>
          <w:p w14:paraId="3E606D3C">
            <w:pPr>
              <w:numPr>
                <w:ilvl w:val="0"/>
                <w:numId w:val="0"/>
              </w:numPr>
              <w:spacing w:line="360" w:lineRule="auto"/>
              <w:rPr>
                <w:rFonts w:hint="default"/>
                <w:vertAlign w:val="baseline"/>
                <w:lang w:val="en-US" w:eastAsia="zh-CN"/>
              </w:rPr>
            </w:pPr>
            <w:r>
              <w:rPr>
                <w:rFonts w:hint="eastAsia"/>
                <w:vertAlign w:val="baseline"/>
                <w:lang w:val="en-US" w:eastAsia="zh-CN"/>
              </w:rPr>
              <w:t>上报端口：</w:t>
            </w:r>
          </w:p>
        </w:tc>
        <w:tc>
          <w:tcPr>
            <w:tcW w:w="6544" w:type="dxa"/>
          </w:tcPr>
          <w:p w14:paraId="1CA2A1EA">
            <w:pPr>
              <w:numPr>
                <w:ilvl w:val="0"/>
                <w:numId w:val="0"/>
              </w:numPr>
              <w:spacing w:line="360" w:lineRule="auto"/>
              <w:rPr>
                <w:rFonts w:hint="default"/>
                <w:vertAlign w:val="baseline"/>
                <w:lang w:val="en-US" w:eastAsia="zh-CN"/>
              </w:rPr>
            </w:pPr>
            <w:r>
              <w:rPr>
                <w:rFonts w:hint="eastAsia"/>
                <w:vertAlign w:val="baseline"/>
                <w:lang w:val="en-US" w:eastAsia="zh-CN"/>
              </w:rPr>
              <w:t>RJ45以太网或4G网</w:t>
            </w:r>
          </w:p>
        </w:tc>
      </w:tr>
      <w:tr w14:paraId="0322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tcPr>
          <w:p w14:paraId="18EE629F">
            <w:pPr>
              <w:numPr>
                <w:ilvl w:val="0"/>
                <w:numId w:val="0"/>
              </w:numPr>
              <w:spacing w:line="360" w:lineRule="auto"/>
              <w:rPr>
                <w:rFonts w:hint="default"/>
                <w:vertAlign w:val="baseline"/>
                <w:lang w:val="en-US" w:eastAsia="zh-CN"/>
              </w:rPr>
            </w:pPr>
            <w:r>
              <w:rPr>
                <w:rFonts w:hint="eastAsia"/>
                <w:vertAlign w:val="baseline"/>
                <w:lang w:val="en-US" w:eastAsia="zh-CN"/>
              </w:rPr>
              <w:t>存储容量：</w:t>
            </w:r>
          </w:p>
        </w:tc>
        <w:tc>
          <w:tcPr>
            <w:tcW w:w="6544" w:type="dxa"/>
          </w:tcPr>
          <w:p w14:paraId="5FE7FB37">
            <w:pPr>
              <w:numPr>
                <w:ilvl w:val="0"/>
                <w:numId w:val="0"/>
              </w:numPr>
              <w:spacing w:line="360" w:lineRule="auto"/>
              <w:rPr>
                <w:rFonts w:hint="default"/>
                <w:vertAlign w:val="baseline"/>
                <w:lang w:val="en-US" w:eastAsia="zh-CN"/>
              </w:rPr>
            </w:pPr>
            <w:r>
              <w:rPr>
                <w:rFonts w:hint="eastAsia"/>
                <w:vertAlign w:val="baseline"/>
                <w:lang w:val="en-US" w:eastAsia="zh-CN"/>
              </w:rPr>
              <w:t>每台接入设备10000组32台可存储32万组</w:t>
            </w:r>
          </w:p>
        </w:tc>
      </w:tr>
      <w:tr w14:paraId="59EA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BEBEBE" w:themeFill="background1" w:themeFillShade="BF"/>
            <w:vAlign w:val="top"/>
          </w:tcPr>
          <w:p w14:paraId="0132171D">
            <w:pPr>
              <w:numPr>
                <w:ilvl w:val="0"/>
                <w:numId w:val="0"/>
              </w:numPr>
              <w:spacing w:line="360" w:lineRule="auto"/>
              <w:rPr>
                <w:rFonts w:hint="default"/>
                <w:vertAlign w:val="baseline"/>
                <w:lang w:val="en-US" w:eastAsia="zh-CN"/>
              </w:rPr>
            </w:pPr>
            <w:r>
              <w:rPr>
                <w:rFonts w:hint="eastAsia"/>
                <w:vertAlign w:val="baseline"/>
                <w:lang w:val="en-US" w:eastAsia="zh-CN"/>
              </w:rPr>
              <w:t>分机</w:t>
            </w:r>
          </w:p>
        </w:tc>
      </w:tr>
      <w:tr w14:paraId="510D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tcPr>
          <w:p w14:paraId="7BA245DB">
            <w:pPr>
              <w:numPr>
                <w:ilvl w:val="0"/>
                <w:numId w:val="0"/>
              </w:numPr>
              <w:spacing w:line="360" w:lineRule="auto"/>
              <w:rPr>
                <w:rFonts w:hint="default"/>
                <w:vertAlign w:val="baseline"/>
                <w:lang w:val="en-US" w:eastAsia="zh-CN"/>
              </w:rPr>
            </w:pPr>
            <w:r>
              <w:rPr>
                <w:rFonts w:hint="eastAsia"/>
                <w:vertAlign w:val="baseline"/>
                <w:lang w:val="en-US" w:eastAsia="zh-CN"/>
              </w:rPr>
              <w:t>测量范围：</w:t>
            </w:r>
          </w:p>
        </w:tc>
        <w:tc>
          <w:tcPr>
            <w:tcW w:w="6544" w:type="dxa"/>
          </w:tcPr>
          <w:p w14:paraId="04ECD84F">
            <w:pPr>
              <w:numPr>
                <w:ilvl w:val="0"/>
                <w:numId w:val="0"/>
              </w:numPr>
              <w:spacing w:line="360" w:lineRule="auto"/>
              <w:rPr>
                <w:rFonts w:hint="default"/>
                <w:vertAlign w:val="baseline"/>
                <w:lang w:val="en-US" w:eastAsia="zh-CN"/>
              </w:rPr>
            </w:pPr>
            <w:r>
              <w:rPr>
                <w:rFonts w:hint="eastAsia"/>
                <w:vertAlign w:val="baseline"/>
                <w:lang w:val="en-US" w:eastAsia="zh-CN"/>
              </w:rPr>
              <w:t>温度：-86℃~+20℃   温度：0~100%rh</w:t>
            </w:r>
          </w:p>
        </w:tc>
      </w:tr>
      <w:tr w14:paraId="2513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tcPr>
          <w:p w14:paraId="364EEF4C">
            <w:pPr>
              <w:numPr>
                <w:ilvl w:val="0"/>
                <w:numId w:val="0"/>
              </w:numPr>
              <w:spacing w:line="360" w:lineRule="auto"/>
              <w:rPr>
                <w:rFonts w:hint="default"/>
                <w:vertAlign w:val="baseline"/>
                <w:lang w:val="en-US" w:eastAsia="zh-CN"/>
              </w:rPr>
            </w:pPr>
            <w:r>
              <w:rPr>
                <w:rFonts w:hint="eastAsia"/>
                <w:vertAlign w:val="baseline"/>
                <w:lang w:val="en-US" w:eastAsia="zh-CN"/>
              </w:rPr>
              <w:t>测量精度：</w:t>
            </w:r>
          </w:p>
        </w:tc>
        <w:tc>
          <w:tcPr>
            <w:tcW w:w="6544" w:type="dxa"/>
          </w:tcPr>
          <w:p w14:paraId="4ACECB06">
            <w:pPr>
              <w:numPr>
                <w:ilvl w:val="0"/>
                <w:numId w:val="0"/>
              </w:numPr>
              <w:spacing w:line="360" w:lineRule="auto"/>
              <w:rPr>
                <w:rFonts w:hint="default"/>
                <w:vertAlign w:val="baseline"/>
                <w:lang w:val="en-US" w:eastAsia="zh-CN"/>
              </w:rPr>
            </w:pPr>
            <w:r>
              <w:rPr>
                <w:rFonts w:hint="eastAsia"/>
                <w:vertAlign w:val="baseline"/>
                <w:lang w:val="en-US" w:eastAsia="zh-CN"/>
              </w:rPr>
              <w:t>温度：±0.3℃  湿度±3%rh</w:t>
            </w:r>
          </w:p>
        </w:tc>
      </w:tr>
      <w:tr w14:paraId="6C11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tcPr>
          <w:p w14:paraId="755D15BC">
            <w:pPr>
              <w:numPr>
                <w:ilvl w:val="0"/>
                <w:numId w:val="0"/>
              </w:numPr>
              <w:spacing w:line="360" w:lineRule="auto"/>
              <w:rPr>
                <w:rFonts w:hint="default"/>
                <w:vertAlign w:val="baseline"/>
                <w:lang w:val="en-US" w:eastAsia="zh-CN"/>
              </w:rPr>
            </w:pPr>
            <w:r>
              <w:rPr>
                <w:rFonts w:hint="eastAsia"/>
                <w:vertAlign w:val="baseline"/>
                <w:lang w:val="en-US" w:eastAsia="zh-CN"/>
              </w:rPr>
              <w:t>输出接口：</w:t>
            </w:r>
          </w:p>
        </w:tc>
        <w:tc>
          <w:tcPr>
            <w:tcW w:w="6544" w:type="dxa"/>
          </w:tcPr>
          <w:p w14:paraId="7991995E">
            <w:pPr>
              <w:numPr>
                <w:ilvl w:val="0"/>
                <w:numId w:val="0"/>
              </w:numPr>
              <w:spacing w:line="360" w:lineRule="auto"/>
              <w:rPr>
                <w:rFonts w:hint="default"/>
                <w:vertAlign w:val="baseline"/>
                <w:lang w:val="en-US" w:eastAsia="zh-CN"/>
              </w:rPr>
            </w:pPr>
            <w:r>
              <w:rPr>
                <w:rFonts w:hint="eastAsia"/>
                <w:vertAlign w:val="baseline"/>
                <w:lang w:val="en-US" w:eastAsia="zh-CN"/>
              </w:rPr>
              <w:t>LORA无线网络</w:t>
            </w:r>
          </w:p>
        </w:tc>
      </w:tr>
      <w:tr w14:paraId="5687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tcPr>
          <w:p w14:paraId="2603A78F">
            <w:pPr>
              <w:numPr>
                <w:ilvl w:val="0"/>
                <w:numId w:val="0"/>
              </w:numPr>
              <w:spacing w:line="360" w:lineRule="auto"/>
              <w:rPr>
                <w:rFonts w:hint="default"/>
                <w:vertAlign w:val="baseline"/>
                <w:lang w:val="en-US" w:eastAsia="zh-CN"/>
              </w:rPr>
            </w:pPr>
            <w:r>
              <w:rPr>
                <w:rFonts w:hint="eastAsia"/>
                <w:vertAlign w:val="baseline"/>
                <w:lang w:val="en-US" w:eastAsia="zh-CN"/>
              </w:rPr>
              <w:t>通讯距离：</w:t>
            </w:r>
          </w:p>
        </w:tc>
        <w:tc>
          <w:tcPr>
            <w:tcW w:w="6544" w:type="dxa"/>
          </w:tcPr>
          <w:p w14:paraId="70375E3B">
            <w:pPr>
              <w:numPr>
                <w:ilvl w:val="0"/>
                <w:numId w:val="0"/>
              </w:numPr>
              <w:spacing w:line="360" w:lineRule="auto"/>
              <w:rPr>
                <w:rFonts w:hint="default"/>
                <w:vertAlign w:val="baseline"/>
                <w:lang w:val="en-US" w:eastAsia="zh-CN"/>
              </w:rPr>
            </w:pPr>
            <w:r>
              <w:rPr>
                <w:rFonts w:hint="eastAsia"/>
                <w:vertAlign w:val="baseline"/>
                <w:lang w:val="en-US" w:eastAsia="zh-CN"/>
              </w:rPr>
              <w:t>上线可视化通讯距离1000米</w:t>
            </w:r>
          </w:p>
        </w:tc>
      </w:tr>
      <w:tr w14:paraId="7A52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tcPr>
          <w:p w14:paraId="1FB4C279">
            <w:pPr>
              <w:numPr>
                <w:ilvl w:val="0"/>
                <w:numId w:val="0"/>
              </w:numPr>
              <w:spacing w:line="360" w:lineRule="auto"/>
              <w:rPr>
                <w:rFonts w:hint="default"/>
                <w:vertAlign w:val="baseline"/>
                <w:lang w:val="en-US" w:eastAsia="zh-CN"/>
              </w:rPr>
            </w:pPr>
            <w:r>
              <w:rPr>
                <w:rFonts w:hint="eastAsia"/>
                <w:vertAlign w:val="baseline"/>
                <w:lang w:val="en-US" w:eastAsia="zh-CN"/>
              </w:rPr>
              <w:t>连接数量：</w:t>
            </w:r>
          </w:p>
        </w:tc>
        <w:tc>
          <w:tcPr>
            <w:tcW w:w="6544" w:type="dxa"/>
          </w:tcPr>
          <w:p w14:paraId="32B9BC63">
            <w:pPr>
              <w:numPr>
                <w:ilvl w:val="0"/>
                <w:numId w:val="0"/>
              </w:numPr>
              <w:spacing w:line="360" w:lineRule="auto"/>
              <w:rPr>
                <w:rFonts w:hint="default"/>
                <w:vertAlign w:val="baseline"/>
                <w:lang w:val="en-US" w:eastAsia="zh-CN"/>
              </w:rPr>
            </w:pPr>
            <w:r>
              <w:rPr>
                <w:rFonts w:hint="eastAsia"/>
                <w:vertAlign w:val="baseline"/>
                <w:lang w:val="en-US" w:eastAsia="zh-CN"/>
              </w:rPr>
              <w:t>一台监控主机最多可接入32台</w:t>
            </w:r>
          </w:p>
        </w:tc>
      </w:tr>
    </w:tbl>
    <w:p w14:paraId="7D44F216">
      <w:pPr>
        <w:widowControl/>
        <w:numPr>
          <w:ilvl w:val="0"/>
          <w:numId w:val="0"/>
        </w:numPr>
        <w:spacing w:line="240" w:lineRule="auto"/>
        <w:jc w:val="left"/>
        <w:rPr>
          <w:rFonts w:hint="eastAsia"/>
          <w:lang w:val="en-US" w:eastAsia="zh-CN"/>
        </w:rPr>
      </w:pPr>
    </w:p>
    <w:p w14:paraId="031AB961">
      <w:pPr>
        <w:widowControl/>
        <w:numPr>
          <w:ilvl w:val="0"/>
          <w:numId w:val="0"/>
        </w:numPr>
        <w:spacing w:line="240" w:lineRule="auto"/>
        <w:jc w:val="left"/>
        <w:rPr>
          <w:rFonts w:cs="宋体"/>
          <w:b/>
          <w:bCs/>
          <w:color w:val="000000"/>
          <w:kern w:val="0"/>
          <w:sz w:val="24"/>
          <w:szCs w:val="24"/>
        </w:rPr>
      </w:pPr>
      <w:r>
        <w:rPr>
          <w:rFonts w:hint="eastAsia"/>
          <w:lang w:val="en-US" w:eastAsia="zh-CN"/>
        </w:rPr>
        <w:t xml:space="preserve"> </w:t>
      </w:r>
      <w:r>
        <w:rPr>
          <w:rFonts w:hint="eastAsia" w:cs="宋体"/>
          <w:b/>
          <w:bCs/>
          <w:color w:val="000000"/>
          <w:kern w:val="0"/>
          <w:sz w:val="24"/>
          <w:szCs w:val="24"/>
          <w:lang w:val="en-US" w:eastAsia="zh-CN"/>
        </w:rPr>
        <w:t>（三）项目产品</w:t>
      </w:r>
      <w:r>
        <w:rPr>
          <w:rFonts w:hint="eastAsia" w:cs="宋体"/>
          <w:b/>
          <w:bCs/>
          <w:color w:val="000000"/>
          <w:kern w:val="0"/>
          <w:sz w:val="24"/>
          <w:szCs w:val="24"/>
        </w:rPr>
        <w:t>基本要求</w:t>
      </w:r>
    </w:p>
    <w:p w14:paraId="7F9E0445">
      <w:pPr>
        <w:pStyle w:val="13"/>
        <w:spacing w:line="240" w:lineRule="auto"/>
        <w:ind w:left="0" w:leftChars="0"/>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724C088B">
      <w:pPr>
        <w:pStyle w:val="13"/>
        <w:spacing w:line="240" w:lineRule="auto"/>
        <w:ind w:left="0" w:leftChars="0"/>
        <w:rPr>
          <w:color w:val="auto"/>
        </w:rPr>
      </w:pPr>
      <w:r>
        <w:rPr>
          <w:rFonts w:hint="eastAsia"/>
          <w:color w:val="auto"/>
        </w:rPr>
        <w:t>2、投标人所投产品参数应同等或优于以上各项参数要求，产品、辅材及生产工艺符合国家相关规范。</w:t>
      </w:r>
    </w:p>
    <w:p w14:paraId="62ED69AC">
      <w:pPr>
        <w:pStyle w:val="13"/>
        <w:spacing w:line="240" w:lineRule="auto"/>
        <w:ind w:left="0" w:leftChars="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6C89FF25">
      <w:pPr>
        <w:pStyle w:val="13"/>
        <w:spacing w:line="240" w:lineRule="auto"/>
        <w:ind w:left="0" w:leftChars="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544401A4">
      <w:pPr>
        <w:pStyle w:val="13"/>
        <w:spacing w:line="240" w:lineRule="auto"/>
        <w:ind w:left="0" w:leftChars="0"/>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14:paraId="08DCA6C9">
      <w:pPr>
        <w:pStyle w:val="13"/>
        <w:spacing w:line="240" w:lineRule="auto"/>
        <w:ind w:left="0" w:leftChars="0"/>
        <w:rPr>
          <w:rFonts w:hint="eastAsia"/>
          <w:color w:val="auto"/>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14:paraId="60491C93">
      <w:pPr>
        <w:pStyle w:val="13"/>
        <w:spacing w:line="240" w:lineRule="auto"/>
        <w:ind w:left="0" w:leftChars="0"/>
        <w:rPr>
          <w:rFonts w:hint="eastAsia" w:cs="宋体"/>
          <w:b/>
          <w:bCs/>
        </w:rPr>
      </w:pPr>
      <w:r>
        <w:rPr>
          <w:rFonts w:hint="eastAsia" w:cs="宋体"/>
          <w:b/>
          <w:bCs/>
        </w:rPr>
        <w:t>（四）商务要求</w:t>
      </w:r>
    </w:p>
    <w:p w14:paraId="6B26C896">
      <w:pPr>
        <w:pStyle w:val="13"/>
        <w:spacing w:line="240" w:lineRule="auto"/>
        <w:ind w:left="0" w:leftChars="0"/>
        <w:rPr>
          <w:rFonts w:hint="default" w:eastAsia="宋体" w:cs="宋体"/>
          <w:b w:val="0"/>
          <w:bCs w:val="0"/>
          <w:lang w:val="en-US" w:eastAsia="zh-CN"/>
        </w:rPr>
      </w:pPr>
      <w:r>
        <w:rPr>
          <w:rFonts w:hint="eastAsia" w:cs="宋体"/>
          <w:b/>
          <w:bCs/>
          <w:lang w:val="en-US" w:eastAsia="zh-CN"/>
        </w:rPr>
        <w:t>1、投标人资格要求</w:t>
      </w:r>
    </w:p>
    <w:p w14:paraId="4EEB128D">
      <w:pPr>
        <w:pStyle w:val="13"/>
        <w:spacing w:line="240" w:lineRule="auto"/>
        <w:ind w:left="0" w:leftChars="0"/>
        <w:rPr>
          <w:rFonts w:cs="宋体"/>
        </w:rPr>
      </w:pPr>
      <w:r>
        <w:rPr>
          <w:rFonts w:hint="eastAsia" w:cs="宋体"/>
        </w:rPr>
        <w:t>1</w:t>
      </w:r>
      <w:r>
        <w:rPr>
          <w:rFonts w:hint="eastAsia" w:cs="宋体"/>
          <w:lang w:eastAsia="zh-CN"/>
        </w:rPr>
        <w:t>）</w:t>
      </w:r>
      <w:r>
        <w:rPr>
          <w:rFonts w:hint="eastAsia" w:cs="宋体"/>
        </w:rPr>
        <w:t>投标人为独立法人，并具备统一社会信用代码。</w:t>
      </w:r>
    </w:p>
    <w:p w14:paraId="5E38F82D">
      <w:pPr>
        <w:pStyle w:val="13"/>
        <w:spacing w:line="240" w:lineRule="auto"/>
        <w:ind w:left="0" w:leftChars="0"/>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0ED2B9C1">
      <w:pPr>
        <w:pStyle w:val="13"/>
        <w:spacing w:line="240" w:lineRule="auto"/>
        <w:ind w:left="0" w:leftChars="0"/>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14:paraId="0F6BFE13">
      <w:pPr>
        <w:pStyle w:val="13"/>
        <w:spacing w:line="240" w:lineRule="auto"/>
        <w:ind w:left="0" w:leftChars="0"/>
        <w:rPr>
          <w:rFonts w:hint="eastAsia" w:cs="宋体"/>
          <w:color w:val="auto"/>
        </w:rPr>
      </w:pPr>
      <w:r>
        <w:rPr>
          <w:rFonts w:hint="eastAsia" w:cs="宋体"/>
          <w:lang w:val="en-US" w:eastAsia="zh-CN"/>
        </w:rPr>
        <w:t>4）</w:t>
      </w:r>
      <w:r>
        <w:rPr>
          <w:rFonts w:hint="eastAsia" w:cs="宋体"/>
          <w:color w:val="auto"/>
        </w:rPr>
        <w:t>本项目不接收联合体投标。</w:t>
      </w:r>
    </w:p>
    <w:p w14:paraId="08416C89">
      <w:pPr>
        <w:pStyle w:val="13"/>
        <w:spacing w:line="240" w:lineRule="auto"/>
        <w:ind w:left="0" w:leftChars="0"/>
        <w:rPr>
          <w:rFonts w:hint="eastAsia" w:eastAsia="宋体" w:cs="宋体"/>
          <w:color w:val="FF0000"/>
          <w:lang w:val="en-US" w:eastAsia="zh-CN"/>
        </w:rPr>
      </w:pPr>
      <w:r>
        <w:rPr>
          <w:rFonts w:hint="eastAsia" w:cs="宋体"/>
          <w:color w:val="FF0000"/>
          <w:lang w:val="en-US" w:eastAsia="zh-CN"/>
        </w:rPr>
        <w:t>5）本项目不接受进口产品。</w:t>
      </w:r>
    </w:p>
    <w:p w14:paraId="636F4B1C">
      <w:pPr>
        <w:pStyle w:val="13"/>
        <w:spacing w:line="240" w:lineRule="auto"/>
        <w:ind w:left="0" w:leftChars="0"/>
        <w:rPr>
          <w:rFonts w:hint="default" w:cs="宋体"/>
          <w:b/>
          <w:bCs/>
          <w:lang w:val="en-US" w:eastAsia="zh-CN"/>
        </w:rPr>
      </w:pPr>
      <w:r>
        <w:rPr>
          <w:rFonts w:hint="eastAsia" w:cs="宋体"/>
          <w:b/>
          <w:bCs/>
          <w:lang w:val="en-US" w:eastAsia="zh-CN"/>
        </w:rPr>
        <w:t>2、投标产品资格要求</w:t>
      </w:r>
    </w:p>
    <w:p w14:paraId="26B5E0B8">
      <w:pPr>
        <w:pStyle w:val="13"/>
        <w:spacing w:line="240" w:lineRule="auto"/>
        <w:ind w:left="0" w:leftChars="0"/>
        <w:rPr>
          <w:rFonts w:hint="default" w:cs="宋体"/>
          <w:lang w:val="en-US" w:eastAsia="zh-CN"/>
        </w:rPr>
      </w:pPr>
      <w:r>
        <w:rPr>
          <w:rFonts w:hint="eastAsia" w:cs="宋体"/>
          <w:lang w:val="en-US" w:eastAsia="zh-CN"/>
        </w:rPr>
        <w:t>1）本项目支持创新产品、节能优化产品、环境标识产品、中小企业发展等政府采购政策。</w:t>
      </w:r>
    </w:p>
    <w:p w14:paraId="34FB1FD6">
      <w:pPr>
        <w:pStyle w:val="13"/>
        <w:spacing w:line="240" w:lineRule="auto"/>
        <w:ind w:left="0" w:leftChars="0"/>
        <w:rPr>
          <w:rFonts w:hint="eastAsia"/>
        </w:rPr>
      </w:pPr>
      <w:r>
        <w:rPr>
          <w:rFonts w:hint="eastAsia"/>
          <w:lang w:val="en-US" w:eastAsia="zh-CN"/>
        </w:rPr>
        <w:t>2）</w:t>
      </w:r>
      <w:r>
        <w:rPr>
          <w:rFonts w:hint="eastAsia"/>
        </w:rPr>
        <w:t>投标人所投产品要求包含以下相关证件：</w:t>
      </w:r>
      <w:r>
        <w:rPr>
          <w:rFonts w:hint="eastAsia"/>
          <w:highlight w:val="yellow"/>
        </w:rPr>
        <w:t>投标公司的《医疗器械经营许可证》、生产厂家的《医疗器械生产许可证》（国外产品可不提供）、</w:t>
      </w:r>
      <w:r>
        <w:rPr>
          <w:rFonts w:hint="eastAsia"/>
          <w:highlight w:val="yellow"/>
          <w:lang w:eastAsia="zh-CN"/>
        </w:rPr>
        <w:t>设备</w:t>
      </w:r>
      <w:r>
        <w:rPr>
          <w:rFonts w:hint="eastAsia"/>
          <w:highlight w:val="yellow"/>
        </w:rPr>
        <w:t>的《中华人民共和国医疗器械注册证》</w:t>
      </w:r>
    </w:p>
    <w:p w14:paraId="26F6C95F">
      <w:pPr>
        <w:pStyle w:val="13"/>
        <w:spacing w:line="240" w:lineRule="auto"/>
        <w:ind w:left="0" w:leftChars="0"/>
        <w:rPr>
          <w:rFonts w:hint="eastAsia"/>
        </w:rPr>
      </w:pPr>
      <w:r>
        <w:rPr>
          <w:rFonts w:hint="eastAsia"/>
          <w:b/>
          <w:bCs/>
        </w:rPr>
        <w:t>3、售后服务和</w:t>
      </w:r>
      <w:r>
        <w:rPr>
          <w:rFonts w:hint="eastAsia"/>
          <w:b/>
          <w:bCs/>
          <w:lang w:val="en-US" w:eastAsia="zh-CN"/>
        </w:rPr>
        <w:t>资质</w:t>
      </w:r>
    </w:p>
    <w:p w14:paraId="6A4B446E">
      <w:pPr>
        <w:pStyle w:val="13"/>
        <w:spacing w:line="240" w:lineRule="auto"/>
        <w:ind w:left="0" w:leftChars="0"/>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厂家须设有24小时免费服务电话，成交供应商应提供常驻广西维保人员名单、联系电话等</w:t>
      </w:r>
      <w:r>
        <w:rPr>
          <w:rFonts w:hint="eastAsia" w:ascii="宋体" w:hAnsi="宋体"/>
          <w:lang w:eastAsia="zh-CN"/>
        </w:rPr>
        <w:t>。</w:t>
      </w:r>
    </w:p>
    <w:p w14:paraId="49C351C2">
      <w:pPr>
        <w:pStyle w:val="13"/>
        <w:spacing w:line="240" w:lineRule="auto"/>
        <w:ind w:left="0" w:leftChars="0"/>
        <w:rPr>
          <w:rFonts w:hint="eastAsia"/>
        </w:rPr>
      </w:pPr>
      <w:r>
        <w:rPr>
          <w:rFonts w:hint="eastAsia"/>
          <w:lang w:val="en-US" w:eastAsia="zh-CN"/>
        </w:rPr>
        <w:t>2）</w:t>
      </w:r>
      <w:r>
        <w:rPr>
          <w:rFonts w:hint="eastAsia"/>
        </w:rPr>
        <w:t>维修备件必须是原厂备件。</w:t>
      </w:r>
    </w:p>
    <w:p w14:paraId="3309615C">
      <w:pPr>
        <w:pStyle w:val="13"/>
        <w:spacing w:line="240" w:lineRule="auto"/>
        <w:ind w:left="0" w:leftChars="0"/>
        <w:rPr>
          <w:rFonts w:hint="eastAsia"/>
        </w:rPr>
      </w:pPr>
      <w:r>
        <w:rPr>
          <w:rFonts w:hint="eastAsia"/>
          <w:lang w:val="en-US" w:eastAsia="zh-CN"/>
        </w:rPr>
        <w:t>3）</w:t>
      </w:r>
      <w:r>
        <w:rPr>
          <w:rFonts w:hint="eastAsia"/>
        </w:rPr>
        <w:t>质保期：设备安装完毕通过验收投入使用之日</w:t>
      </w:r>
      <w:r>
        <w:rPr>
          <w:rFonts w:hint="eastAsia"/>
          <w:lang w:eastAsia="zh-CN"/>
        </w:rPr>
        <w:t>起</w:t>
      </w:r>
      <w:r>
        <w:rPr>
          <w:rFonts w:hint="eastAsia"/>
        </w:rPr>
        <w:t>不少于</w:t>
      </w:r>
      <w:r>
        <w:rPr>
          <w:rFonts w:hint="eastAsia"/>
          <w:lang w:val="en-US" w:eastAsia="zh-CN"/>
        </w:rPr>
        <w:t>1</w:t>
      </w:r>
      <w:r>
        <w:rPr>
          <w:rFonts w:hint="eastAsia"/>
        </w:rPr>
        <w:t>年。</w:t>
      </w:r>
    </w:p>
    <w:p w14:paraId="36E10A0B">
      <w:pPr>
        <w:pStyle w:val="13"/>
        <w:spacing w:line="240" w:lineRule="auto"/>
        <w:ind w:left="0" w:leftChars="0"/>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3DD97080">
      <w:pPr>
        <w:pStyle w:val="13"/>
        <w:spacing w:line="240" w:lineRule="auto"/>
        <w:ind w:left="0" w:leftChars="0" w:firstLine="0" w:firstLineChars="0"/>
        <w:rPr>
          <w:rFonts w:hint="eastAsia" w:cs="宋体"/>
          <w:kern w:val="0"/>
          <w:sz w:val="24"/>
          <w:szCs w:val="24"/>
        </w:rPr>
      </w:pPr>
      <w:r>
        <w:rPr>
          <w:rFonts w:hint="eastAsia"/>
          <w:lang w:val="en-US" w:eastAsia="zh-CN"/>
        </w:rPr>
        <w:t>5）</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02636F2B">
      <w:pPr>
        <w:pStyle w:val="13"/>
        <w:spacing w:line="240" w:lineRule="auto"/>
        <w:ind w:left="0" w:leftChars="0" w:firstLine="0" w:firstLineChars="0"/>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rPr>
        <w:t>广西壮族自治区桂东人民医院</w:t>
      </w:r>
      <w:r>
        <w:rPr>
          <w:kern w:val="0"/>
          <w:sz w:val="24"/>
          <w:szCs w:val="24"/>
        </w:rPr>
        <w:t xml:space="preserve">   </w:t>
      </w:r>
    </w:p>
    <w:p w14:paraId="4F80D858">
      <w:pPr>
        <w:pStyle w:val="13"/>
        <w:spacing w:line="240" w:lineRule="auto"/>
        <w:ind w:left="0" w:leftChars="0" w:firstLine="0" w:firstLineChars="0"/>
        <w:rPr>
          <w:kern w:val="0"/>
          <w:sz w:val="24"/>
          <w:szCs w:val="24"/>
        </w:rPr>
      </w:pPr>
      <w:r>
        <w:rPr>
          <w:kern w:val="0"/>
          <w:sz w:val="24"/>
          <w:szCs w:val="24"/>
        </w:rPr>
        <w:t xml:space="preserve">  </w:t>
      </w:r>
    </w:p>
    <w:p w14:paraId="0FA158CE">
      <w:pPr>
        <w:pStyle w:val="13"/>
        <w:spacing w:line="240" w:lineRule="auto"/>
        <w:ind w:left="0" w:leftChars="0" w:firstLine="0" w:firstLineChars="0"/>
        <w:rPr>
          <w:rFonts w:hint="eastAsia"/>
          <w:b/>
          <w:bCs/>
          <w:kern w:val="0"/>
          <w:sz w:val="24"/>
          <w:szCs w:val="24"/>
          <w:lang w:val="en-US" w:eastAsia="zh-CN"/>
        </w:rPr>
      </w:pPr>
      <w:r>
        <w:rPr>
          <w:rFonts w:hint="eastAsia"/>
          <w:b/>
          <w:bCs/>
          <w:kern w:val="0"/>
          <w:sz w:val="24"/>
          <w:szCs w:val="24"/>
          <w:lang w:val="en-US" w:eastAsia="zh-CN"/>
        </w:rPr>
        <w:t>7）</w:t>
      </w:r>
      <w:r>
        <w:rPr>
          <w:rFonts w:hint="eastAsia"/>
          <w:b w:val="0"/>
          <w:bCs w:val="0"/>
          <w:kern w:val="0"/>
          <w:sz w:val="24"/>
          <w:szCs w:val="24"/>
          <w:lang w:val="en-US" w:eastAsia="zh-CN"/>
        </w:rPr>
        <w:t>付款条件（进度和方式）：</w:t>
      </w:r>
    </w:p>
    <w:p w14:paraId="3B1B75E6">
      <w:pPr>
        <w:widowControl/>
        <w:spacing w:line="240" w:lineRule="auto"/>
        <w:ind w:left="0" w:leftChars="0" w:firstLine="0" w:firstLineChars="0"/>
        <w:jc w:val="left"/>
        <w:rPr>
          <w:rFonts w:hint="eastAsia" w:cs="宋体"/>
          <w:kern w:val="0"/>
          <w:sz w:val="24"/>
          <w:szCs w:val="24"/>
          <w:lang w:eastAsia="zh-CN"/>
        </w:rPr>
      </w:pPr>
      <w:r>
        <w:rPr>
          <w:rFonts w:hint="eastAsia" w:cs="宋体"/>
          <w:kern w:val="0"/>
          <w:sz w:val="24"/>
          <w:szCs w:val="24"/>
          <w:lang w:eastAsia="zh-CN"/>
        </w:rPr>
        <w:t>分期付款：</w:t>
      </w:r>
      <w:r>
        <w:rPr>
          <w:rFonts w:hint="eastAsia" w:cs="宋体"/>
          <w:kern w:val="0"/>
          <w:sz w:val="24"/>
          <w:szCs w:val="24"/>
        </w:rPr>
        <w:t>签订合同后，全部货物到达指定地点、安装调试并验收合格后，凭双方签署验收合格书，</w:t>
      </w:r>
      <w:r>
        <w:rPr>
          <w:rFonts w:hint="eastAsia" w:cs="宋体"/>
          <w:kern w:val="0"/>
          <w:sz w:val="24"/>
          <w:szCs w:val="24"/>
          <w:lang w:eastAsia="zh-CN"/>
        </w:rPr>
        <w:t>甲方按照政府规定时间内支付，</w:t>
      </w:r>
      <w:r>
        <w:rPr>
          <w:rFonts w:hint="eastAsia" w:cs="宋体"/>
          <w:kern w:val="0"/>
          <w:sz w:val="24"/>
          <w:szCs w:val="24"/>
        </w:rPr>
        <w:t>第一期：甲方支付合同总金额的90%</w:t>
      </w:r>
      <w:r>
        <w:rPr>
          <w:rFonts w:hint="eastAsia" w:cs="宋体"/>
          <w:kern w:val="0"/>
          <w:sz w:val="24"/>
          <w:szCs w:val="24"/>
          <w:lang w:val="en-US" w:eastAsia="zh-CN"/>
        </w:rPr>
        <w:t xml:space="preserve"> ；</w:t>
      </w:r>
      <w:r>
        <w:rPr>
          <w:rFonts w:hint="eastAsia" w:cs="宋体"/>
          <w:kern w:val="0"/>
          <w:sz w:val="24"/>
          <w:szCs w:val="24"/>
        </w:rPr>
        <w:t>第二期：交付后十二个月，经乙方书面申请，甲方支付合同总金额的 10%（不计利息）。</w:t>
      </w:r>
    </w:p>
    <w:p w14:paraId="32DF01DC">
      <w:pPr>
        <w:widowControl/>
        <w:spacing w:line="240" w:lineRule="auto"/>
        <w:ind w:left="0" w:leftChars="0" w:firstLine="0" w:firstLineChars="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240" w:lineRule="auto"/>
        <w:ind w:left="0" w:leftChars="0" w:firstLine="0" w:firstLineChars="0"/>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6BDC4D1C">
      <w:pPr>
        <w:widowControl/>
        <w:spacing w:line="240" w:lineRule="auto"/>
        <w:ind w:left="0" w:leftChars="0" w:firstLine="0" w:firstLineChars="0"/>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2</w:t>
          </w:r>
          <w:r>
            <w:rPr>
              <w:rFonts w:hint="eastAsia" w:cs="宋体"/>
              <w:color w:val="FF0000"/>
              <w:kern w:val="0"/>
              <w:sz w:val="24"/>
              <w:szCs w:val="24"/>
              <w:u w:val="single"/>
              <w:lang w:val="en-US" w:eastAsia="zh-CN"/>
            </w:rPr>
            <w:t>5</w:t>
          </w:r>
        </w:sdtContent>
      </w:sdt>
      <w:r>
        <w:rPr>
          <w:rFonts w:hint="eastAsia" w:cs="宋体"/>
          <w:kern w:val="0"/>
          <w:sz w:val="24"/>
          <w:szCs w:val="24"/>
          <w:lang w:val="en-US" w:eastAsia="zh-CN"/>
        </w:rPr>
        <w:t>日</w:t>
      </w:r>
      <w:r>
        <w:rPr>
          <w:rFonts w:hint="eastAsia" w:cs="宋体"/>
          <w:kern w:val="0"/>
          <w:sz w:val="24"/>
          <w:szCs w:val="24"/>
        </w:rPr>
        <w:t>内签订采购合同。</w:t>
      </w:r>
    </w:p>
    <w:p w14:paraId="366019AB">
      <w:pPr>
        <w:widowControl/>
        <w:spacing w:line="240" w:lineRule="auto"/>
        <w:ind w:left="0" w:leftChars="0" w:firstLine="0" w:firstLineChars="0"/>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14:paraId="533AED8C">
      <w:pPr>
        <w:pStyle w:val="13"/>
        <w:spacing w:line="240" w:lineRule="auto"/>
        <w:ind w:left="0" w:leftChars="0" w:firstLine="0" w:firstLineChars="0"/>
      </w:pPr>
    </w:p>
    <w:p w14:paraId="35446E37">
      <w:pPr>
        <w:widowControl/>
        <w:spacing w:line="240" w:lineRule="auto"/>
        <w:ind w:left="0" w:leftChars="0" w:firstLine="0" w:firstLineChars="0"/>
        <w:jc w:val="center"/>
        <w:rPr>
          <w:rFonts w:hint="eastAsia" w:cs="宋体"/>
          <w:b/>
          <w:bCs/>
          <w:kern w:val="0"/>
          <w:sz w:val="38"/>
          <w:szCs w:val="38"/>
        </w:rPr>
      </w:pPr>
    </w:p>
    <w:p w14:paraId="74112FAD">
      <w:pPr>
        <w:widowControl/>
        <w:spacing w:line="240" w:lineRule="auto"/>
        <w:ind w:left="0" w:leftChars="0" w:firstLine="0" w:firstLineChars="0"/>
        <w:jc w:val="center"/>
        <w:rPr>
          <w:rFonts w:hint="eastAsia" w:cs="宋体"/>
          <w:b/>
          <w:bCs/>
          <w:kern w:val="0"/>
          <w:sz w:val="38"/>
          <w:szCs w:val="38"/>
        </w:rPr>
      </w:pPr>
    </w:p>
    <w:p w14:paraId="13B45921">
      <w:pPr>
        <w:pStyle w:val="13"/>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C655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B7C3B">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9B7C3B">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DC74F">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51450E"/>
    <w:rsid w:val="019C5EFA"/>
    <w:rsid w:val="01CB43E2"/>
    <w:rsid w:val="02615DF0"/>
    <w:rsid w:val="03B56736"/>
    <w:rsid w:val="05CD5D86"/>
    <w:rsid w:val="08A229BD"/>
    <w:rsid w:val="0A795D65"/>
    <w:rsid w:val="0A7B4003"/>
    <w:rsid w:val="0B4107BB"/>
    <w:rsid w:val="0C0555AD"/>
    <w:rsid w:val="0CC05EEA"/>
    <w:rsid w:val="0CF87B8D"/>
    <w:rsid w:val="0D5A61F8"/>
    <w:rsid w:val="0EE54141"/>
    <w:rsid w:val="0F056A81"/>
    <w:rsid w:val="0F0C791F"/>
    <w:rsid w:val="10C97A40"/>
    <w:rsid w:val="122B15C9"/>
    <w:rsid w:val="12C97D37"/>
    <w:rsid w:val="1380268A"/>
    <w:rsid w:val="16041350"/>
    <w:rsid w:val="166F4544"/>
    <w:rsid w:val="16D94AA7"/>
    <w:rsid w:val="170D692B"/>
    <w:rsid w:val="1A8803DD"/>
    <w:rsid w:val="1E717D6F"/>
    <w:rsid w:val="1FC019CA"/>
    <w:rsid w:val="21B710F4"/>
    <w:rsid w:val="2218153E"/>
    <w:rsid w:val="25773183"/>
    <w:rsid w:val="25BE7C97"/>
    <w:rsid w:val="26431704"/>
    <w:rsid w:val="26CD4569"/>
    <w:rsid w:val="27464455"/>
    <w:rsid w:val="27D01D3D"/>
    <w:rsid w:val="28110468"/>
    <w:rsid w:val="293A4A87"/>
    <w:rsid w:val="2A581813"/>
    <w:rsid w:val="2B796ACB"/>
    <w:rsid w:val="2E44559E"/>
    <w:rsid w:val="2E6A3E2C"/>
    <w:rsid w:val="30C1088E"/>
    <w:rsid w:val="311834AF"/>
    <w:rsid w:val="312C5E7F"/>
    <w:rsid w:val="318469E5"/>
    <w:rsid w:val="3194337D"/>
    <w:rsid w:val="346C65E7"/>
    <w:rsid w:val="3737378F"/>
    <w:rsid w:val="3806606D"/>
    <w:rsid w:val="397701BE"/>
    <w:rsid w:val="3B546CEC"/>
    <w:rsid w:val="3D617570"/>
    <w:rsid w:val="3D7529B0"/>
    <w:rsid w:val="3F8769CB"/>
    <w:rsid w:val="408B62BD"/>
    <w:rsid w:val="41366ED0"/>
    <w:rsid w:val="459238B7"/>
    <w:rsid w:val="45D264C6"/>
    <w:rsid w:val="463A13A1"/>
    <w:rsid w:val="472775C9"/>
    <w:rsid w:val="47E66258"/>
    <w:rsid w:val="48D85C25"/>
    <w:rsid w:val="49CA7BE0"/>
    <w:rsid w:val="4C1C5576"/>
    <w:rsid w:val="4C3D6D8F"/>
    <w:rsid w:val="4D3F1B90"/>
    <w:rsid w:val="4D442BFB"/>
    <w:rsid w:val="4D781BD4"/>
    <w:rsid w:val="4DA009DA"/>
    <w:rsid w:val="4DA97E72"/>
    <w:rsid w:val="4DB9683E"/>
    <w:rsid w:val="50502E0F"/>
    <w:rsid w:val="51794369"/>
    <w:rsid w:val="51B2246F"/>
    <w:rsid w:val="539906F6"/>
    <w:rsid w:val="54A6749B"/>
    <w:rsid w:val="579637F7"/>
    <w:rsid w:val="589150FF"/>
    <w:rsid w:val="5A7871E4"/>
    <w:rsid w:val="5BCC10AC"/>
    <w:rsid w:val="5D1A4465"/>
    <w:rsid w:val="5D3427C6"/>
    <w:rsid w:val="5FFD63C3"/>
    <w:rsid w:val="62D671DC"/>
    <w:rsid w:val="65706B30"/>
    <w:rsid w:val="66E55C01"/>
    <w:rsid w:val="67EF0C5A"/>
    <w:rsid w:val="690E5E3C"/>
    <w:rsid w:val="6A513DD5"/>
    <w:rsid w:val="6B6B7413"/>
    <w:rsid w:val="6B826114"/>
    <w:rsid w:val="6BF540D9"/>
    <w:rsid w:val="6BF55E34"/>
    <w:rsid w:val="6DD0797D"/>
    <w:rsid w:val="6E1A0EFE"/>
    <w:rsid w:val="71754026"/>
    <w:rsid w:val="71DF07A5"/>
    <w:rsid w:val="73AD2CF3"/>
    <w:rsid w:val="74367E4E"/>
    <w:rsid w:val="74B5471E"/>
    <w:rsid w:val="762A1882"/>
    <w:rsid w:val="76FA1255"/>
    <w:rsid w:val="77781E5D"/>
    <w:rsid w:val="77E41C8F"/>
    <w:rsid w:val="77FF632E"/>
    <w:rsid w:val="7A1C6771"/>
    <w:rsid w:val="7B036868"/>
    <w:rsid w:val="7CA915F3"/>
    <w:rsid w:val="7D384885"/>
    <w:rsid w:val="7F1906E6"/>
    <w:rsid w:val="7F2C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Plain Text"/>
    <w:basedOn w:val="1"/>
    <w:link w:val="17"/>
    <w:qFormat/>
    <w:uiPriority w:val="99"/>
    <w:rPr>
      <w:rFonts w:ascii="宋体" w:hAnsi="Courier New"/>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annotation reference"/>
    <w:semiHidden/>
    <w:qFormat/>
    <w:uiPriority w:val="99"/>
    <w:rPr>
      <w:sz w:val="21"/>
      <w:szCs w:val="21"/>
    </w:rPr>
  </w:style>
  <w:style w:type="paragraph" w:customStyle="1" w:styleId="12">
    <w:name w:val="表格文字"/>
    <w:basedOn w:val="1"/>
    <w:qFormat/>
    <w:uiPriority w:val="0"/>
    <w:pPr>
      <w:spacing w:before="25" w:after="25"/>
      <w:jc w:val="left"/>
    </w:pPr>
    <w:rPr>
      <w:rFonts w:ascii="Calibri" w:hAnsi="Calibri"/>
      <w:bCs/>
      <w:spacing w:val="10"/>
      <w:kern w:val="0"/>
      <w:sz w:val="24"/>
      <w:szCs w:val="20"/>
    </w:rPr>
  </w:style>
  <w:style w:type="paragraph" w:customStyle="1" w:styleId="13">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4">
    <w:name w:val="批注文字 字符"/>
    <w:basedOn w:val="9"/>
    <w:qFormat/>
    <w:uiPriority w:val="99"/>
    <w:rPr>
      <w:rFonts w:ascii="Times New Roman" w:hAnsi="Times New Roman" w:eastAsia="宋体" w:cs="Times New Roman"/>
      <w:szCs w:val="21"/>
    </w:rPr>
  </w:style>
  <w:style w:type="character" w:customStyle="1" w:styleId="15">
    <w:name w:val="批注文字 字符1"/>
    <w:link w:val="2"/>
    <w:semiHidden/>
    <w:qFormat/>
    <w:uiPriority w:val="99"/>
    <w:rPr>
      <w:rFonts w:ascii="Times New Roman" w:hAnsi="Times New Roman" w:eastAsia="宋体" w:cs="Times New Roman"/>
      <w:szCs w:val="21"/>
    </w:rPr>
  </w:style>
  <w:style w:type="character" w:customStyle="1" w:styleId="16">
    <w:name w:val="批注主题 字符"/>
    <w:basedOn w:val="15"/>
    <w:link w:val="6"/>
    <w:semiHidden/>
    <w:qFormat/>
    <w:uiPriority w:val="99"/>
    <w:rPr>
      <w:rFonts w:ascii="Times New Roman" w:hAnsi="Times New Roman" w:eastAsia="宋体" w:cs="Times New Roman"/>
      <w:b/>
      <w:bCs/>
      <w:szCs w:val="21"/>
    </w:rPr>
  </w:style>
  <w:style w:type="character" w:customStyle="1" w:styleId="17">
    <w:name w:val="纯文本 字符"/>
    <w:basedOn w:val="9"/>
    <w:link w:val="3"/>
    <w:qFormat/>
    <w:uiPriority w:val="99"/>
    <w:rPr>
      <w:rFonts w:ascii="宋体" w:hAnsi="Courier New" w:eastAsia="宋体" w:cs="Times New Roman"/>
      <w:szCs w:val="21"/>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字符"/>
    <w:basedOn w:val="9"/>
    <w:link w:val="5"/>
    <w:qFormat/>
    <w:uiPriority w:val="99"/>
    <w:rPr>
      <w:rFonts w:ascii="Times New Roman" w:hAnsi="Times New Roman" w:eastAsia="宋体" w:cs="Times New Roman"/>
      <w:sz w:val="18"/>
      <w:szCs w:val="18"/>
    </w:rPr>
  </w:style>
  <w:style w:type="character" w:customStyle="1" w:styleId="20">
    <w:name w:val="页脚 字符"/>
    <w:basedOn w:val="9"/>
    <w:link w:val="4"/>
    <w:qFormat/>
    <w:uiPriority w:val="99"/>
    <w:rPr>
      <w:rFonts w:ascii="Times New Roman" w:hAnsi="Times New Roman" w:eastAsia="宋体" w:cs="Times New Roman"/>
      <w:sz w:val="18"/>
      <w:szCs w:val="18"/>
    </w:rPr>
  </w:style>
  <w:style w:type="character" w:styleId="21">
    <w:name w:val="Placeholder Text"/>
    <w:basedOn w:val="9"/>
    <w:semiHidden/>
    <w:qFormat/>
    <w:uiPriority w:val="99"/>
    <w:rPr>
      <w:color w:val="808080"/>
    </w:rPr>
  </w:style>
  <w:style w:type="paragraph" w:customStyle="1" w:styleId="22">
    <w:name w:val="样式1"/>
    <w:basedOn w:val="1"/>
    <w:qFormat/>
    <w:uiPriority w:val="0"/>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1803</Words>
  <Characters>1921</Characters>
  <Lines>26</Lines>
  <Paragraphs>7</Paragraphs>
  <TotalTime>8</TotalTime>
  <ScaleCrop>false</ScaleCrop>
  <LinksUpToDate>false</LinksUpToDate>
  <CharactersWithSpaces>1948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2025-03-19T07:40:00Z</cp:lastPrinted>
  <dcterms:modified xsi:type="dcterms:W3CDTF">2025-06-27T03:21:11Z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B1C8ADB6A08C49D88EF48001F8D355A1_13</vt:lpwstr>
  </property>
  <property fmtid="{D5CDD505-2E9C-101B-9397-08002B2CF9AE}" pid="4" name="KSOTemplateDocerSaveRecord">
    <vt:lpwstr>eyJoZGlkIjoiMWEyYmY4MjA0MzAxNjIyZGNjMDk1MmY5N2E0MzMwOWEiLCJ1c2VySWQiOiI1OTI0NDY0NDUifQ==</vt:lpwstr>
  </property>
</Properties>
</file>