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55AF6">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4EFD49B2">
      <w:pPr>
        <w:pStyle w:val="11"/>
        <w:ind w:left="-500" w:leftChars="-238" w:firstLine="479" w:firstLineChars="199"/>
        <w:rPr>
          <w:rFonts w:hint="eastAsia"/>
          <w:color w:val="000000" w:themeColor="text1"/>
          <w:sz w:val="24"/>
          <w:szCs w:val="24"/>
          <w:lang w:eastAsia="zh-CN"/>
          <w14:textFill>
            <w14:solidFill>
              <w14:schemeClr w14:val="tx1"/>
            </w14:solidFill>
          </w14:textFill>
        </w:rPr>
      </w:pPr>
      <w:r>
        <w:rPr>
          <w:rFonts w:hint="eastAsia"/>
          <w:b/>
          <w:bCs/>
          <w:color w:val="000000" w:themeColor="text1"/>
          <w:sz w:val="24"/>
          <w:szCs w:val="24"/>
          <w14:textFill>
            <w14:solidFill>
              <w14:schemeClr w14:val="tx1"/>
            </w14:solidFill>
          </w14:textFill>
        </w:rPr>
        <w:t>★ 部分为核心参数</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不满足</w:t>
      </w:r>
      <w:r>
        <w:rPr>
          <w:rFonts w:hint="eastAsia"/>
          <w:color w:val="000000" w:themeColor="text1"/>
          <w:sz w:val="24"/>
          <w:szCs w:val="24"/>
          <w:lang w:eastAsia="zh-CN"/>
          <w14:textFill>
            <w14:solidFill>
              <w14:schemeClr w14:val="tx1"/>
            </w14:solidFill>
          </w14:textFill>
        </w:rPr>
        <w:t>或不应标则投标</w:t>
      </w:r>
      <w:r>
        <w:rPr>
          <w:rFonts w:hint="eastAsia"/>
          <w:color w:val="000000" w:themeColor="text1"/>
          <w:sz w:val="24"/>
          <w:szCs w:val="24"/>
          <w14:textFill>
            <w14:solidFill>
              <w14:schemeClr w14:val="tx1"/>
            </w14:solidFill>
          </w14:textFill>
        </w:rPr>
        <w:t>视为无效投标</w:t>
      </w:r>
      <w:r>
        <w:rPr>
          <w:rFonts w:hint="eastAsia"/>
          <w:color w:val="000000" w:themeColor="text1"/>
          <w:sz w:val="24"/>
          <w:szCs w:val="24"/>
          <w:lang w:eastAsia="zh-CN"/>
          <w14:textFill>
            <w14:solidFill>
              <w14:schemeClr w14:val="tx1"/>
            </w14:solidFill>
          </w14:textFill>
        </w:rPr>
        <w:t>；</w:t>
      </w:r>
    </w:p>
    <w:p w14:paraId="61914714">
      <w:pPr>
        <w:tabs>
          <w:tab w:val="left" w:pos="7125"/>
        </w:tabs>
        <w:autoSpaceDE w:val="0"/>
        <w:autoSpaceDN w:val="0"/>
        <w:adjustRightInd w:val="0"/>
        <w:spacing w:line="340" w:lineRule="exact"/>
        <w:jc w:val="both"/>
        <w:rPr>
          <w:rStyle w:val="20"/>
          <w:rFonts w:hint="default" w:asciiTheme="minorHAnsi" w:hAnsiTheme="minorHAnsi" w:eastAsiaTheme="minorEastAsia" w:cstheme="minorBidi"/>
          <w:b/>
          <w:bCs/>
          <w:color w:val="auto"/>
          <w:sz w:val="28"/>
          <w:szCs w:val="28"/>
          <w:u w:val="none"/>
          <w:lang w:val="en-US" w:eastAsia="zh-CN"/>
        </w:rPr>
      </w:pPr>
      <w:r>
        <w:rPr>
          <w:rStyle w:val="20"/>
          <w:rFonts w:hint="eastAsia" w:asciiTheme="minorHAnsi" w:hAnsiTheme="minorHAnsi" w:eastAsiaTheme="minorEastAsia" w:cstheme="minorBidi"/>
          <w:b/>
          <w:bCs/>
          <w:color w:val="auto"/>
          <w:sz w:val="28"/>
          <w:szCs w:val="28"/>
          <w:u w:val="none"/>
          <w:lang w:val="en-US" w:eastAsia="zh-CN"/>
        </w:rPr>
        <w:t>一、膀胱神经和肌肉电刺激仪1套具体参数要求</w:t>
      </w:r>
    </w:p>
    <w:p w14:paraId="0548432D">
      <w:pPr>
        <w:rPr>
          <w:b w:val="0"/>
          <w:bCs/>
        </w:rPr>
      </w:pPr>
    </w:p>
    <w:p w14:paraId="0023BA72">
      <w:pPr>
        <w:rPr>
          <w:b w:val="0"/>
          <w:bCs/>
        </w:rPr>
      </w:pPr>
      <w:r>
        <w:drawing>
          <wp:inline distT="0" distB="0" distL="114300" distR="114300">
            <wp:extent cx="5667375" cy="7382510"/>
            <wp:effectExtent l="0" t="0" r="952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667375" cy="7382510"/>
                    </a:xfrm>
                    <a:prstGeom prst="rect">
                      <a:avLst/>
                    </a:prstGeom>
                    <a:noFill/>
                    <a:ln>
                      <a:noFill/>
                    </a:ln>
                  </pic:spPr>
                </pic:pic>
              </a:graphicData>
            </a:graphic>
          </wp:inline>
        </w:drawing>
      </w:r>
    </w:p>
    <w:p w14:paraId="2611AA92">
      <w:pPr>
        <w:rPr>
          <w:b w:val="0"/>
          <w:bCs/>
        </w:rPr>
      </w:pPr>
    </w:p>
    <w:p w14:paraId="031AB961">
      <w:pPr>
        <w:widowControl/>
        <w:numPr>
          <w:ilvl w:val="0"/>
          <w:numId w:val="0"/>
        </w:numPr>
        <w:spacing w:line="360" w:lineRule="auto"/>
        <w:jc w:val="left"/>
        <w:rPr>
          <w:rFonts w:cs="宋体"/>
          <w:b/>
          <w:bCs/>
          <w:color w:val="000000"/>
          <w:kern w:val="0"/>
          <w:sz w:val="24"/>
          <w:szCs w:val="24"/>
        </w:rPr>
      </w:pPr>
      <w:r>
        <w:rPr>
          <w:rFonts w:hint="eastAsia"/>
          <w:lang w:val="en-US" w:eastAsia="zh-CN"/>
        </w:rPr>
        <w:t>二、</w:t>
      </w:r>
      <w:r>
        <w:rPr>
          <w:rFonts w:hint="eastAsia" w:cs="宋体"/>
          <w:b/>
          <w:bCs/>
          <w:color w:val="000000"/>
          <w:kern w:val="0"/>
          <w:sz w:val="24"/>
          <w:szCs w:val="24"/>
          <w:lang w:val="en-US" w:eastAsia="zh-CN"/>
        </w:rPr>
        <w:t>项目产品</w:t>
      </w:r>
      <w:r>
        <w:rPr>
          <w:rFonts w:hint="eastAsia" w:cs="宋体"/>
          <w:b/>
          <w:bCs/>
          <w:color w:val="000000"/>
          <w:kern w:val="0"/>
          <w:sz w:val="24"/>
          <w:szCs w:val="24"/>
        </w:rPr>
        <w:t>基本要求</w:t>
      </w:r>
    </w:p>
    <w:p w14:paraId="7F9E0445">
      <w:pPr>
        <w:pStyle w:val="11"/>
        <w:ind w:left="-708" w:leftChars="-337"/>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14:paraId="724C088B">
      <w:pPr>
        <w:pStyle w:val="11"/>
        <w:ind w:left="-708" w:leftChars="-337"/>
        <w:rPr>
          <w:color w:val="auto"/>
        </w:rPr>
      </w:pPr>
      <w:r>
        <w:rPr>
          <w:rFonts w:hint="eastAsia"/>
          <w:color w:val="auto"/>
        </w:rPr>
        <w:t>2、投标人所投产品参数应同等或优于以上各项参数要求，产品、辅材及生产工艺符合国家相关规范。</w:t>
      </w:r>
    </w:p>
    <w:p w14:paraId="62ED69AC">
      <w:pPr>
        <w:pStyle w:val="11"/>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14:paraId="6C89FF25">
      <w:pPr>
        <w:pStyle w:val="11"/>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14:paraId="544401A4">
      <w:pPr>
        <w:pStyle w:val="11"/>
        <w:ind w:left="-708" w:leftChars="-337"/>
        <w:rPr>
          <w:rFonts w:hint="eastAsia"/>
          <w:color w:val="auto"/>
        </w:rPr>
      </w:pPr>
      <w:r>
        <w:rPr>
          <w:rFonts w:hint="eastAsia"/>
          <w:color w:val="auto"/>
        </w:rPr>
        <w:t>5、</w:t>
      </w:r>
      <w:r>
        <w:rPr>
          <w:rFonts w:hint="eastAsia"/>
          <w:color w:val="auto"/>
          <w:lang w:val="en-US" w:eastAsia="zh-CN"/>
        </w:rPr>
        <w:t>投标</w:t>
      </w:r>
      <w:r>
        <w:rPr>
          <w:rFonts w:hint="eastAsia"/>
        </w:rPr>
        <w:t>人在竞价文件中必须提交设备配置清单，如设备有配套耗材及定期更换的配件请投标时与设备一起报价</w:t>
      </w:r>
      <w:r>
        <w:rPr>
          <w:rFonts w:hint="eastAsia"/>
          <w:color w:val="auto"/>
        </w:rPr>
        <w:t>。</w:t>
      </w:r>
    </w:p>
    <w:p w14:paraId="08DCA6C9">
      <w:pPr>
        <w:pStyle w:val="11"/>
        <w:ind w:left="-708" w:leftChars="-337"/>
        <w:rPr>
          <w:rFonts w:hint="eastAsia"/>
        </w:rPr>
      </w:pPr>
      <w:r>
        <w:rPr>
          <w:rFonts w:hint="eastAsia"/>
          <w:color w:val="auto"/>
          <w:lang w:val="en-US" w:eastAsia="zh-CN"/>
        </w:rPr>
        <w:t>6、投标人所投产品必须</w:t>
      </w:r>
      <w:r>
        <w:rPr>
          <w:rFonts w:hint="eastAsia"/>
          <w:color w:val="auto"/>
        </w:rPr>
        <w:t>提供产品“三包”服务；定期安排相关人员回访进行质量跟踪；保证提供临床应用和售后技术服务支持方式；</w:t>
      </w:r>
      <w:r>
        <w:rPr>
          <w:rFonts w:hint="eastAsia"/>
        </w:rPr>
        <w:t>保修期后提供终身维修服务及配件供应；其他售后服务按厂家承诺实行。</w:t>
      </w:r>
    </w:p>
    <w:p w14:paraId="60491C93">
      <w:pPr>
        <w:pStyle w:val="11"/>
        <w:ind w:left="-708" w:leftChars="-337" w:firstLine="482" w:firstLineChars="200"/>
        <w:rPr>
          <w:rFonts w:hint="eastAsia" w:cs="宋体"/>
          <w:b/>
          <w:bCs/>
        </w:rPr>
      </w:pPr>
      <w:r>
        <w:rPr>
          <w:rFonts w:hint="eastAsia" w:cs="宋体"/>
          <w:b/>
          <w:bCs/>
          <w:lang w:val="en-US" w:eastAsia="zh-CN"/>
        </w:rPr>
        <w:t>三、</w:t>
      </w:r>
      <w:r>
        <w:rPr>
          <w:rFonts w:hint="eastAsia" w:cs="宋体"/>
          <w:b/>
          <w:bCs/>
        </w:rPr>
        <w:t>商务要求</w:t>
      </w:r>
    </w:p>
    <w:p w14:paraId="2FA46314">
      <w:pPr>
        <w:pStyle w:val="11"/>
        <w:ind w:left="-708" w:leftChars="-337"/>
        <w:rPr>
          <w:rFonts w:hint="eastAsia" w:cs="宋体"/>
          <w:b/>
          <w:bCs/>
          <w:lang w:val="en-US" w:eastAsia="zh-CN"/>
        </w:rPr>
      </w:pPr>
      <w:r>
        <w:rPr>
          <w:rFonts w:hint="eastAsia" w:cs="宋体"/>
          <w:b/>
          <w:bCs/>
          <w:lang w:val="en-US" w:eastAsia="zh-CN"/>
        </w:rPr>
        <w:t>1、投标人资格要求</w:t>
      </w:r>
    </w:p>
    <w:p w14:paraId="7B98246F">
      <w:pPr>
        <w:pStyle w:val="11"/>
        <w:ind w:left="-708" w:leftChars="-337"/>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（1）必须是符合《中华人民共和国政府采购法》第二十二条之规定的独立法人；（2）经营范围必须与本采购项目实质性相符；</w:t>
      </w:r>
    </w:p>
    <w:p w14:paraId="3FD0B983">
      <w:pPr>
        <w:pStyle w:val="11"/>
        <w:ind w:left="-708" w:leftChars="-337"/>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（3）有固定的经营场所，有适应项目需要的专业技术人员，具备相关项目的供货能力和售后服务能力，具有良好的商业信誉和财务状况；</w:t>
      </w:r>
    </w:p>
    <w:p w14:paraId="40C2B881">
      <w:pPr>
        <w:pStyle w:val="11"/>
        <w:ind w:left="-708" w:leftChars="-337"/>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（4）提供营业执照、税务登记证、组织机构代码证复印件（盖章的），提供法人或被授权代表人身份证复印件；</w:t>
      </w:r>
    </w:p>
    <w:p w14:paraId="2BA46A63">
      <w:pPr>
        <w:pStyle w:val="11"/>
        <w:ind w:left="-708" w:leftChars="-337"/>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（5）参加本次政府采购活动前三年内，没有重大违法、违纪记录的声明；　</w:t>
      </w:r>
    </w:p>
    <w:p w14:paraId="5DA508D7">
      <w:pPr>
        <w:pStyle w:val="11"/>
        <w:ind w:left="-708" w:leftChars="-337"/>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（6）本次招标不接受联合体投标。</w:t>
      </w:r>
    </w:p>
    <w:p w14:paraId="636F4B1C">
      <w:pPr>
        <w:pStyle w:val="11"/>
        <w:ind w:left="-708" w:leftChars="-337"/>
        <w:rPr>
          <w:rFonts w:hint="default" w:cs="宋体"/>
          <w:b/>
          <w:bCs/>
          <w:lang w:val="en-US" w:eastAsia="zh-CN"/>
        </w:rPr>
      </w:pPr>
      <w:r>
        <w:rPr>
          <w:rFonts w:hint="eastAsia" w:cs="宋体"/>
          <w:b/>
          <w:bCs/>
          <w:lang w:val="en-US" w:eastAsia="zh-CN"/>
        </w:rPr>
        <w:t>2、投标产品资格要求</w:t>
      </w:r>
    </w:p>
    <w:p w14:paraId="26B5E0B8">
      <w:pPr>
        <w:pStyle w:val="11"/>
        <w:ind w:left="-708" w:leftChars="-337"/>
        <w:rPr>
          <w:rFonts w:hint="default" w:cs="宋体"/>
          <w:lang w:val="en-US" w:eastAsia="zh-CN"/>
        </w:rPr>
      </w:pPr>
      <w:r>
        <w:rPr>
          <w:rFonts w:hint="eastAsia" w:cs="宋体"/>
          <w:lang w:val="en-US" w:eastAsia="zh-CN"/>
        </w:rPr>
        <w:t>1）本项目支持创新产品、节能优化产品、环境标识产品、中小企业发展等政府采购政策。</w:t>
      </w:r>
    </w:p>
    <w:p w14:paraId="34FB1FD6">
      <w:pPr>
        <w:pStyle w:val="11"/>
        <w:ind w:left="-708" w:leftChars="-337"/>
        <w:rPr>
          <w:rFonts w:hint="eastAsia" w:ascii="Times New Roman" w:hAnsi="Times New Roman" w:eastAsia="宋体" w:cs="宋体"/>
          <w:lang w:val="en-US" w:eastAsia="zh-CN"/>
        </w:rPr>
      </w:pPr>
      <w:r>
        <w:rPr>
          <w:rFonts w:hint="eastAsia"/>
          <w:lang w:val="en-US" w:eastAsia="zh-CN"/>
        </w:rPr>
        <w:t>2）</w:t>
      </w:r>
      <w:r>
        <w:rPr>
          <w:rFonts w:hint="eastAsia"/>
        </w:rPr>
        <w:t>投标人所投产品要求包含以下相关证件：</w:t>
      </w:r>
      <w:r>
        <w:rPr>
          <w:rFonts w:hint="eastAsia" w:ascii="Times New Roman" w:hAnsi="Times New Roman" w:eastAsia="宋体" w:cs="宋体"/>
          <w:lang w:val="en-US" w:eastAsia="zh-CN"/>
        </w:rPr>
        <w:t>投标公司的《医疗器械经营许可证》、生产厂家的《医疗器械生产许可证》（国外产品可不提供）、器械的《中华人民共和国医疗器械注册证》</w:t>
      </w:r>
      <w:r>
        <w:rPr>
          <w:rFonts w:hint="eastAsia" w:cs="宋体"/>
          <w:lang w:val="en-US" w:eastAsia="zh-CN"/>
        </w:rPr>
        <w:t>。</w:t>
      </w:r>
    </w:p>
    <w:p w14:paraId="26F6C95F">
      <w:pPr>
        <w:pStyle w:val="11"/>
        <w:ind w:left="-708" w:leftChars="-337"/>
        <w:rPr>
          <w:rFonts w:hint="eastAsia"/>
        </w:rPr>
      </w:pPr>
      <w:r>
        <w:rPr>
          <w:rFonts w:hint="eastAsia"/>
          <w:b/>
          <w:bCs/>
        </w:rPr>
        <w:t>3、售后服务和</w:t>
      </w:r>
      <w:r>
        <w:rPr>
          <w:rFonts w:hint="eastAsia"/>
          <w:b/>
          <w:bCs/>
          <w:lang w:val="en-US" w:eastAsia="zh-CN"/>
        </w:rPr>
        <w:t>资质</w:t>
      </w:r>
    </w:p>
    <w:p w14:paraId="6A4B446E">
      <w:pPr>
        <w:pStyle w:val="11"/>
        <w:ind w:left="-708" w:leftChars="-337"/>
        <w:rPr>
          <w:rFonts w:hint="eastAsia" w:eastAsia="宋体"/>
          <w:lang w:val="en-US" w:eastAsia="zh-CN"/>
        </w:rPr>
      </w:pPr>
      <w:r>
        <w:rPr>
          <w:rFonts w:hint="eastAsia"/>
          <w:lang w:val="en-US" w:eastAsia="zh-CN"/>
        </w:rPr>
        <w:t>1</w:t>
      </w:r>
      <w:r>
        <w:rPr>
          <w:rFonts w:hint="eastAsia"/>
        </w:rPr>
        <w:t>）售后资质要求：</w:t>
      </w:r>
      <w:r>
        <w:rPr>
          <w:rFonts w:hint="eastAsia" w:ascii="宋体" w:hAnsi="宋体"/>
        </w:rPr>
        <w:t>厂家须设有24小时免费服务电话，成交供应商应提供常驻广西维保人员名单、联系电话等</w:t>
      </w:r>
      <w:r>
        <w:rPr>
          <w:rFonts w:hint="eastAsia" w:ascii="宋体" w:hAnsi="宋体"/>
          <w:lang w:eastAsia="zh-CN"/>
        </w:rPr>
        <w:t>。</w:t>
      </w:r>
    </w:p>
    <w:p w14:paraId="49C351C2">
      <w:pPr>
        <w:pStyle w:val="11"/>
        <w:ind w:left="-708" w:leftChars="-337"/>
        <w:rPr>
          <w:rFonts w:hint="eastAsia"/>
        </w:rPr>
      </w:pPr>
      <w:r>
        <w:rPr>
          <w:rFonts w:hint="eastAsia"/>
          <w:lang w:val="en-US" w:eastAsia="zh-CN"/>
        </w:rPr>
        <w:t>2）</w:t>
      </w:r>
      <w:r>
        <w:rPr>
          <w:rFonts w:hint="eastAsia"/>
        </w:rPr>
        <w:t>维修备件必须是原厂备件。</w:t>
      </w:r>
    </w:p>
    <w:p w14:paraId="3309615C">
      <w:pPr>
        <w:pStyle w:val="11"/>
        <w:ind w:left="-708" w:leftChars="-337"/>
        <w:rPr>
          <w:rFonts w:hint="eastAsia"/>
        </w:rPr>
      </w:pPr>
      <w:r>
        <w:rPr>
          <w:rFonts w:hint="eastAsia"/>
          <w:lang w:val="en-US" w:eastAsia="zh-CN"/>
        </w:rPr>
        <w:t>3）</w:t>
      </w:r>
      <w:r>
        <w:rPr>
          <w:rFonts w:hint="eastAsia"/>
        </w:rPr>
        <w:t>质保期：设备安装完毕通过验收投入使用之日起</w:t>
      </w:r>
      <w:r>
        <w:rPr>
          <w:rFonts w:hint="eastAsia"/>
          <w:u w:val="single"/>
        </w:rPr>
        <w:t>不</w:t>
      </w:r>
      <w:r>
        <w:rPr>
          <w:rFonts w:hint="eastAsia" w:ascii="Times New Roman" w:hAnsi="Times New Roman" w:eastAsia="宋体" w:cs="Times New Roman"/>
          <w:u w:val="single"/>
        </w:rPr>
        <w:t>少于</w:t>
      </w:r>
      <w:r>
        <w:rPr>
          <w:rFonts w:hint="eastAsia" w:ascii="Times New Roman" w:hAnsi="Times New Roman" w:eastAsia="宋体" w:cs="Times New Roman"/>
          <w:u w:val="single"/>
          <w:lang w:val="en-US" w:eastAsia="zh-CN"/>
        </w:rPr>
        <w:t>1</w:t>
      </w:r>
      <w:r>
        <w:rPr>
          <w:rFonts w:hint="eastAsia" w:ascii="Times New Roman" w:hAnsi="Times New Roman" w:eastAsia="宋体" w:cs="Times New Roman"/>
          <w:u w:val="single"/>
        </w:rPr>
        <w:t>年</w:t>
      </w:r>
      <w:r>
        <w:rPr>
          <w:rFonts w:hint="eastAsia"/>
        </w:rPr>
        <w:t>。</w:t>
      </w:r>
    </w:p>
    <w:p w14:paraId="36E10A0B">
      <w:pPr>
        <w:pStyle w:val="11"/>
        <w:ind w:left="-708" w:leftChars="-337"/>
        <w:rPr>
          <w:rFonts w:hint="eastAsia"/>
        </w:rPr>
      </w:pPr>
      <w:r>
        <w:rPr>
          <w:rFonts w:hint="eastAsia"/>
          <w:lang w:val="en-US" w:eastAsia="zh-CN"/>
        </w:rPr>
        <w:t>4）</w:t>
      </w:r>
      <w:r>
        <w:rPr>
          <w:rFonts w:hint="eastAsia"/>
        </w:rPr>
        <w:t>故障处理：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14:paraId="3DD97080">
      <w:pPr>
        <w:pStyle w:val="11"/>
        <w:ind w:left="-708" w:leftChars="-337"/>
        <w:rPr>
          <w:rFonts w:hint="eastAsia" w:cs="宋体"/>
          <w:kern w:val="0"/>
          <w:sz w:val="24"/>
          <w:szCs w:val="24"/>
        </w:rPr>
      </w:pPr>
      <w:r>
        <w:rPr>
          <w:rFonts w:hint="eastAsia"/>
          <w:lang w:val="en-US" w:eastAsia="zh-CN"/>
        </w:rPr>
        <w:t>5）</w:t>
      </w:r>
      <w:r>
        <w:rPr>
          <w:rFonts w:hint="eastAsia" w:cs="宋体"/>
          <w:kern w:val="0"/>
          <w:sz w:val="24"/>
          <w:szCs w:val="24"/>
        </w:rPr>
        <w:t>签订合同后，</w:t>
      </w:r>
      <w:r>
        <w:rPr>
          <w:rFonts w:hint="eastAsia" w:ascii="Times New Roman" w:hAnsi="Times New Roman" w:eastAsia="宋体" w:cs="Times New Roman"/>
          <w:u w:val="single"/>
          <w:lang w:val="en-US" w:eastAsia="zh-CN"/>
        </w:rPr>
        <w:t>30</w:t>
      </w:r>
      <w:r>
        <w:rPr>
          <w:rFonts w:hint="eastAsia" w:ascii="Times New Roman" w:hAnsi="Times New Roman" w:eastAsia="宋体" w:cs="Times New Roman"/>
          <w:u w:val="single"/>
        </w:rPr>
        <w:t>天</w:t>
      </w:r>
      <w:r>
        <w:rPr>
          <w:rFonts w:hint="eastAsia" w:cs="宋体"/>
          <w:kern w:val="0"/>
          <w:sz w:val="24"/>
          <w:szCs w:val="24"/>
        </w:rPr>
        <w:t>内仪器设备安装调试结束并交付使用。投标人予以特别注意：如出现未能到期供货的情况，采购人有权单方终止合同的执行，所有的经济损失由逾期供货商单方承担。</w:t>
      </w:r>
    </w:p>
    <w:p w14:paraId="02636F2B">
      <w:pPr>
        <w:pStyle w:val="11"/>
        <w:ind w:left="-708" w:leftChars="-337"/>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lang w:val="en-US" w:eastAsia="zh-CN"/>
        </w:rPr>
        <w:t>6）</w:t>
      </w:r>
      <w:r>
        <w:rPr>
          <w:rFonts w:hint="eastAsia" w:ascii="Times New Roman" w:hAnsi="Times New Roman" w:eastAsia="宋体" w:cs="宋体"/>
          <w:kern w:val="0"/>
          <w:sz w:val="24"/>
          <w:szCs w:val="24"/>
        </w:rPr>
        <w:t>交货地点为：</w:t>
      </w:r>
      <w:r>
        <w:rPr>
          <w:rFonts w:hint="eastAsia" w:ascii="Times New Roman" w:hAnsi="Times New Roman" w:eastAsia="宋体" w:cs="宋体"/>
          <w:kern w:val="0"/>
          <w:sz w:val="24"/>
          <w:szCs w:val="24"/>
          <w:lang w:val="en-US" w:eastAsia="zh-CN"/>
        </w:rPr>
        <w:t xml:space="preserve">贺州市八步区人民医院（广西贺州市八步区莲塘镇万安街22号）   </w:t>
      </w:r>
    </w:p>
    <w:p w14:paraId="4F80D858">
      <w:pPr>
        <w:pStyle w:val="11"/>
        <w:ind w:left="-708" w:leftChars="-337"/>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 xml:space="preserve">  </w:t>
      </w:r>
    </w:p>
    <w:p w14:paraId="3B1B75E6">
      <w:pPr>
        <w:pStyle w:val="11"/>
        <w:ind w:left="-228" w:leftChars="-337" w:hanging="480" w:hangingChars="200"/>
        <w:rPr>
          <w:rFonts w:hint="eastAsia" w:cs="宋体"/>
          <w:kern w:val="0"/>
          <w:sz w:val="24"/>
          <w:szCs w:val="24"/>
          <w:lang w:eastAsia="zh-CN"/>
        </w:rPr>
      </w:pPr>
      <w:r>
        <w:rPr>
          <w:rFonts w:hint="eastAsia" w:ascii="Times New Roman" w:hAnsi="Times New Roman" w:eastAsia="宋体" w:cs="宋体"/>
          <w:kern w:val="0"/>
          <w:sz w:val="24"/>
          <w:szCs w:val="24"/>
          <w:lang w:val="en-US" w:eastAsia="zh-CN"/>
        </w:rPr>
        <w:t xml:space="preserve">7）付款条件（进度和方式）：                                                        </w:t>
      </w:r>
      <w:r>
        <w:rPr>
          <w:rFonts w:hint="eastAsia" w:ascii="Times New Roman" w:hAnsi="Times New Roman" w:eastAsia="宋体" w:cs="宋体"/>
          <w:b/>
          <w:bCs/>
          <w:kern w:val="0"/>
          <w:sz w:val="24"/>
          <w:szCs w:val="24"/>
          <w:lang w:eastAsia="zh-CN"/>
        </w:rPr>
        <w:t>分期付款：</w:t>
      </w:r>
      <w:r>
        <w:rPr>
          <w:rFonts w:hint="eastAsia" w:ascii="Times New Roman" w:hAnsi="Times New Roman" w:eastAsia="宋体" w:cs="宋体"/>
          <w:kern w:val="0"/>
          <w:sz w:val="24"/>
          <w:szCs w:val="24"/>
        </w:rPr>
        <w:t>签</w:t>
      </w:r>
      <w:r>
        <w:rPr>
          <w:rFonts w:hint="eastAsia" w:cs="宋体"/>
          <w:kern w:val="0"/>
          <w:sz w:val="24"/>
          <w:szCs w:val="24"/>
        </w:rPr>
        <w:t>订合同后，全部货物到达指定地点、安装调试并验收合格后，凭双方签署验收合格书，</w:t>
      </w:r>
      <w:r>
        <w:rPr>
          <w:rFonts w:hint="eastAsia" w:cs="宋体"/>
          <w:kern w:val="0"/>
          <w:sz w:val="24"/>
          <w:szCs w:val="24"/>
          <w:lang w:eastAsia="zh-CN"/>
        </w:rPr>
        <w:t>甲方按照政府规定时间内支付，</w:t>
      </w:r>
      <w:r>
        <w:rPr>
          <w:rFonts w:hint="eastAsia" w:cs="宋体"/>
          <w:b/>
          <w:bCs/>
          <w:kern w:val="0"/>
          <w:sz w:val="24"/>
          <w:szCs w:val="24"/>
        </w:rPr>
        <w:t>第一期：</w:t>
      </w:r>
      <w:r>
        <w:rPr>
          <w:rFonts w:hint="eastAsia" w:cs="宋体"/>
          <w:kern w:val="0"/>
          <w:sz w:val="24"/>
          <w:szCs w:val="24"/>
        </w:rPr>
        <w:t>甲方支付合同总金额的90%</w:t>
      </w:r>
      <w:r>
        <w:rPr>
          <w:rFonts w:hint="eastAsia" w:cs="宋体"/>
          <w:kern w:val="0"/>
          <w:sz w:val="24"/>
          <w:szCs w:val="24"/>
          <w:lang w:val="en-US" w:eastAsia="zh-CN"/>
        </w:rPr>
        <w:t xml:space="preserve"> ；    </w:t>
      </w:r>
      <w:r>
        <w:rPr>
          <w:rFonts w:hint="eastAsia" w:cs="宋体"/>
          <w:b/>
          <w:bCs/>
          <w:kern w:val="0"/>
          <w:sz w:val="24"/>
          <w:szCs w:val="24"/>
        </w:rPr>
        <w:t>第二期：</w:t>
      </w:r>
      <w:r>
        <w:rPr>
          <w:rFonts w:hint="eastAsia" w:cs="宋体"/>
          <w:kern w:val="0"/>
          <w:sz w:val="24"/>
          <w:szCs w:val="24"/>
        </w:rPr>
        <w:t>交付后十二个月，经乙方书面申请，甲方支付合同总金额的 10%（不计利息）。</w:t>
      </w:r>
    </w:p>
    <w:p w14:paraId="32DF01DC">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14:paraId="2D2DC8C3">
      <w:pPr>
        <w:widowControl/>
        <w:spacing w:line="360" w:lineRule="auto"/>
        <w:ind w:left="-708" w:leftChars="-338" w:hanging="2"/>
        <w:jc w:val="left"/>
        <w:rPr>
          <w:rFonts w:hint="eastAsia" w:cs="宋体"/>
          <w:b/>
          <w:bCs/>
          <w:kern w:val="0"/>
          <w:sz w:val="28"/>
          <w:szCs w:val="28"/>
        </w:rPr>
      </w:pPr>
      <w:r>
        <w:rPr>
          <w:b/>
          <w:bCs/>
          <w:kern w:val="0"/>
          <w:sz w:val="24"/>
          <w:szCs w:val="24"/>
        </w:rPr>
        <w:t> </w:t>
      </w:r>
      <w:r>
        <w:rPr>
          <w:rFonts w:hint="eastAsia"/>
          <w:b/>
          <w:bCs/>
          <w:kern w:val="0"/>
          <w:sz w:val="24"/>
          <w:szCs w:val="24"/>
          <w:lang w:val="en-US" w:eastAsia="zh-CN"/>
        </w:rPr>
        <w:t xml:space="preserve">  </w:t>
      </w:r>
      <w:r>
        <w:rPr>
          <w:rFonts w:hint="eastAsia" w:cs="宋体"/>
          <w:b/>
          <w:bCs/>
          <w:kern w:val="0"/>
          <w:sz w:val="28"/>
          <w:szCs w:val="28"/>
          <w:lang w:val="en-US" w:eastAsia="zh-CN"/>
        </w:rPr>
        <w:t>四、</w:t>
      </w:r>
      <w:r>
        <w:rPr>
          <w:rFonts w:hint="eastAsia" w:cs="宋体"/>
          <w:b/>
          <w:bCs/>
          <w:kern w:val="0"/>
          <w:sz w:val="28"/>
          <w:szCs w:val="28"/>
        </w:rPr>
        <w:t>合同签订</w:t>
      </w:r>
    </w:p>
    <w:p w14:paraId="6BDC4D1C">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eastAsia="zh-CN"/>
            </w:rPr>
            <w:t>2</w:t>
          </w:r>
          <w:r>
            <w:rPr>
              <w:rFonts w:hint="eastAsia" w:cs="宋体"/>
              <w:color w:val="FF0000"/>
              <w:kern w:val="0"/>
              <w:sz w:val="24"/>
              <w:szCs w:val="24"/>
              <w:u w:val="single"/>
              <w:lang w:val="en-US" w:eastAsia="zh-CN"/>
            </w:rPr>
            <w:t>5</w:t>
          </w:r>
        </w:sdtContent>
      </w:sdt>
      <w:r>
        <w:rPr>
          <w:rFonts w:hint="eastAsia" w:cs="宋体"/>
          <w:kern w:val="0"/>
          <w:sz w:val="24"/>
          <w:szCs w:val="24"/>
          <w:lang w:val="en-US" w:eastAsia="zh-CN"/>
        </w:rPr>
        <w:t>日</w:t>
      </w:r>
      <w:r>
        <w:rPr>
          <w:rFonts w:hint="eastAsia" w:cs="宋体"/>
          <w:kern w:val="0"/>
          <w:sz w:val="24"/>
          <w:szCs w:val="24"/>
        </w:rPr>
        <w:t>内签订采购合同。</w:t>
      </w:r>
    </w:p>
    <w:p w14:paraId="79638F38">
      <w:pPr>
        <w:widowControl/>
        <w:numPr>
          <w:ilvl w:val="0"/>
          <w:numId w:val="1"/>
        </w:numPr>
        <w:spacing w:line="360" w:lineRule="auto"/>
        <w:ind w:left="-410" w:leftChars="0" w:firstLine="0" w:firstLineChars="0"/>
        <w:jc w:val="left"/>
        <w:rPr>
          <w:rFonts w:hint="eastAsia" w:cs="宋体"/>
          <w:b/>
          <w:bCs/>
          <w:kern w:val="0"/>
          <w:sz w:val="28"/>
          <w:szCs w:val="28"/>
        </w:rPr>
      </w:pPr>
      <w:r>
        <w:rPr>
          <w:rFonts w:hint="eastAsia" w:cs="宋体"/>
          <w:b/>
          <w:bCs/>
          <w:kern w:val="0"/>
          <w:sz w:val="28"/>
          <w:szCs w:val="28"/>
        </w:rPr>
        <w:t>其他</w:t>
      </w:r>
    </w:p>
    <w:p w14:paraId="498C74F3">
      <w:pPr>
        <w:widowControl/>
        <w:numPr>
          <w:ilvl w:val="0"/>
          <w:numId w:val="1"/>
        </w:numPr>
        <w:spacing w:line="360" w:lineRule="auto"/>
        <w:ind w:left="-410" w:leftChars="0" w:firstLine="0" w:firstLineChars="0"/>
        <w:jc w:val="left"/>
        <w:rPr>
          <w:rFonts w:cs="宋体"/>
          <w:b/>
          <w:bCs/>
          <w:kern w:val="0"/>
          <w:sz w:val="28"/>
          <w:szCs w:val="28"/>
        </w:rPr>
      </w:pPr>
      <w:r>
        <w:rPr>
          <w:rFonts w:hint="eastAsia" w:cs="宋体"/>
          <w:b/>
          <w:bCs/>
          <w:kern w:val="0"/>
          <w:sz w:val="28"/>
          <w:szCs w:val="28"/>
        </w:rPr>
        <w:t>特别说明</w:t>
      </w:r>
    </w:p>
    <w:p w14:paraId="29BE3B41">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w:t>
      </w:r>
      <w:r>
        <w:rPr>
          <w:rFonts w:hint="eastAsia" w:cs="宋体"/>
          <w:kern w:val="0"/>
          <w:sz w:val="24"/>
          <w:szCs w:val="24"/>
          <w:lang w:eastAsia="zh-CN"/>
        </w:rPr>
        <w:t>贺州市八步区</w:t>
      </w:r>
      <w:bookmarkStart w:id="0" w:name="_GoBack"/>
      <w:bookmarkEnd w:id="0"/>
      <w:r>
        <w:rPr>
          <w:rFonts w:hint="eastAsia" w:cs="宋体"/>
          <w:kern w:val="0"/>
          <w:sz w:val="24"/>
          <w:szCs w:val="24"/>
        </w:rPr>
        <w:t>人民医院招标管理办公室将从有利于招标人的角度出发，认定其所报配置为可能存在情况的最高标准。</w:t>
      </w:r>
    </w:p>
    <w:p w14:paraId="6C272030">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01CAC10B">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2CA5B4DE">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val="en-US" w:eastAsia="zh-CN"/>
        </w:rPr>
        <w:t xml:space="preserve">最低评标价法 </w:t>
      </w:r>
      <w:r>
        <w:rPr>
          <w:rFonts w:hint="eastAsia" w:cs="宋体"/>
          <w:kern w:val="0"/>
          <w:sz w:val="24"/>
          <w:szCs w:val="24"/>
        </w:rPr>
        <w:t>确定中标候选人。</w:t>
      </w:r>
    </w:p>
    <w:p w14:paraId="13B45921">
      <w:pPr>
        <w:pStyle w:val="11"/>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C95492"/>
    <w:multiLevelType w:val="singleLevel"/>
    <w:tmpl w:val="68C95492"/>
    <w:lvl w:ilvl="0" w:tentative="0">
      <w:start w:val="5"/>
      <w:numFmt w:val="chineseCounting"/>
      <w:suff w:val="nothing"/>
      <w:lvlText w:val="%1、"/>
      <w:lvlJc w:val="left"/>
      <w:pPr>
        <w:ind w:left="-41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76695"/>
    <w:rsid w:val="005D491D"/>
    <w:rsid w:val="00654BC6"/>
    <w:rsid w:val="00684BD7"/>
    <w:rsid w:val="006E5543"/>
    <w:rsid w:val="00707A97"/>
    <w:rsid w:val="007814EA"/>
    <w:rsid w:val="007A5910"/>
    <w:rsid w:val="007F6F70"/>
    <w:rsid w:val="00813BDB"/>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1124992"/>
    <w:rsid w:val="01A43ED9"/>
    <w:rsid w:val="01CB43E2"/>
    <w:rsid w:val="02615DF0"/>
    <w:rsid w:val="03B56736"/>
    <w:rsid w:val="063979E5"/>
    <w:rsid w:val="079E5C2C"/>
    <w:rsid w:val="07E61381"/>
    <w:rsid w:val="094E71DE"/>
    <w:rsid w:val="0A6A0048"/>
    <w:rsid w:val="0A795D65"/>
    <w:rsid w:val="0CC05EEA"/>
    <w:rsid w:val="0DAB0B9B"/>
    <w:rsid w:val="0E6B1369"/>
    <w:rsid w:val="0E8C22E1"/>
    <w:rsid w:val="0ECE5049"/>
    <w:rsid w:val="0F9A13CF"/>
    <w:rsid w:val="10C97A40"/>
    <w:rsid w:val="10EC6F96"/>
    <w:rsid w:val="111563A0"/>
    <w:rsid w:val="11AC7198"/>
    <w:rsid w:val="122B15C9"/>
    <w:rsid w:val="12713099"/>
    <w:rsid w:val="12C97D37"/>
    <w:rsid w:val="1461070D"/>
    <w:rsid w:val="157601E9"/>
    <w:rsid w:val="166F4544"/>
    <w:rsid w:val="16726C02"/>
    <w:rsid w:val="17BF5E77"/>
    <w:rsid w:val="17CB4363"/>
    <w:rsid w:val="188C387F"/>
    <w:rsid w:val="1B0B13D3"/>
    <w:rsid w:val="1B513EBB"/>
    <w:rsid w:val="1E622ABE"/>
    <w:rsid w:val="1FA23E04"/>
    <w:rsid w:val="21B710F4"/>
    <w:rsid w:val="2218153E"/>
    <w:rsid w:val="224439AE"/>
    <w:rsid w:val="22486A69"/>
    <w:rsid w:val="23720241"/>
    <w:rsid w:val="23843AD1"/>
    <w:rsid w:val="23CD191B"/>
    <w:rsid w:val="25773183"/>
    <w:rsid w:val="26431704"/>
    <w:rsid w:val="26CD4569"/>
    <w:rsid w:val="27D01D3D"/>
    <w:rsid w:val="27D34CA5"/>
    <w:rsid w:val="28110468"/>
    <w:rsid w:val="293A4A87"/>
    <w:rsid w:val="2B6C7C6C"/>
    <w:rsid w:val="2BCF1FA9"/>
    <w:rsid w:val="2C27342F"/>
    <w:rsid w:val="2CD07D87"/>
    <w:rsid w:val="2DD37B2E"/>
    <w:rsid w:val="2E3217BF"/>
    <w:rsid w:val="2E44559E"/>
    <w:rsid w:val="311834AF"/>
    <w:rsid w:val="318469E5"/>
    <w:rsid w:val="3194337D"/>
    <w:rsid w:val="33B201E6"/>
    <w:rsid w:val="3421711A"/>
    <w:rsid w:val="344069F0"/>
    <w:rsid w:val="35A46254"/>
    <w:rsid w:val="35D22DC1"/>
    <w:rsid w:val="364A2958"/>
    <w:rsid w:val="3737378F"/>
    <w:rsid w:val="3806606D"/>
    <w:rsid w:val="397701BE"/>
    <w:rsid w:val="398737A9"/>
    <w:rsid w:val="3B546CEC"/>
    <w:rsid w:val="3DC46BAF"/>
    <w:rsid w:val="3EA21DFC"/>
    <w:rsid w:val="3F1D4981"/>
    <w:rsid w:val="3F8769CB"/>
    <w:rsid w:val="3FEE25A6"/>
    <w:rsid w:val="4050500F"/>
    <w:rsid w:val="41356554"/>
    <w:rsid w:val="41366ED0"/>
    <w:rsid w:val="4420119C"/>
    <w:rsid w:val="45570BED"/>
    <w:rsid w:val="48104054"/>
    <w:rsid w:val="4836735B"/>
    <w:rsid w:val="484D14FE"/>
    <w:rsid w:val="48D85C25"/>
    <w:rsid w:val="49A95790"/>
    <w:rsid w:val="4A6022F2"/>
    <w:rsid w:val="4B1955F9"/>
    <w:rsid w:val="4C1C5576"/>
    <w:rsid w:val="4C3E6663"/>
    <w:rsid w:val="4C8F480C"/>
    <w:rsid w:val="4C9A1B59"/>
    <w:rsid w:val="4CD46C76"/>
    <w:rsid w:val="4CD9638C"/>
    <w:rsid w:val="4D442BFB"/>
    <w:rsid w:val="4D781BD4"/>
    <w:rsid w:val="4DA009DA"/>
    <w:rsid w:val="4DA97E72"/>
    <w:rsid w:val="4DB9683E"/>
    <w:rsid w:val="4F3D41BA"/>
    <w:rsid w:val="50502E0F"/>
    <w:rsid w:val="50BE5FC4"/>
    <w:rsid w:val="51794369"/>
    <w:rsid w:val="51B2246F"/>
    <w:rsid w:val="539906F6"/>
    <w:rsid w:val="54672FDD"/>
    <w:rsid w:val="54EA55DA"/>
    <w:rsid w:val="55B300C2"/>
    <w:rsid w:val="55D712FC"/>
    <w:rsid w:val="55F5799E"/>
    <w:rsid w:val="565457D1"/>
    <w:rsid w:val="56A51D9D"/>
    <w:rsid w:val="57783371"/>
    <w:rsid w:val="57CF2865"/>
    <w:rsid w:val="589150FF"/>
    <w:rsid w:val="591470C9"/>
    <w:rsid w:val="5AF065DC"/>
    <w:rsid w:val="5C797243"/>
    <w:rsid w:val="5D1A4465"/>
    <w:rsid w:val="5DCD43FF"/>
    <w:rsid w:val="5E6468CB"/>
    <w:rsid w:val="5E761C8C"/>
    <w:rsid w:val="5ECE3876"/>
    <w:rsid w:val="5FC9113A"/>
    <w:rsid w:val="5FFD63C3"/>
    <w:rsid w:val="62DE3608"/>
    <w:rsid w:val="635822A8"/>
    <w:rsid w:val="647F0E1D"/>
    <w:rsid w:val="64CA4726"/>
    <w:rsid w:val="65706B30"/>
    <w:rsid w:val="67EF0C5A"/>
    <w:rsid w:val="6A513DD5"/>
    <w:rsid w:val="6BF540D9"/>
    <w:rsid w:val="6C6E6699"/>
    <w:rsid w:val="6CA20189"/>
    <w:rsid w:val="6DD0797D"/>
    <w:rsid w:val="6E09389B"/>
    <w:rsid w:val="6E1A0EFE"/>
    <w:rsid w:val="6F666C59"/>
    <w:rsid w:val="6FC37F06"/>
    <w:rsid w:val="71754026"/>
    <w:rsid w:val="73A11102"/>
    <w:rsid w:val="746A1E3C"/>
    <w:rsid w:val="74B5471E"/>
    <w:rsid w:val="7693433A"/>
    <w:rsid w:val="77752FD1"/>
    <w:rsid w:val="77E41C8F"/>
    <w:rsid w:val="77FF632E"/>
    <w:rsid w:val="787616FD"/>
    <w:rsid w:val="793D18CD"/>
    <w:rsid w:val="7B036868"/>
    <w:rsid w:val="7B14665D"/>
    <w:rsid w:val="7CA915F3"/>
    <w:rsid w:val="7D843D95"/>
    <w:rsid w:val="7E6E2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99"/>
    <w:pPr>
      <w:jc w:val="left"/>
    </w:pPr>
  </w:style>
  <w:style w:type="paragraph" w:styleId="3">
    <w:name w:val="Plain Text"/>
    <w:basedOn w:val="1"/>
    <w:next w:val="1"/>
    <w:link w:val="15"/>
    <w:qFormat/>
    <w:uiPriority w:val="99"/>
    <w:rPr>
      <w:rFonts w:ascii="宋体" w:hAnsi="Courier New"/>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semiHidden/>
    <w:qFormat/>
    <w:uiPriority w:val="99"/>
    <w:rPr>
      <w:sz w:val="21"/>
      <w:szCs w:val="21"/>
    </w:rPr>
  </w:style>
  <w:style w:type="paragraph" w:customStyle="1" w:styleId="11">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2">
    <w:name w:val="批注文字 字符"/>
    <w:basedOn w:val="9"/>
    <w:qFormat/>
    <w:uiPriority w:val="99"/>
    <w:rPr>
      <w:rFonts w:ascii="Times New Roman" w:hAnsi="Times New Roman" w:eastAsia="宋体" w:cs="Times New Roman"/>
      <w:szCs w:val="21"/>
    </w:rPr>
  </w:style>
  <w:style w:type="character" w:customStyle="1" w:styleId="13">
    <w:name w:val="批注文字 字符1"/>
    <w:link w:val="2"/>
    <w:semiHidden/>
    <w:qFormat/>
    <w:uiPriority w:val="99"/>
    <w:rPr>
      <w:rFonts w:ascii="Times New Roman" w:hAnsi="Times New Roman" w:eastAsia="宋体" w:cs="Times New Roman"/>
      <w:szCs w:val="21"/>
    </w:rPr>
  </w:style>
  <w:style w:type="character" w:customStyle="1" w:styleId="14">
    <w:name w:val="批注主题 字符"/>
    <w:basedOn w:val="13"/>
    <w:link w:val="6"/>
    <w:semiHidden/>
    <w:qFormat/>
    <w:uiPriority w:val="99"/>
    <w:rPr>
      <w:rFonts w:ascii="Times New Roman" w:hAnsi="Times New Roman" w:eastAsia="宋体" w:cs="Times New Roman"/>
      <w:b/>
      <w:bCs/>
      <w:szCs w:val="21"/>
    </w:rPr>
  </w:style>
  <w:style w:type="character" w:customStyle="1" w:styleId="15">
    <w:name w:val="纯文本 字符"/>
    <w:basedOn w:val="9"/>
    <w:link w:val="3"/>
    <w:qFormat/>
    <w:uiPriority w:val="99"/>
    <w:rPr>
      <w:rFonts w:ascii="宋体" w:hAnsi="Courier New" w:eastAsia="宋体" w:cs="Times New Roman"/>
      <w:szCs w:val="21"/>
    </w:rPr>
  </w:style>
  <w:style w:type="paragraph" w:customStyle="1" w:styleId="16">
    <w:name w:val="表格文字"/>
    <w:basedOn w:val="1"/>
    <w:qFormat/>
    <w:uiPriority w:val="0"/>
    <w:pPr>
      <w:spacing w:before="25" w:after="25"/>
      <w:jc w:val="left"/>
    </w:pPr>
    <w:rPr>
      <w:rFonts w:ascii="Calibri" w:hAnsi="Calibri"/>
      <w:bCs/>
      <w:spacing w:val="10"/>
      <w:kern w:val="0"/>
      <w:sz w:val="24"/>
      <w:szCs w:val="20"/>
    </w:rPr>
  </w:style>
  <w:style w:type="character" w:customStyle="1" w:styleId="17">
    <w:name w:val="fontstyle01"/>
    <w:qFormat/>
    <w:uiPriority w:val="0"/>
    <w:rPr>
      <w:rFonts w:hint="eastAsia" w:ascii="宋体" w:hAnsi="宋体" w:eastAsia="宋体"/>
      <w:color w:val="000000"/>
      <w:sz w:val="24"/>
      <w:szCs w:val="24"/>
    </w:rPr>
  </w:style>
  <w:style w:type="character" w:customStyle="1" w:styleId="18">
    <w:name w:val="页眉 字符"/>
    <w:basedOn w:val="9"/>
    <w:link w:val="5"/>
    <w:qFormat/>
    <w:uiPriority w:val="99"/>
    <w:rPr>
      <w:rFonts w:ascii="Times New Roman" w:hAnsi="Times New Roman" w:eastAsia="宋体" w:cs="Times New Roman"/>
      <w:sz w:val="18"/>
      <w:szCs w:val="18"/>
    </w:rPr>
  </w:style>
  <w:style w:type="character" w:customStyle="1" w:styleId="19">
    <w:name w:val="页脚 字符"/>
    <w:basedOn w:val="9"/>
    <w:link w:val="4"/>
    <w:qFormat/>
    <w:uiPriority w:val="99"/>
    <w:rPr>
      <w:rFonts w:ascii="Times New Roman" w:hAnsi="Times New Roman" w:eastAsia="宋体" w:cs="Times New Roman"/>
      <w:sz w:val="18"/>
      <w:szCs w:val="18"/>
    </w:rPr>
  </w:style>
  <w:style w:type="character" w:styleId="20">
    <w:name w:val="Placeholder Text"/>
    <w:basedOn w:val="9"/>
    <w:semiHidden/>
    <w:qFormat/>
    <w:uiPriority w:val="99"/>
    <w:rPr>
      <w:color w:val="808080"/>
    </w:rPr>
  </w:style>
  <w:style w:type="paragraph" w:customStyle="1" w:styleId="21">
    <w:name w:val="样式1"/>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31D9254B">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1554</Words>
  <Characters>1563</Characters>
  <Lines>26</Lines>
  <Paragraphs>7</Paragraphs>
  <TotalTime>2</TotalTime>
  <ScaleCrop>false</ScaleCrop>
  <LinksUpToDate>false</LinksUpToDate>
  <CharactersWithSpaces>1641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小女韡Asdet</cp:lastModifiedBy>
  <cp:lastPrinted>2021-01-18T07:59:00Z</cp:lastPrinted>
  <dcterms:modified xsi:type="dcterms:W3CDTF">2025-07-26T08:25:03Z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B1C8ADB6A08C49D88EF48001F8D355A1_13</vt:lpwstr>
  </property>
  <property fmtid="{D5CDD505-2E9C-101B-9397-08002B2CF9AE}" pid="4" name="KSOTemplateDocerSaveRecord">
    <vt:lpwstr>eyJoZGlkIjoiYmI0NjY0OGE4NzcwZTFjZDNlMzIzY2FjMTJmYzQxMzYiLCJ1c2VySWQiOiI1Njc0MDg4NDQifQ==</vt:lpwstr>
  </property>
</Properties>
</file>