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kern w:val="0"/>
          <w:sz w:val="28"/>
          <w:szCs w:val="28"/>
          <w:u w:val="single"/>
          <w:lang w:val="en-US" w:eastAsia="zh-CN"/>
        </w:rPr>
        <w:t>采购学习或健康宣教用设备（电视机或投影仪）</w:t>
      </w:r>
    </w:p>
    <w:p w14:paraId="0CB7DE80">
      <w:pPr>
        <w:pStyle w:val="2"/>
        <w:ind w:firstLine="480" w:firstLineChars="200"/>
        <w:rPr>
          <w:rFonts w:hint="default"/>
          <w:highlight w:val="yellow"/>
          <w:lang w:val="en-US"/>
        </w:rPr>
      </w:pPr>
      <w:r>
        <w:rPr>
          <w:rFonts w:hint="eastAsia"/>
          <w:highlight w:val="yellow"/>
        </w:rPr>
        <w:t>1.2.项目编号：</w:t>
      </w:r>
      <w:r>
        <w:rPr>
          <w:rStyle w:val="11"/>
          <w:rFonts w:hint="eastAsia" w:ascii="Calibri" w:hAnsi="Calibri"/>
          <w:b/>
          <w:bCs/>
          <w:sz w:val="28"/>
          <w:szCs w:val="28"/>
          <w:u w:val="single"/>
          <w:lang w:eastAsia="zh-CN"/>
        </w:rPr>
        <w:t>桂东招202</w:t>
      </w:r>
      <w:r>
        <w:rPr>
          <w:rStyle w:val="11"/>
          <w:rFonts w:hint="eastAsia" w:ascii="Calibri" w:hAnsi="Calibri"/>
          <w:b/>
          <w:bCs/>
          <w:sz w:val="28"/>
          <w:szCs w:val="28"/>
          <w:u w:val="single"/>
          <w:lang w:val="en-US" w:eastAsia="zh-CN"/>
        </w:rPr>
        <w:t>5020</w:t>
      </w:r>
      <w:bookmarkStart w:id="45" w:name="_GoBack"/>
      <w:bookmarkEnd w:id="45"/>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120614220"/>
      <w:bookmarkEnd w:id="38"/>
      <w:bookmarkStart w:id="39" w:name="_Toc513029236"/>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6061"/>
      <w:bookmarkStart w:id="44" w:name="_Toc71365383"/>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7173C43"/>
    <w:rsid w:val="1897479D"/>
    <w:rsid w:val="1C045EE6"/>
    <w:rsid w:val="210428E8"/>
    <w:rsid w:val="29054853"/>
    <w:rsid w:val="2C5A4909"/>
    <w:rsid w:val="32D262D6"/>
    <w:rsid w:val="33767E8F"/>
    <w:rsid w:val="36440210"/>
    <w:rsid w:val="410E3569"/>
    <w:rsid w:val="44B9109C"/>
    <w:rsid w:val="462573E7"/>
    <w:rsid w:val="482254E2"/>
    <w:rsid w:val="49A5461D"/>
    <w:rsid w:val="4B596A4F"/>
    <w:rsid w:val="4E661EA1"/>
    <w:rsid w:val="57041B95"/>
    <w:rsid w:val="58700601"/>
    <w:rsid w:val="599E65CC"/>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7510</Words>
  <Characters>8060</Characters>
  <Lines>62</Lines>
  <Paragraphs>17</Paragraphs>
  <TotalTime>0</TotalTime>
  <ScaleCrop>false</ScaleCrop>
  <LinksUpToDate>false</LinksUpToDate>
  <CharactersWithSpaces>9035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2025-08-13T08:28:25Z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