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30A2D">
      <w:pPr>
        <w:snapToGrid w:val="0"/>
        <w:rPr>
          <w:rFonts w:ascii="宋体" w:hAnsi="宋体"/>
          <w:b/>
          <w:color w:val="000000"/>
          <w:sz w:val="32"/>
          <w:szCs w:val="32"/>
        </w:rPr>
      </w:pPr>
      <w:r>
        <w:rPr>
          <w:rFonts w:hint="eastAsia" w:ascii="宋体" w:hAnsi="宋体"/>
          <w:b/>
          <w:color w:val="000000"/>
          <w:sz w:val="32"/>
          <w:szCs w:val="32"/>
        </w:rPr>
        <w:t xml:space="preserve">一般货物类合同模板（参考）： </w:t>
      </w:r>
    </w:p>
    <w:p w14:paraId="2F026010">
      <w:pPr>
        <w:snapToGrid w:val="0"/>
        <w:spacing w:line="400" w:lineRule="exact"/>
        <w:ind w:right="960"/>
        <w:jc w:val="right"/>
        <w:rPr>
          <w:rFonts w:hint="eastAsia" w:ascii="宋体" w:hAnsi="宋体"/>
          <w:bCs/>
          <w:color w:val="000000"/>
          <w:sz w:val="32"/>
          <w:szCs w:val="21"/>
        </w:rPr>
      </w:pPr>
    </w:p>
    <w:p w14:paraId="4E57A266">
      <w:pPr>
        <w:snapToGrid w:val="0"/>
        <w:spacing w:line="400" w:lineRule="exact"/>
        <w:ind w:right="960"/>
        <w:jc w:val="right"/>
        <w:rPr>
          <w:rFonts w:ascii="宋体" w:hAnsi="宋体"/>
          <w:bCs/>
          <w:color w:val="000000"/>
          <w:sz w:val="32"/>
          <w:szCs w:val="21"/>
          <w:u w:val="single"/>
        </w:rPr>
      </w:pPr>
      <w:r>
        <w:rPr>
          <w:rFonts w:hint="eastAsia" w:ascii="宋体" w:hAnsi="宋体"/>
          <w:bCs/>
          <w:color w:val="000000"/>
          <w:sz w:val="32"/>
          <w:szCs w:val="21"/>
        </w:rPr>
        <w:t>合同编号：</w:t>
      </w:r>
    </w:p>
    <w:p w14:paraId="14574BD3">
      <w:pPr>
        <w:rPr>
          <w:rFonts w:hint="eastAsia"/>
        </w:rPr>
      </w:pPr>
    </w:p>
    <w:p w14:paraId="092AB888">
      <w:pPr>
        <w:pStyle w:val="7"/>
        <w:rPr>
          <w:rFonts w:hint="eastAsia"/>
        </w:rPr>
      </w:pPr>
    </w:p>
    <w:p w14:paraId="4887AB03"/>
    <w:p w14:paraId="3EB5624C">
      <w:pPr>
        <w:snapToGrid w:val="0"/>
        <w:spacing w:line="276" w:lineRule="auto"/>
        <w:jc w:val="center"/>
        <w:rPr>
          <w:rFonts w:ascii="方正小标宋简体" w:hAnsi="方正小标宋简体" w:eastAsia="方正小标宋简体"/>
          <w:bCs/>
          <w:color w:val="000000"/>
          <w:sz w:val="44"/>
          <w:szCs w:val="36"/>
        </w:rPr>
      </w:pPr>
      <w:r>
        <w:rPr>
          <w:rFonts w:hint="eastAsia" w:ascii="方正小标宋简体" w:hAnsi="方正小标宋简体" w:eastAsia="方正小标宋简体"/>
          <w:bCs/>
          <w:color w:val="000000"/>
          <w:sz w:val="44"/>
          <w:szCs w:val="36"/>
        </w:rPr>
        <w:t>广西壮族自治区桂东人民医院采购合同</w:t>
      </w:r>
    </w:p>
    <w:p w14:paraId="7A02D7D8">
      <w:pPr>
        <w:snapToGrid w:val="0"/>
        <w:spacing w:line="400" w:lineRule="exact"/>
        <w:ind w:right="480" w:firstLine="6510" w:firstLineChars="3100"/>
        <w:rPr>
          <w:rFonts w:ascii="宋体" w:hAnsi="宋体"/>
          <w:bCs/>
          <w:color w:val="000000"/>
          <w:szCs w:val="21"/>
        </w:rPr>
      </w:pPr>
    </w:p>
    <w:p w14:paraId="22BEA6FA">
      <w:pPr>
        <w:snapToGrid w:val="0"/>
        <w:spacing w:line="360" w:lineRule="exact"/>
        <w:rPr>
          <w:rFonts w:hint="eastAsia" w:ascii="宋体" w:hAnsi="宋体"/>
          <w:color w:val="000000"/>
          <w:szCs w:val="21"/>
        </w:rPr>
      </w:pPr>
    </w:p>
    <w:p w14:paraId="6998C687">
      <w:pPr>
        <w:pStyle w:val="7"/>
        <w:rPr>
          <w:rFonts w:hint="eastAsia"/>
        </w:rPr>
      </w:pPr>
    </w:p>
    <w:p w14:paraId="5CE3E231">
      <w:pPr>
        <w:rPr>
          <w:rFonts w:hint="eastAsia"/>
        </w:rPr>
      </w:pPr>
    </w:p>
    <w:p w14:paraId="09F6425B">
      <w:pPr>
        <w:pStyle w:val="7"/>
      </w:pPr>
    </w:p>
    <w:p w14:paraId="1885B4DE">
      <w:pPr>
        <w:snapToGrid w:val="0"/>
        <w:spacing w:line="600" w:lineRule="exact"/>
        <w:ind w:firstLine="1920" w:firstLineChars="600"/>
        <w:rPr>
          <w:rFonts w:asciiTheme="majorEastAsia" w:hAnsiTheme="majorEastAsia" w:eastAsiaTheme="majorEastAsia"/>
          <w:color w:val="000000"/>
          <w:sz w:val="32"/>
          <w:szCs w:val="32"/>
          <w:u w:val="single"/>
        </w:rPr>
      </w:pPr>
      <w:r>
        <w:rPr>
          <w:rFonts w:hint="eastAsia" w:asciiTheme="majorEastAsia" w:hAnsiTheme="majorEastAsia" w:eastAsiaTheme="majorEastAsia"/>
          <w:color w:val="000000"/>
          <w:sz w:val="32"/>
          <w:szCs w:val="32"/>
        </w:rPr>
        <w:t>采购人（甲方）</w:t>
      </w:r>
      <w:r>
        <w:rPr>
          <w:rFonts w:hint="eastAsia" w:asciiTheme="majorEastAsia" w:hAnsiTheme="majorEastAsia" w:eastAsiaTheme="majorEastAsia"/>
          <w:color w:val="000000"/>
          <w:sz w:val="32"/>
          <w:szCs w:val="32"/>
          <w:u w:val="single"/>
        </w:rPr>
        <w:t xml:space="preserve">                       </w:t>
      </w:r>
      <w:r>
        <w:rPr>
          <w:rFonts w:hint="eastAsia" w:asciiTheme="majorEastAsia" w:hAnsiTheme="majorEastAsia" w:eastAsiaTheme="majorEastAsia"/>
          <w:color w:val="000000"/>
          <w:sz w:val="32"/>
          <w:szCs w:val="32"/>
        </w:rPr>
        <w:t xml:space="preserve"> </w:t>
      </w:r>
    </w:p>
    <w:p w14:paraId="784ADC43">
      <w:pPr>
        <w:snapToGrid w:val="0"/>
        <w:spacing w:line="600" w:lineRule="exact"/>
        <w:ind w:firstLine="1920" w:firstLineChars="600"/>
        <w:rPr>
          <w:rFonts w:hint="eastAsia" w:asciiTheme="majorEastAsia" w:hAnsiTheme="majorEastAsia" w:eastAsiaTheme="majorEastAsia"/>
          <w:color w:val="000000"/>
          <w:sz w:val="32"/>
          <w:szCs w:val="32"/>
          <w:u w:val="single"/>
        </w:rPr>
      </w:pPr>
      <w:r>
        <w:rPr>
          <w:rFonts w:hint="eastAsia" w:asciiTheme="majorEastAsia" w:hAnsiTheme="majorEastAsia" w:eastAsiaTheme="majorEastAsia"/>
          <w:color w:val="000000"/>
          <w:sz w:val="32"/>
          <w:szCs w:val="32"/>
        </w:rPr>
        <w:t>供 应 商（乙方）</w:t>
      </w:r>
      <w:r>
        <w:rPr>
          <w:rFonts w:hint="eastAsia" w:asciiTheme="majorEastAsia" w:hAnsiTheme="majorEastAsia" w:eastAsiaTheme="majorEastAsia"/>
          <w:color w:val="000000"/>
          <w:sz w:val="32"/>
          <w:szCs w:val="32"/>
          <w:u w:val="single"/>
        </w:rPr>
        <w:t xml:space="preserve">                     </w:t>
      </w:r>
      <w:r>
        <w:rPr>
          <w:rFonts w:hint="eastAsia" w:asciiTheme="majorEastAsia" w:hAnsiTheme="majorEastAsia" w:eastAsiaTheme="majorEastAsia"/>
          <w:color w:val="000000"/>
          <w:sz w:val="32"/>
          <w:szCs w:val="32"/>
        </w:rPr>
        <w:t xml:space="preserve">  </w:t>
      </w:r>
    </w:p>
    <w:p w14:paraId="4B8D37ED">
      <w:pPr>
        <w:pStyle w:val="7"/>
        <w:spacing w:line="600" w:lineRule="exact"/>
        <w:ind w:firstLine="1946" w:firstLineChars="695"/>
        <w:rPr>
          <w:rFonts w:hint="eastAsia" w:asciiTheme="majorEastAsia" w:hAnsiTheme="majorEastAsia" w:eastAsiaTheme="majorEastAsia"/>
          <w:color w:val="000000"/>
          <w:sz w:val="32"/>
          <w:szCs w:val="32"/>
          <w:u w:val="single"/>
        </w:rPr>
      </w:pPr>
      <w:r>
        <w:rPr>
          <w:rFonts w:hint="eastAsia" w:asciiTheme="majorEastAsia" w:hAnsiTheme="majorEastAsia" w:eastAsiaTheme="majorEastAsia"/>
          <w:color w:val="000000"/>
          <w:spacing w:val="-20"/>
          <w:sz w:val="32"/>
          <w:szCs w:val="32"/>
        </w:rPr>
        <w:t>采 购 计 划 号</w:t>
      </w:r>
      <w:r>
        <w:rPr>
          <w:rFonts w:hint="eastAsia" w:asciiTheme="majorEastAsia" w:hAnsiTheme="majorEastAsia" w:eastAsiaTheme="majorEastAsia"/>
          <w:color w:val="000000"/>
          <w:sz w:val="32"/>
          <w:szCs w:val="32"/>
          <w:u w:val="single"/>
        </w:rPr>
        <w:t xml:space="preserve">                         </w:t>
      </w:r>
    </w:p>
    <w:p w14:paraId="701C8583">
      <w:pPr>
        <w:spacing w:line="600" w:lineRule="exact"/>
        <w:ind w:firstLine="1859" w:firstLineChars="664"/>
        <w:rPr>
          <w:rFonts w:hint="eastAsia" w:asciiTheme="majorEastAsia" w:hAnsiTheme="majorEastAsia" w:eastAsiaTheme="majorEastAsia"/>
          <w:sz w:val="32"/>
          <w:szCs w:val="32"/>
        </w:rPr>
      </w:pPr>
      <w:r>
        <w:rPr>
          <w:rFonts w:hint="eastAsia" w:asciiTheme="majorEastAsia" w:hAnsiTheme="majorEastAsia" w:eastAsiaTheme="majorEastAsia"/>
          <w:color w:val="000000"/>
          <w:spacing w:val="-20"/>
          <w:sz w:val="32"/>
          <w:szCs w:val="32"/>
        </w:rPr>
        <w:t>招  标  编  号</w:t>
      </w:r>
      <w:r>
        <w:rPr>
          <w:rFonts w:hint="eastAsia" w:asciiTheme="majorEastAsia" w:hAnsiTheme="majorEastAsia" w:eastAsiaTheme="majorEastAsia"/>
          <w:color w:val="000000"/>
          <w:sz w:val="32"/>
          <w:szCs w:val="32"/>
          <w:u w:val="single"/>
        </w:rPr>
        <w:t xml:space="preserve">                          </w:t>
      </w:r>
    </w:p>
    <w:p w14:paraId="33B902C9">
      <w:pPr>
        <w:spacing w:line="600" w:lineRule="exact"/>
        <w:ind w:firstLine="2124" w:firstLineChars="664"/>
        <w:rPr>
          <w:rFonts w:hint="eastAsia" w:asciiTheme="majorEastAsia" w:hAnsiTheme="majorEastAsia" w:eastAsiaTheme="majorEastAsia"/>
          <w:sz w:val="32"/>
          <w:szCs w:val="32"/>
        </w:rPr>
      </w:pPr>
    </w:p>
    <w:p w14:paraId="7701FE35">
      <w:pPr>
        <w:pStyle w:val="7"/>
        <w:rPr>
          <w:rFonts w:hint="eastAsia"/>
        </w:rPr>
      </w:pPr>
    </w:p>
    <w:p w14:paraId="5CF33D50">
      <w:pPr>
        <w:rPr>
          <w:rFonts w:hint="eastAsia"/>
        </w:rPr>
      </w:pPr>
    </w:p>
    <w:p w14:paraId="27895959">
      <w:pPr>
        <w:pStyle w:val="7"/>
        <w:rPr>
          <w:rFonts w:hint="eastAsia"/>
        </w:rPr>
      </w:pPr>
    </w:p>
    <w:p w14:paraId="26162F2D">
      <w:pPr>
        <w:rPr>
          <w:rFonts w:hint="eastAsia"/>
        </w:rPr>
      </w:pPr>
    </w:p>
    <w:p w14:paraId="7D37544B">
      <w:pPr>
        <w:rPr>
          <w:rFonts w:hint="eastAsia"/>
        </w:rPr>
      </w:pPr>
    </w:p>
    <w:p w14:paraId="46E9CA79">
      <w:pPr>
        <w:pStyle w:val="7"/>
      </w:pPr>
    </w:p>
    <w:p w14:paraId="50821D42">
      <w:pPr>
        <w:snapToGrid w:val="0"/>
        <w:spacing w:line="600" w:lineRule="exact"/>
        <w:ind w:firstLine="2124" w:firstLineChars="664"/>
        <w:rPr>
          <w:rFonts w:hint="eastAsia"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签订地点：</w:t>
      </w:r>
      <w:r>
        <w:rPr>
          <w:rFonts w:hint="eastAsia" w:asciiTheme="majorEastAsia" w:hAnsiTheme="majorEastAsia" w:eastAsiaTheme="majorEastAsia"/>
          <w:color w:val="000000"/>
          <w:sz w:val="32"/>
          <w:szCs w:val="32"/>
          <w:u w:val="single"/>
        </w:rPr>
        <w:t xml:space="preserve">                          </w:t>
      </w:r>
      <w:r>
        <w:rPr>
          <w:rFonts w:hint="eastAsia" w:asciiTheme="majorEastAsia" w:hAnsiTheme="majorEastAsia" w:eastAsiaTheme="majorEastAsia"/>
          <w:color w:val="000000"/>
          <w:sz w:val="32"/>
          <w:szCs w:val="32"/>
        </w:rPr>
        <w:t xml:space="preserve">  </w:t>
      </w:r>
    </w:p>
    <w:p w14:paraId="2E5E135B">
      <w:pPr>
        <w:snapToGrid w:val="0"/>
        <w:spacing w:line="600" w:lineRule="exact"/>
        <w:ind w:firstLine="2124" w:firstLineChars="664"/>
        <w:rPr>
          <w:rFonts w:hint="eastAsia" w:asciiTheme="majorEastAsia" w:hAnsiTheme="majorEastAsia" w:eastAsiaTheme="majorEastAsia"/>
          <w:color w:val="000000"/>
          <w:sz w:val="32"/>
          <w:szCs w:val="32"/>
          <w:u w:val="single"/>
        </w:rPr>
      </w:pPr>
      <w:r>
        <w:rPr>
          <w:rFonts w:hint="eastAsia" w:asciiTheme="majorEastAsia" w:hAnsiTheme="majorEastAsia" w:eastAsiaTheme="majorEastAsia"/>
          <w:color w:val="000000"/>
          <w:sz w:val="32"/>
          <w:szCs w:val="32"/>
        </w:rPr>
        <w:t>签订时间：</w:t>
      </w:r>
      <w:r>
        <w:rPr>
          <w:rFonts w:hint="eastAsia" w:asciiTheme="majorEastAsia" w:hAnsiTheme="majorEastAsia" w:eastAsiaTheme="majorEastAsia"/>
          <w:color w:val="000000"/>
          <w:sz w:val="32"/>
          <w:szCs w:val="32"/>
          <w:u w:val="single"/>
        </w:rPr>
        <w:t xml:space="preserve">                          </w:t>
      </w:r>
    </w:p>
    <w:p w14:paraId="43B31CD0">
      <w:pPr>
        <w:pStyle w:val="7"/>
      </w:pPr>
    </w:p>
    <w:p w14:paraId="7D466A31">
      <w:pPr>
        <w:snapToGrid w:val="0"/>
        <w:spacing w:line="360" w:lineRule="auto"/>
        <w:ind w:firstLine="420" w:firstLineChars="200"/>
        <w:rPr>
          <w:rFonts w:ascii="宋体" w:hAnsi="宋体"/>
          <w:color w:val="000000"/>
          <w:szCs w:val="21"/>
        </w:rPr>
      </w:pPr>
    </w:p>
    <w:p w14:paraId="4DE60320">
      <w:pPr>
        <w:snapToGrid w:val="0"/>
        <w:spacing w:line="460" w:lineRule="exact"/>
        <w:ind w:firstLine="562" w:firstLineChars="200"/>
        <w:rPr>
          <w:rFonts w:hint="eastAsia" w:ascii="仿宋_GB2312" w:hAnsi="仿宋" w:eastAsia="仿宋_GB2312" w:cs="仿宋"/>
          <w:b/>
          <w:sz w:val="28"/>
          <w:szCs w:val="28"/>
        </w:rPr>
      </w:pPr>
      <w:r>
        <w:rPr>
          <w:rFonts w:hint="eastAsia" w:ascii="仿宋_GB2312" w:hAnsi="仿宋" w:eastAsia="仿宋_GB2312" w:cs="仿宋"/>
          <w:b/>
          <w:sz w:val="28"/>
          <w:szCs w:val="28"/>
        </w:rPr>
        <w:t>根据《中华人民共和国政府采购法》《中华人民共和国民法典》等法律、法规规定，按照招投标文件规定条款和中标供应商承诺，就甲方委托乙方提供广西壮族自治区桂东人民医院医院病床及配件采购项目之相关事宜，达成以下协议，并承诺共同遵守。</w:t>
      </w:r>
    </w:p>
    <w:p w14:paraId="6F507884">
      <w:pPr>
        <w:spacing w:before="0" w:line="460" w:lineRule="exact"/>
        <w:ind w:left="0" w:firstLine="560" w:firstLineChars="200"/>
        <w:jc w:val="left"/>
        <w:rPr>
          <w:rFonts w:hint="eastAsia" w:ascii="仿宋_GB2312" w:hAnsi="宋体" w:eastAsia="仿宋_GB2312" w:cs="宋体"/>
          <w:sz w:val="28"/>
          <w:szCs w:val="28"/>
          <w:lang w:eastAsia="zh-CN"/>
        </w:rPr>
      </w:pPr>
      <w:r>
        <w:rPr>
          <w:rFonts w:hint="eastAsia" w:ascii="仿宋_GB2312" w:hAnsi="宋体" w:eastAsia="仿宋_GB2312"/>
          <w:color w:val="000000"/>
          <w:sz w:val="28"/>
          <w:szCs w:val="28"/>
        </w:rPr>
        <w:t>第一条</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s="宋体"/>
          <w:sz w:val="28"/>
          <w:szCs w:val="28"/>
          <w:lang w:eastAsia="zh-CN"/>
        </w:rPr>
        <w:t>合同文件</w:t>
      </w:r>
    </w:p>
    <w:p w14:paraId="531C3A08">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val="en-US" w:eastAsia="zh-CN"/>
        </w:rPr>
        <w:t>1.</w:t>
      </w:r>
      <w:r>
        <w:rPr>
          <w:rFonts w:hint="eastAsia" w:ascii="仿宋_GB2312" w:hAnsi="宋体" w:eastAsia="仿宋_GB2312" w:cs="宋体"/>
          <w:color w:val="FF0000"/>
          <w:sz w:val="28"/>
          <w:szCs w:val="28"/>
          <w:lang w:eastAsia="zh-CN"/>
        </w:rPr>
        <w:t>本合同所附下列文件是构成本合同不可分割的部分：</w:t>
      </w:r>
    </w:p>
    <w:p w14:paraId="682C3755">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⑴ 合同基本条款；</w:t>
      </w:r>
    </w:p>
    <w:p w14:paraId="6840207C">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⑵ 投标人提交的投标函、投标报价表和售后服务承诺等全部投标文件；</w:t>
      </w:r>
    </w:p>
    <w:p w14:paraId="4FD625FC">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⑶ 项目需求和说明；</w:t>
      </w:r>
    </w:p>
    <w:p w14:paraId="3087741E">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⑷ 甲、乙双方商定确认后的补充协议（如需要）。</w:t>
      </w:r>
    </w:p>
    <w:p w14:paraId="18E614D3">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2、合同范围和条件</w:t>
      </w:r>
      <w:bookmarkStart w:id="0" w:name="_GoBack"/>
      <w:bookmarkEnd w:id="0"/>
    </w:p>
    <w:p w14:paraId="760EFD71">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本合同的范围和条件应与上述合同文件的规定相一致。</w:t>
      </w:r>
    </w:p>
    <w:p w14:paraId="57B51504">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第二条</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合同标的</w:t>
      </w:r>
    </w:p>
    <w:p w14:paraId="4D5B430A">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1.供货一览表</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1A3F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165CA33A">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1233" w:type="dxa"/>
            <w:vAlign w:val="center"/>
          </w:tcPr>
          <w:p w14:paraId="57F0E29A">
            <w:pPr>
              <w:snapToGrid w:val="0"/>
              <w:spacing w:line="360" w:lineRule="auto"/>
              <w:jc w:val="center"/>
              <w:rPr>
                <w:rFonts w:ascii="宋体" w:hAnsi="宋体"/>
                <w:color w:val="000000"/>
                <w:szCs w:val="21"/>
              </w:rPr>
            </w:pPr>
            <w:r>
              <w:rPr>
                <w:rFonts w:hint="eastAsia" w:ascii="宋体" w:hAnsi="宋体"/>
                <w:color w:val="000000"/>
                <w:szCs w:val="21"/>
              </w:rPr>
              <w:t>产品名称</w:t>
            </w:r>
          </w:p>
        </w:tc>
        <w:tc>
          <w:tcPr>
            <w:tcW w:w="1059" w:type="dxa"/>
            <w:vAlign w:val="center"/>
          </w:tcPr>
          <w:p w14:paraId="15BDEA25">
            <w:pPr>
              <w:snapToGrid w:val="0"/>
              <w:spacing w:line="360" w:lineRule="auto"/>
              <w:jc w:val="center"/>
              <w:rPr>
                <w:rFonts w:ascii="宋体" w:hAnsi="宋体"/>
                <w:color w:val="000000"/>
                <w:szCs w:val="21"/>
              </w:rPr>
            </w:pPr>
            <w:r>
              <w:rPr>
                <w:rFonts w:hint="eastAsia" w:ascii="宋体" w:hAnsi="宋体"/>
                <w:color w:val="000000"/>
                <w:szCs w:val="21"/>
              </w:rPr>
              <w:t>商标品牌</w:t>
            </w:r>
          </w:p>
        </w:tc>
        <w:tc>
          <w:tcPr>
            <w:tcW w:w="1233" w:type="dxa"/>
            <w:vAlign w:val="center"/>
          </w:tcPr>
          <w:p w14:paraId="52DFB41D">
            <w:pPr>
              <w:snapToGrid w:val="0"/>
              <w:spacing w:line="360" w:lineRule="auto"/>
              <w:jc w:val="center"/>
              <w:rPr>
                <w:rFonts w:ascii="宋体" w:hAnsi="宋体"/>
                <w:color w:val="000000"/>
                <w:szCs w:val="21"/>
              </w:rPr>
            </w:pPr>
            <w:r>
              <w:rPr>
                <w:rFonts w:hint="eastAsia" w:ascii="宋体" w:hAnsi="宋体"/>
                <w:color w:val="000000"/>
                <w:szCs w:val="21"/>
              </w:rPr>
              <w:t>规格型号</w:t>
            </w:r>
          </w:p>
        </w:tc>
        <w:tc>
          <w:tcPr>
            <w:tcW w:w="1210" w:type="dxa"/>
            <w:vAlign w:val="center"/>
          </w:tcPr>
          <w:p w14:paraId="304A606C">
            <w:pPr>
              <w:snapToGrid w:val="0"/>
              <w:spacing w:line="360" w:lineRule="auto"/>
              <w:jc w:val="center"/>
              <w:rPr>
                <w:rFonts w:ascii="宋体" w:hAnsi="宋体"/>
                <w:color w:val="000000"/>
                <w:szCs w:val="21"/>
              </w:rPr>
            </w:pPr>
            <w:r>
              <w:rPr>
                <w:rFonts w:hint="eastAsia" w:ascii="宋体" w:hAnsi="宋体"/>
                <w:color w:val="000000"/>
                <w:szCs w:val="21"/>
              </w:rPr>
              <w:t>生产厂家</w:t>
            </w:r>
          </w:p>
        </w:tc>
        <w:tc>
          <w:tcPr>
            <w:tcW w:w="908" w:type="dxa"/>
            <w:vAlign w:val="center"/>
          </w:tcPr>
          <w:p w14:paraId="4D1C8EA3">
            <w:pPr>
              <w:snapToGrid w:val="0"/>
              <w:spacing w:line="360" w:lineRule="auto"/>
              <w:jc w:val="center"/>
              <w:rPr>
                <w:rFonts w:ascii="宋体" w:hAnsi="宋体"/>
                <w:color w:val="000000"/>
                <w:szCs w:val="21"/>
              </w:rPr>
            </w:pPr>
            <w:r>
              <w:rPr>
                <w:rFonts w:hint="eastAsia" w:ascii="宋体" w:hAnsi="宋体"/>
                <w:color w:val="000000"/>
                <w:szCs w:val="21"/>
              </w:rPr>
              <w:t>数  量</w:t>
            </w:r>
          </w:p>
        </w:tc>
        <w:tc>
          <w:tcPr>
            <w:tcW w:w="668" w:type="dxa"/>
            <w:vAlign w:val="center"/>
          </w:tcPr>
          <w:p w14:paraId="74736955">
            <w:pPr>
              <w:snapToGrid w:val="0"/>
              <w:spacing w:line="360" w:lineRule="auto"/>
              <w:jc w:val="center"/>
              <w:rPr>
                <w:rFonts w:ascii="宋体" w:hAnsi="宋体"/>
                <w:color w:val="000000"/>
                <w:szCs w:val="21"/>
              </w:rPr>
            </w:pPr>
            <w:r>
              <w:rPr>
                <w:rFonts w:hint="eastAsia" w:ascii="宋体" w:hAnsi="宋体"/>
                <w:color w:val="000000"/>
                <w:szCs w:val="21"/>
              </w:rPr>
              <w:t>单位</w:t>
            </w:r>
          </w:p>
        </w:tc>
        <w:tc>
          <w:tcPr>
            <w:tcW w:w="947" w:type="dxa"/>
            <w:vAlign w:val="center"/>
          </w:tcPr>
          <w:p w14:paraId="1B565CAD">
            <w:pPr>
              <w:snapToGrid w:val="0"/>
              <w:spacing w:line="360" w:lineRule="auto"/>
              <w:jc w:val="center"/>
              <w:rPr>
                <w:rFonts w:ascii="宋体" w:hAnsi="宋体"/>
                <w:color w:val="000000"/>
                <w:szCs w:val="21"/>
              </w:rPr>
            </w:pPr>
            <w:r>
              <w:rPr>
                <w:rFonts w:hint="eastAsia" w:ascii="宋体" w:hAnsi="宋体"/>
                <w:color w:val="000000"/>
                <w:szCs w:val="21"/>
              </w:rPr>
              <w:t>单  价</w:t>
            </w:r>
          </w:p>
          <w:p w14:paraId="56DF017A">
            <w:pPr>
              <w:snapToGrid w:val="0"/>
              <w:spacing w:line="360" w:lineRule="auto"/>
              <w:jc w:val="center"/>
              <w:rPr>
                <w:rFonts w:ascii="宋体" w:hAnsi="宋体"/>
                <w:color w:val="000000"/>
                <w:szCs w:val="21"/>
              </w:rPr>
            </w:pPr>
            <w:r>
              <w:rPr>
                <w:rFonts w:hint="eastAsia" w:ascii="宋体" w:hAnsi="宋体"/>
                <w:color w:val="000000"/>
                <w:szCs w:val="21"/>
              </w:rPr>
              <w:t>（元）</w:t>
            </w:r>
          </w:p>
        </w:tc>
        <w:tc>
          <w:tcPr>
            <w:tcW w:w="1189" w:type="dxa"/>
            <w:vAlign w:val="center"/>
          </w:tcPr>
          <w:p w14:paraId="1BBDFDC7">
            <w:pPr>
              <w:snapToGrid w:val="0"/>
              <w:spacing w:line="360" w:lineRule="auto"/>
              <w:jc w:val="center"/>
              <w:rPr>
                <w:rFonts w:ascii="宋体" w:hAnsi="宋体"/>
                <w:color w:val="000000"/>
                <w:szCs w:val="21"/>
              </w:rPr>
            </w:pPr>
            <w:r>
              <w:rPr>
                <w:rFonts w:hint="eastAsia" w:ascii="宋体" w:hAnsi="宋体"/>
                <w:color w:val="000000"/>
                <w:szCs w:val="21"/>
              </w:rPr>
              <w:t>金  额</w:t>
            </w:r>
          </w:p>
          <w:p w14:paraId="16C0E609">
            <w:pPr>
              <w:snapToGrid w:val="0"/>
              <w:spacing w:line="360" w:lineRule="auto"/>
              <w:jc w:val="center"/>
              <w:rPr>
                <w:rFonts w:ascii="宋体" w:hAnsi="宋体"/>
                <w:color w:val="000000"/>
                <w:szCs w:val="21"/>
              </w:rPr>
            </w:pPr>
            <w:r>
              <w:rPr>
                <w:rFonts w:hint="eastAsia" w:ascii="宋体" w:hAnsi="宋体"/>
                <w:color w:val="000000"/>
                <w:szCs w:val="21"/>
              </w:rPr>
              <w:t>（元）</w:t>
            </w:r>
          </w:p>
        </w:tc>
      </w:tr>
      <w:tr w14:paraId="4E05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5D395D1">
            <w:pPr>
              <w:snapToGrid w:val="0"/>
              <w:spacing w:line="360" w:lineRule="auto"/>
              <w:jc w:val="center"/>
              <w:rPr>
                <w:rFonts w:ascii="宋体" w:hAnsi="宋体"/>
                <w:color w:val="000000"/>
                <w:szCs w:val="21"/>
              </w:rPr>
            </w:pPr>
            <w:r>
              <w:rPr>
                <w:rFonts w:hint="eastAsia" w:ascii="宋体" w:hAnsi="宋体"/>
                <w:color w:val="000000"/>
                <w:szCs w:val="21"/>
              </w:rPr>
              <w:t>1</w:t>
            </w:r>
          </w:p>
        </w:tc>
        <w:tc>
          <w:tcPr>
            <w:tcW w:w="1233" w:type="dxa"/>
            <w:vAlign w:val="center"/>
          </w:tcPr>
          <w:p w14:paraId="649EAB86">
            <w:pPr>
              <w:snapToGrid w:val="0"/>
              <w:spacing w:line="360" w:lineRule="auto"/>
              <w:jc w:val="center"/>
              <w:rPr>
                <w:rFonts w:ascii="宋体" w:hAnsi="宋体"/>
                <w:color w:val="000000"/>
                <w:szCs w:val="21"/>
              </w:rPr>
            </w:pPr>
          </w:p>
        </w:tc>
        <w:tc>
          <w:tcPr>
            <w:tcW w:w="1059" w:type="dxa"/>
            <w:vAlign w:val="center"/>
          </w:tcPr>
          <w:p w14:paraId="572BD6E6">
            <w:pPr>
              <w:snapToGrid w:val="0"/>
              <w:spacing w:line="360" w:lineRule="auto"/>
              <w:jc w:val="center"/>
              <w:rPr>
                <w:rFonts w:ascii="宋体" w:hAnsi="宋体"/>
                <w:color w:val="000000"/>
                <w:szCs w:val="21"/>
              </w:rPr>
            </w:pPr>
          </w:p>
        </w:tc>
        <w:tc>
          <w:tcPr>
            <w:tcW w:w="1233" w:type="dxa"/>
            <w:vAlign w:val="center"/>
          </w:tcPr>
          <w:p w14:paraId="1AAF47EC">
            <w:pPr>
              <w:snapToGrid w:val="0"/>
              <w:spacing w:line="360" w:lineRule="auto"/>
              <w:jc w:val="center"/>
              <w:rPr>
                <w:rFonts w:ascii="宋体" w:hAnsi="宋体"/>
                <w:color w:val="000000"/>
                <w:szCs w:val="21"/>
              </w:rPr>
            </w:pPr>
          </w:p>
        </w:tc>
        <w:tc>
          <w:tcPr>
            <w:tcW w:w="1210" w:type="dxa"/>
          </w:tcPr>
          <w:p w14:paraId="2116BC64">
            <w:pPr>
              <w:snapToGrid w:val="0"/>
              <w:spacing w:line="360" w:lineRule="auto"/>
              <w:jc w:val="center"/>
              <w:rPr>
                <w:rFonts w:ascii="宋体" w:hAnsi="宋体"/>
                <w:color w:val="000000"/>
                <w:szCs w:val="21"/>
              </w:rPr>
            </w:pPr>
          </w:p>
        </w:tc>
        <w:tc>
          <w:tcPr>
            <w:tcW w:w="908" w:type="dxa"/>
          </w:tcPr>
          <w:p w14:paraId="1995E9DF">
            <w:pPr>
              <w:snapToGrid w:val="0"/>
              <w:spacing w:line="360" w:lineRule="auto"/>
              <w:jc w:val="center"/>
              <w:rPr>
                <w:rFonts w:ascii="宋体" w:hAnsi="宋体"/>
                <w:color w:val="000000"/>
                <w:szCs w:val="21"/>
              </w:rPr>
            </w:pPr>
          </w:p>
        </w:tc>
        <w:tc>
          <w:tcPr>
            <w:tcW w:w="668" w:type="dxa"/>
          </w:tcPr>
          <w:p w14:paraId="2A6EAE20">
            <w:pPr>
              <w:snapToGrid w:val="0"/>
              <w:spacing w:line="360" w:lineRule="auto"/>
              <w:jc w:val="center"/>
              <w:rPr>
                <w:rFonts w:ascii="宋体" w:hAnsi="宋体"/>
                <w:color w:val="000000"/>
                <w:szCs w:val="21"/>
              </w:rPr>
            </w:pPr>
          </w:p>
        </w:tc>
        <w:tc>
          <w:tcPr>
            <w:tcW w:w="947" w:type="dxa"/>
            <w:vAlign w:val="center"/>
          </w:tcPr>
          <w:p w14:paraId="525C9735">
            <w:pPr>
              <w:snapToGrid w:val="0"/>
              <w:spacing w:line="360" w:lineRule="auto"/>
              <w:jc w:val="center"/>
              <w:rPr>
                <w:rFonts w:ascii="宋体" w:hAnsi="宋体"/>
                <w:color w:val="000000"/>
                <w:szCs w:val="21"/>
              </w:rPr>
            </w:pPr>
          </w:p>
        </w:tc>
        <w:tc>
          <w:tcPr>
            <w:tcW w:w="1189" w:type="dxa"/>
            <w:vAlign w:val="center"/>
          </w:tcPr>
          <w:p w14:paraId="373430F4">
            <w:pPr>
              <w:snapToGrid w:val="0"/>
              <w:spacing w:line="360" w:lineRule="auto"/>
              <w:jc w:val="center"/>
              <w:rPr>
                <w:rFonts w:ascii="宋体" w:hAnsi="宋体"/>
                <w:color w:val="000000"/>
                <w:szCs w:val="21"/>
              </w:rPr>
            </w:pPr>
          </w:p>
        </w:tc>
      </w:tr>
      <w:tr w14:paraId="017D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21DC334">
            <w:pPr>
              <w:snapToGrid w:val="0"/>
              <w:spacing w:line="360" w:lineRule="auto"/>
              <w:jc w:val="center"/>
              <w:rPr>
                <w:rFonts w:ascii="宋体" w:hAnsi="宋体"/>
                <w:color w:val="000000"/>
                <w:szCs w:val="21"/>
              </w:rPr>
            </w:pPr>
            <w:r>
              <w:rPr>
                <w:rFonts w:hint="eastAsia" w:ascii="宋体" w:hAnsi="宋体"/>
                <w:color w:val="000000"/>
                <w:szCs w:val="21"/>
              </w:rPr>
              <w:t>2</w:t>
            </w:r>
          </w:p>
        </w:tc>
        <w:tc>
          <w:tcPr>
            <w:tcW w:w="1233" w:type="dxa"/>
            <w:vAlign w:val="center"/>
          </w:tcPr>
          <w:p w14:paraId="36958FF1">
            <w:pPr>
              <w:snapToGrid w:val="0"/>
              <w:spacing w:line="360" w:lineRule="auto"/>
              <w:jc w:val="center"/>
              <w:rPr>
                <w:rFonts w:ascii="宋体" w:hAnsi="宋体"/>
                <w:color w:val="000000"/>
                <w:szCs w:val="21"/>
              </w:rPr>
            </w:pPr>
          </w:p>
        </w:tc>
        <w:tc>
          <w:tcPr>
            <w:tcW w:w="1059" w:type="dxa"/>
            <w:vAlign w:val="center"/>
          </w:tcPr>
          <w:p w14:paraId="0D62F6E8">
            <w:pPr>
              <w:snapToGrid w:val="0"/>
              <w:spacing w:line="360" w:lineRule="auto"/>
              <w:jc w:val="center"/>
              <w:rPr>
                <w:rFonts w:ascii="宋体" w:hAnsi="宋体"/>
                <w:color w:val="000000"/>
                <w:szCs w:val="21"/>
              </w:rPr>
            </w:pPr>
          </w:p>
        </w:tc>
        <w:tc>
          <w:tcPr>
            <w:tcW w:w="1233" w:type="dxa"/>
            <w:vAlign w:val="center"/>
          </w:tcPr>
          <w:p w14:paraId="40BEC2E1">
            <w:pPr>
              <w:snapToGrid w:val="0"/>
              <w:spacing w:line="360" w:lineRule="auto"/>
              <w:jc w:val="center"/>
              <w:rPr>
                <w:rFonts w:ascii="宋体" w:hAnsi="宋体"/>
                <w:color w:val="000000"/>
                <w:szCs w:val="21"/>
              </w:rPr>
            </w:pPr>
          </w:p>
        </w:tc>
        <w:tc>
          <w:tcPr>
            <w:tcW w:w="1210" w:type="dxa"/>
          </w:tcPr>
          <w:p w14:paraId="7A9705B2">
            <w:pPr>
              <w:snapToGrid w:val="0"/>
              <w:spacing w:line="360" w:lineRule="auto"/>
              <w:jc w:val="center"/>
              <w:rPr>
                <w:rFonts w:ascii="宋体" w:hAnsi="宋体"/>
                <w:color w:val="000000"/>
                <w:szCs w:val="21"/>
              </w:rPr>
            </w:pPr>
          </w:p>
        </w:tc>
        <w:tc>
          <w:tcPr>
            <w:tcW w:w="908" w:type="dxa"/>
          </w:tcPr>
          <w:p w14:paraId="2D6C2295">
            <w:pPr>
              <w:snapToGrid w:val="0"/>
              <w:spacing w:line="360" w:lineRule="auto"/>
              <w:jc w:val="center"/>
              <w:rPr>
                <w:rFonts w:ascii="宋体" w:hAnsi="宋体"/>
                <w:color w:val="000000"/>
                <w:szCs w:val="21"/>
              </w:rPr>
            </w:pPr>
          </w:p>
        </w:tc>
        <w:tc>
          <w:tcPr>
            <w:tcW w:w="668" w:type="dxa"/>
          </w:tcPr>
          <w:p w14:paraId="3B840B3D">
            <w:pPr>
              <w:snapToGrid w:val="0"/>
              <w:spacing w:line="360" w:lineRule="auto"/>
              <w:jc w:val="center"/>
              <w:rPr>
                <w:rFonts w:ascii="宋体" w:hAnsi="宋体"/>
                <w:color w:val="000000"/>
                <w:szCs w:val="21"/>
              </w:rPr>
            </w:pPr>
          </w:p>
        </w:tc>
        <w:tc>
          <w:tcPr>
            <w:tcW w:w="947" w:type="dxa"/>
            <w:vAlign w:val="center"/>
          </w:tcPr>
          <w:p w14:paraId="6B981935">
            <w:pPr>
              <w:snapToGrid w:val="0"/>
              <w:spacing w:line="360" w:lineRule="auto"/>
              <w:jc w:val="center"/>
              <w:rPr>
                <w:rFonts w:ascii="宋体" w:hAnsi="宋体"/>
                <w:color w:val="000000"/>
                <w:szCs w:val="21"/>
              </w:rPr>
            </w:pPr>
          </w:p>
        </w:tc>
        <w:tc>
          <w:tcPr>
            <w:tcW w:w="1189" w:type="dxa"/>
            <w:vAlign w:val="center"/>
          </w:tcPr>
          <w:p w14:paraId="216AEFC4">
            <w:pPr>
              <w:snapToGrid w:val="0"/>
              <w:spacing w:line="360" w:lineRule="auto"/>
              <w:jc w:val="center"/>
              <w:rPr>
                <w:rFonts w:ascii="宋体" w:hAnsi="宋体"/>
                <w:color w:val="000000"/>
                <w:szCs w:val="21"/>
              </w:rPr>
            </w:pPr>
          </w:p>
        </w:tc>
      </w:tr>
      <w:tr w14:paraId="6DF5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39C81FC">
            <w:pPr>
              <w:snapToGrid w:val="0"/>
              <w:spacing w:line="360" w:lineRule="auto"/>
              <w:jc w:val="center"/>
              <w:rPr>
                <w:rFonts w:ascii="宋体" w:hAnsi="宋体"/>
                <w:color w:val="000000"/>
                <w:szCs w:val="21"/>
              </w:rPr>
            </w:pPr>
            <w:r>
              <w:rPr>
                <w:rFonts w:hint="eastAsia" w:ascii="宋体" w:hAnsi="宋体"/>
                <w:color w:val="000000"/>
                <w:szCs w:val="21"/>
              </w:rPr>
              <w:t>3</w:t>
            </w:r>
          </w:p>
        </w:tc>
        <w:tc>
          <w:tcPr>
            <w:tcW w:w="1233" w:type="dxa"/>
            <w:vAlign w:val="center"/>
          </w:tcPr>
          <w:p w14:paraId="100A1060">
            <w:pPr>
              <w:snapToGrid w:val="0"/>
              <w:spacing w:line="360" w:lineRule="auto"/>
              <w:jc w:val="center"/>
              <w:rPr>
                <w:rFonts w:ascii="宋体" w:hAnsi="宋体"/>
                <w:color w:val="000000"/>
                <w:szCs w:val="21"/>
              </w:rPr>
            </w:pPr>
          </w:p>
        </w:tc>
        <w:tc>
          <w:tcPr>
            <w:tcW w:w="1059" w:type="dxa"/>
            <w:vAlign w:val="center"/>
          </w:tcPr>
          <w:p w14:paraId="012CBA1F">
            <w:pPr>
              <w:snapToGrid w:val="0"/>
              <w:spacing w:line="360" w:lineRule="auto"/>
              <w:jc w:val="center"/>
              <w:rPr>
                <w:rFonts w:ascii="宋体" w:hAnsi="宋体"/>
                <w:color w:val="000000"/>
                <w:szCs w:val="21"/>
              </w:rPr>
            </w:pPr>
          </w:p>
        </w:tc>
        <w:tc>
          <w:tcPr>
            <w:tcW w:w="1233" w:type="dxa"/>
            <w:vAlign w:val="center"/>
          </w:tcPr>
          <w:p w14:paraId="1C678D7B">
            <w:pPr>
              <w:snapToGrid w:val="0"/>
              <w:spacing w:line="360" w:lineRule="auto"/>
              <w:jc w:val="center"/>
              <w:rPr>
                <w:rFonts w:ascii="宋体" w:hAnsi="宋体"/>
                <w:color w:val="000000"/>
                <w:szCs w:val="21"/>
              </w:rPr>
            </w:pPr>
          </w:p>
        </w:tc>
        <w:tc>
          <w:tcPr>
            <w:tcW w:w="1210" w:type="dxa"/>
          </w:tcPr>
          <w:p w14:paraId="76BCA356">
            <w:pPr>
              <w:snapToGrid w:val="0"/>
              <w:spacing w:line="360" w:lineRule="auto"/>
              <w:jc w:val="center"/>
              <w:rPr>
                <w:rFonts w:ascii="宋体" w:hAnsi="宋体"/>
                <w:color w:val="000000"/>
                <w:szCs w:val="21"/>
              </w:rPr>
            </w:pPr>
          </w:p>
        </w:tc>
        <w:tc>
          <w:tcPr>
            <w:tcW w:w="908" w:type="dxa"/>
          </w:tcPr>
          <w:p w14:paraId="12377408">
            <w:pPr>
              <w:snapToGrid w:val="0"/>
              <w:spacing w:line="360" w:lineRule="auto"/>
              <w:jc w:val="center"/>
              <w:rPr>
                <w:rFonts w:ascii="宋体" w:hAnsi="宋体"/>
                <w:color w:val="000000"/>
                <w:szCs w:val="21"/>
              </w:rPr>
            </w:pPr>
          </w:p>
        </w:tc>
        <w:tc>
          <w:tcPr>
            <w:tcW w:w="668" w:type="dxa"/>
          </w:tcPr>
          <w:p w14:paraId="3DBB8119">
            <w:pPr>
              <w:snapToGrid w:val="0"/>
              <w:spacing w:line="360" w:lineRule="auto"/>
              <w:jc w:val="center"/>
              <w:rPr>
                <w:rFonts w:ascii="宋体" w:hAnsi="宋体"/>
                <w:color w:val="000000"/>
                <w:szCs w:val="21"/>
              </w:rPr>
            </w:pPr>
          </w:p>
        </w:tc>
        <w:tc>
          <w:tcPr>
            <w:tcW w:w="947" w:type="dxa"/>
            <w:vAlign w:val="center"/>
          </w:tcPr>
          <w:p w14:paraId="00CCDF2B">
            <w:pPr>
              <w:snapToGrid w:val="0"/>
              <w:spacing w:line="360" w:lineRule="auto"/>
              <w:jc w:val="center"/>
              <w:rPr>
                <w:rFonts w:ascii="宋体" w:hAnsi="宋体"/>
                <w:color w:val="000000"/>
                <w:szCs w:val="21"/>
              </w:rPr>
            </w:pPr>
          </w:p>
        </w:tc>
        <w:tc>
          <w:tcPr>
            <w:tcW w:w="1189" w:type="dxa"/>
            <w:vAlign w:val="center"/>
          </w:tcPr>
          <w:p w14:paraId="18224331">
            <w:pPr>
              <w:snapToGrid w:val="0"/>
              <w:spacing w:line="360" w:lineRule="auto"/>
              <w:jc w:val="center"/>
              <w:rPr>
                <w:rFonts w:ascii="宋体" w:hAnsi="宋体"/>
                <w:color w:val="000000"/>
                <w:szCs w:val="21"/>
              </w:rPr>
            </w:pPr>
          </w:p>
        </w:tc>
      </w:tr>
      <w:tr w14:paraId="6C65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39210245">
            <w:pPr>
              <w:snapToGrid w:val="0"/>
              <w:spacing w:line="360" w:lineRule="auto"/>
              <w:rPr>
                <w:rFonts w:ascii="宋体" w:hAnsi="宋体"/>
                <w:color w:val="000000"/>
                <w:szCs w:val="21"/>
              </w:rPr>
            </w:pPr>
            <w:r>
              <w:rPr>
                <w:rFonts w:hint="eastAsia" w:ascii="宋体" w:hAnsi="宋体"/>
                <w:color w:val="000000"/>
                <w:szCs w:val="21"/>
              </w:rPr>
              <w:t xml:space="preserve">人民币合计金额（大写）                          （小写）                 </w:t>
            </w:r>
          </w:p>
        </w:tc>
      </w:tr>
    </w:tbl>
    <w:p w14:paraId="39A7665A">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2.合同合计金额包括货物价款，备件、专用工具、安装、调试、检验、技术培训及技术资料和包装、运输等全部费用。</w:t>
      </w:r>
    </w:p>
    <w:p w14:paraId="7EA6C82A">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条　质量要求</w:t>
      </w:r>
    </w:p>
    <w:p w14:paraId="4741B98D">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1.乙方所提供的产品名称、商标品牌、生产厂家、规格型号、技术参数等质量必须与招标文件规定及投标文件承诺相一致。乙方提供的节能和环保产品必须是列入政府采购品目清单的产品。</w:t>
      </w:r>
    </w:p>
    <w:p w14:paraId="5BB5108F">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2.乙方所提供的货物必须是全新、未使用的原装产品，且在正常安装、使用和保养条件下，其使用寿命期内各项指标均达到招标文件规定或者投标文件承诺的质量要求。</w:t>
      </w:r>
    </w:p>
    <w:p w14:paraId="37DFCCC2">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四</w:t>
      </w:r>
      <w:r>
        <w:rPr>
          <w:rFonts w:hint="eastAsia" w:ascii="仿宋_GB2312" w:hAnsi="仿宋" w:eastAsia="仿宋_GB2312" w:cs="仿宋"/>
          <w:sz w:val="28"/>
          <w:szCs w:val="28"/>
        </w:rPr>
        <w:t>条　权利保证</w:t>
      </w:r>
    </w:p>
    <w:p w14:paraId="709C381C">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1.乙方应保证所提供货物在使用时不会侵犯任何第三方的专利权、商标权、工业设计权或者其他权利。</w:t>
      </w:r>
    </w:p>
    <w:p w14:paraId="05ACB8B6">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2.乙方应按招标文件规定或者投标文件承诺的时间向甲方提供使用货物的有关技术资料。</w:t>
      </w:r>
    </w:p>
    <w:p w14:paraId="17779093">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E25DF6B">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4.乙方保证将要交付的货物的所有权完全属于乙方且无任何抵押、质押、查封等产权瑕疵。</w:t>
      </w:r>
    </w:p>
    <w:p w14:paraId="58E14AB8">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五</w:t>
      </w:r>
      <w:r>
        <w:rPr>
          <w:rFonts w:hint="eastAsia" w:ascii="仿宋_GB2312" w:hAnsi="仿宋" w:eastAsia="仿宋_GB2312" w:cs="仿宋"/>
          <w:sz w:val="28"/>
          <w:szCs w:val="28"/>
        </w:rPr>
        <w:t>条　包装和运输</w:t>
      </w:r>
    </w:p>
    <w:p w14:paraId="60925C3E">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1.乙方提供的货物均应按招标文件规定或者投标文件承诺的要求的包装材料、包装标准、包装方式进行包装，每一包装单元内应附详细的装箱单和质量合格证。</w:t>
      </w:r>
    </w:p>
    <w:p w14:paraId="1EA54CF8">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2.货物的运输方式：</w:t>
      </w:r>
      <w:r>
        <w:rPr>
          <w:rFonts w:hint="eastAsia" w:ascii="仿宋_GB2312" w:hAnsi="宋体" w:eastAsia="仿宋_GB2312"/>
          <w:color w:val="000000"/>
          <w:sz w:val="28"/>
          <w:szCs w:val="28"/>
          <w:u w:val="single"/>
        </w:rPr>
        <w:t xml:space="preserve">             。</w:t>
      </w:r>
    </w:p>
    <w:p w14:paraId="4258583D">
      <w:pPr>
        <w:snapToGrid w:val="0"/>
        <w:spacing w:line="460" w:lineRule="exact"/>
        <w:ind w:firstLine="560" w:firstLineChars="200"/>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3.乙方负责货物运输，货物运输合理损耗及计算方法：</w:t>
      </w:r>
      <w:r>
        <w:rPr>
          <w:rFonts w:hint="eastAsia" w:ascii="仿宋_GB2312" w:hAnsi="宋体" w:eastAsia="仿宋_GB2312"/>
          <w:color w:val="000000"/>
          <w:sz w:val="28"/>
          <w:szCs w:val="28"/>
          <w:u w:val="single"/>
        </w:rPr>
        <w:t xml:space="preserve">              。</w:t>
      </w:r>
    </w:p>
    <w:p w14:paraId="14076707">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w:t>
      </w:r>
      <w:r>
        <w:rPr>
          <w:rFonts w:hint="eastAsia" w:ascii="仿宋_GB2312" w:hAnsi="宋体" w:eastAsia="仿宋_GB2312"/>
          <w:color w:val="000000"/>
          <w:sz w:val="28"/>
          <w:szCs w:val="28"/>
          <w:lang w:eastAsia="zh-CN"/>
        </w:rPr>
        <w:t>六</w:t>
      </w:r>
      <w:r>
        <w:rPr>
          <w:rFonts w:hint="eastAsia" w:ascii="仿宋_GB2312" w:hAnsi="宋体" w:eastAsia="仿宋_GB2312"/>
          <w:color w:val="000000"/>
          <w:sz w:val="28"/>
          <w:szCs w:val="28"/>
        </w:rPr>
        <w:t>条　交付和验收</w:t>
      </w:r>
    </w:p>
    <w:p w14:paraId="206CDECB">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1.交付时间：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；交付地点：</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53C8A51F">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2.乙方提供不符合招标文件规定或者投标文件承诺的和本合同规定的货物，甲方有权拒绝接受。</w:t>
      </w:r>
    </w:p>
    <w:p w14:paraId="6CBAD44D">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01286D53">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4.甲方应当在到货（安装、调试完）后七个工作日内进行验收，逾期不验收的，乙方可视同验收合格。验收合格后由甲乙双方签署货物验收单并加盖采购人公章，甲乙双方各执一份。</w:t>
      </w:r>
    </w:p>
    <w:p w14:paraId="5BF4955D">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FAAA79E">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6.甲方对验收有异议的，在验收后五个工作日内以书面形式向乙方提出，乙方应自收到甲方书面异议后</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日内及时予以解决。</w:t>
      </w:r>
    </w:p>
    <w:p w14:paraId="173D37E0">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七</w:t>
      </w:r>
      <w:r>
        <w:rPr>
          <w:rFonts w:hint="eastAsia" w:ascii="仿宋_GB2312" w:hAnsi="仿宋" w:eastAsia="仿宋_GB2312" w:cs="仿宋"/>
          <w:sz w:val="28"/>
          <w:szCs w:val="28"/>
        </w:rPr>
        <w:t>条　安装和培训</w:t>
      </w:r>
    </w:p>
    <w:p w14:paraId="68D85341">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1.甲方应提供必要安装条件（如场地、电源、水源等）。</w:t>
      </w:r>
    </w:p>
    <w:p w14:paraId="2FE83532">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2.乙方投标文件承诺负责甲方有关人员的培训。培训时间、地点：</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479433C1">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八</w:t>
      </w:r>
      <w:r>
        <w:rPr>
          <w:rFonts w:hint="eastAsia" w:ascii="仿宋_GB2312" w:hAnsi="仿宋" w:eastAsia="仿宋_GB2312" w:cs="仿宋"/>
          <w:sz w:val="28"/>
          <w:szCs w:val="28"/>
        </w:rPr>
        <w:t>条  售后服务、质保期</w:t>
      </w:r>
    </w:p>
    <w:p w14:paraId="383E9DBB">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1.乙方应按照国家有关法律法规和“三包”规定以及本合同所附的《服务承诺》，为甲方提供售后服务。</w:t>
      </w:r>
    </w:p>
    <w:p w14:paraId="0F4EB69B">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2.货物质保期：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A807FAD">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3.乙方提供的服务承诺和售后服务及保修期责任等其它具体约定事项。（见合同附件）</w:t>
      </w:r>
    </w:p>
    <w:p w14:paraId="7E44E5B1">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九</w:t>
      </w:r>
      <w:r>
        <w:rPr>
          <w:rFonts w:hint="eastAsia" w:ascii="仿宋_GB2312" w:hAnsi="仿宋" w:eastAsia="仿宋_GB2312" w:cs="仿宋"/>
          <w:sz w:val="28"/>
          <w:szCs w:val="28"/>
        </w:rPr>
        <w:t>条　付款方式</w:t>
      </w:r>
    </w:p>
    <w:p w14:paraId="2014CFC6">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1.当采购数量与实际使用数量不一致时，乙方应根据实际使用量供货，合同的最终结算金额按实际使用量乘以成交单价进行计算，但不得超出合同价的10%。</w:t>
      </w:r>
    </w:p>
    <w:p w14:paraId="3134CFD7">
      <w:pPr>
        <w:snapToGrid w:val="0"/>
        <w:spacing w:line="460" w:lineRule="exact"/>
        <w:ind w:firstLine="560" w:firstLineChars="200"/>
        <w:rPr>
          <w:rFonts w:hint="eastAsia" w:ascii="仿宋_GB2312" w:hAnsi="宋体" w:eastAsia="仿宋_GB2312"/>
          <w:color w:val="000000"/>
          <w:sz w:val="28"/>
          <w:szCs w:val="28"/>
          <w:u w:val="single"/>
        </w:rPr>
      </w:pPr>
      <w:r>
        <w:rPr>
          <w:rFonts w:hint="eastAsia" w:ascii="仿宋_GB2312" w:hAnsi="仿宋" w:eastAsia="仿宋_GB2312" w:cs="仿宋"/>
          <w:sz w:val="28"/>
          <w:szCs w:val="28"/>
        </w:rPr>
        <w:t>2.付款方式</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签订合同后到货安装，经验收合格并收到供应商开具的发票后的第2个月付合同款的90%，剩余的合同款在质保期满后7个工作日内付清（不计利息）</w:t>
      </w:r>
    </w:p>
    <w:p w14:paraId="2B3E1998">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十</w:t>
      </w:r>
      <w:r>
        <w:rPr>
          <w:rFonts w:hint="eastAsia" w:ascii="仿宋_GB2312" w:hAnsi="仿宋" w:eastAsia="仿宋_GB2312" w:cs="仿宋"/>
          <w:sz w:val="28"/>
          <w:szCs w:val="28"/>
        </w:rPr>
        <w:t>条　履约保证金</w:t>
      </w:r>
    </w:p>
    <w:p w14:paraId="26C3FF28">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履约保证金金额：每分标按中标金额的/%（注：履约保证金不超过</w:t>
      </w:r>
      <w:r>
        <w:rPr>
          <w:rFonts w:ascii="仿宋_GB2312" w:hAnsi="仿宋" w:eastAsia="仿宋_GB2312" w:cs="仿宋"/>
          <w:sz w:val="28"/>
          <w:szCs w:val="28"/>
        </w:rPr>
        <w:t>5</w:t>
      </w:r>
      <w:r>
        <w:rPr>
          <w:rFonts w:hint="eastAsia" w:ascii="仿宋_GB2312" w:hAnsi="仿宋" w:eastAsia="仿宋_GB2312" w:cs="仿宋"/>
          <w:sz w:val="28"/>
          <w:szCs w:val="28"/>
        </w:rPr>
        <w:t>%）。</w:t>
      </w:r>
    </w:p>
    <w:p w14:paraId="21ED69F6">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履约保证金递交方式：支票、汇票、本票或者金融、担保机构出具的保函等非现金方式（参照投标保证金）。</w:t>
      </w:r>
    </w:p>
    <w:p w14:paraId="5A017B63">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4515AF3B">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第十</w:t>
      </w:r>
      <w:r>
        <w:rPr>
          <w:rFonts w:hint="eastAsia" w:ascii="仿宋_GB2312" w:hAnsi="仿宋" w:eastAsia="仿宋_GB2312" w:cs="仿宋"/>
          <w:sz w:val="28"/>
          <w:szCs w:val="28"/>
          <w:lang w:eastAsia="zh-CN"/>
        </w:rPr>
        <w:t>一</w:t>
      </w:r>
      <w:r>
        <w:rPr>
          <w:rFonts w:hint="eastAsia" w:ascii="仿宋_GB2312" w:hAnsi="仿宋" w:eastAsia="仿宋_GB2312" w:cs="仿宋"/>
          <w:sz w:val="28"/>
          <w:szCs w:val="28"/>
        </w:rPr>
        <w:t>条  税费</w:t>
      </w:r>
    </w:p>
    <w:p w14:paraId="614341BA">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本合同执行中相关的一切税费均由乙方负担，合同另有约定的除外。</w:t>
      </w:r>
    </w:p>
    <w:p w14:paraId="6C656E15">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第十</w:t>
      </w:r>
      <w:r>
        <w:rPr>
          <w:rFonts w:hint="eastAsia" w:ascii="仿宋_GB2312" w:hAnsi="仿宋" w:eastAsia="仿宋_GB2312" w:cs="仿宋"/>
          <w:sz w:val="28"/>
          <w:szCs w:val="28"/>
          <w:lang w:eastAsia="zh-CN"/>
        </w:rPr>
        <w:t>二</w:t>
      </w:r>
      <w:r>
        <w:rPr>
          <w:rFonts w:hint="eastAsia" w:ascii="仿宋_GB2312" w:hAnsi="仿宋" w:eastAsia="仿宋_GB2312" w:cs="仿宋"/>
          <w:sz w:val="28"/>
          <w:szCs w:val="28"/>
        </w:rPr>
        <w:t>条  质量保证及售后服务</w:t>
      </w:r>
    </w:p>
    <w:p w14:paraId="07374847">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1.乙方应按招标文件规定的产品名称、商标品牌、生产厂家、规格型号、技术参数、质量标准向甲方提供未经使用的全新产品。不符合要求的，根据实际情况，经双方协商，可按以下办法处理：</w:t>
      </w:r>
    </w:p>
    <w:p w14:paraId="712BD074">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⑴更换：由乙方承担所发生的全部费用。</w:t>
      </w:r>
    </w:p>
    <w:p w14:paraId="646E4695">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⑵贬值处理：由甲乙双方合议定价。</w:t>
      </w:r>
    </w:p>
    <w:p w14:paraId="183E539C">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⑶退货处理：乙方应退还甲方支付的合同款，同时应承担该货物的直接费用（运输、保险、检验、</w:t>
      </w:r>
    </w:p>
    <w:p w14:paraId="4A239005">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货款利息及银行手续费等）。</w:t>
      </w:r>
    </w:p>
    <w:p w14:paraId="6B2E660A">
      <w:pPr>
        <w:pStyle w:val="4"/>
        <w:spacing w:line="460" w:lineRule="exact"/>
        <w:rPr>
          <w:rFonts w:hint="eastAsia"/>
        </w:rPr>
      </w:pPr>
      <w:r>
        <w:rPr>
          <w:rFonts w:hint="eastAsia"/>
        </w:rPr>
        <w:t>2.如在使用过程中发生质量问题，乙方在接到甲方通知后到达甲方现场处理的时间（</w:t>
      </w:r>
      <w:r>
        <w:rPr>
          <w:rFonts w:hint="eastAsia"/>
          <w:u w:val="single"/>
        </w:rPr>
        <w:t>按投标文件承诺的数据填写</w:t>
      </w:r>
      <w:r>
        <w:rPr>
          <w:rFonts w:hint="eastAsia"/>
        </w:rPr>
        <w:t>）小时内。</w:t>
      </w:r>
    </w:p>
    <w:p w14:paraId="03479257">
      <w:pPr>
        <w:pStyle w:val="4"/>
        <w:spacing w:line="460" w:lineRule="exact"/>
      </w:pPr>
      <w:r>
        <w:rPr>
          <w:rFonts w:hint="eastAsia"/>
        </w:rPr>
        <w:t>3.在质保期内，乙方应对货物出现的质量及安全问题负责处理解决并承担一切费用。</w:t>
      </w:r>
    </w:p>
    <w:p w14:paraId="00489854">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4.上述的货物质保期为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年，因人为因素出现的故障不在免费保修范围内。超过保修期的机器设备，终生维修，维修时只收部件成本费。</w:t>
      </w:r>
    </w:p>
    <w:p w14:paraId="3B6D12F0">
      <w:pPr>
        <w:pStyle w:val="4"/>
        <w:spacing w:line="460" w:lineRule="exact"/>
      </w:pPr>
      <w:r>
        <w:rPr>
          <w:rFonts w:hint="eastAsia"/>
        </w:rPr>
        <w:t>第十</w:t>
      </w:r>
      <w:r>
        <w:rPr>
          <w:rFonts w:hint="eastAsia"/>
          <w:lang w:eastAsia="zh-CN"/>
        </w:rPr>
        <w:t>三</w:t>
      </w:r>
      <w:r>
        <w:rPr>
          <w:rFonts w:hint="eastAsia"/>
        </w:rPr>
        <w:t>条  调试和验收（本条款适用于甲方自行验收，委托第三方验收的另行规定）</w:t>
      </w:r>
    </w:p>
    <w:p w14:paraId="764383CA">
      <w:pPr>
        <w:pStyle w:val="4"/>
        <w:spacing w:line="460" w:lineRule="exact"/>
      </w:pPr>
      <w:r>
        <w:rPr>
          <w:rFonts w:hint="eastAsia"/>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0D7315F">
      <w:pPr>
        <w:pStyle w:val="4"/>
        <w:spacing w:line="460" w:lineRule="exact"/>
      </w:pPr>
      <w:r>
        <w:rPr>
          <w:rFonts w:hint="eastAsia"/>
        </w:rPr>
        <w:t>2.乙方交货前应对产品作出全面检查和对验收文件进行整理，并列出清单，作为甲方收货验收和使用的技术条件依据，检验的结果应随货物交甲方。</w:t>
      </w:r>
    </w:p>
    <w:p w14:paraId="748D13B9">
      <w:pPr>
        <w:pStyle w:val="4"/>
        <w:spacing w:line="460" w:lineRule="exact"/>
      </w:pPr>
      <w:r>
        <w:rPr>
          <w:rFonts w:hint="eastAsia"/>
        </w:rPr>
        <w:t>3.甲方对乙方提供的货物在使用前进行调试时，乙方需负责安装并培训甲方的使用操作人员，并协助甲方一起调试，直到符合技术要求，甲方才做最终验收。</w:t>
      </w:r>
    </w:p>
    <w:p w14:paraId="5A4CEA88">
      <w:pPr>
        <w:pStyle w:val="4"/>
        <w:spacing w:line="460" w:lineRule="exact"/>
      </w:pPr>
      <w:r>
        <w:rPr>
          <w:rFonts w:hint="eastAsia"/>
        </w:rPr>
        <w:t>4.对技术复杂的货物，甲方应请国家认可的专业检测机构参与初步验收及最终验收，并由其出具质量检测报告。</w:t>
      </w:r>
    </w:p>
    <w:p w14:paraId="6636B142">
      <w:pPr>
        <w:pStyle w:val="4"/>
        <w:spacing w:line="460" w:lineRule="exact"/>
      </w:pPr>
      <w:r>
        <w:rPr>
          <w:rFonts w:hint="eastAsia"/>
        </w:rPr>
        <w:t>5. 验收时乙方必须在现场，验收完毕后作出验收结果报告；验收费用按招标文件约定承担方负责。</w:t>
      </w:r>
    </w:p>
    <w:p w14:paraId="3019E381">
      <w:pPr>
        <w:pStyle w:val="4"/>
        <w:spacing w:line="460" w:lineRule="exact"/>
      </w:pPr>
      <w:r>
        <w:rPr>
          <w:rFonts w:hint="eastAsia"/>
        </w:rPr>
        <w:t>第十</w:t>
      </w:r>
      <w:r>
        <w:rPr>
          <w:rFonts w:hint="eastAsia"/>
          <w:lang w:eastAsia="zh-CN"/>
        </w:rPr>
        <w:t>四</w:t>
      </w:r>
      <w:r>
        <w:rPr>
          <w:rFonts w:hint="eastAsia"/>
        </w:rPr>
        <w:t>条  货物包装、发运及运输</w:t>
      </w:r>
    </w:p>
    <w:p w14:paraId="2E879435">
      <w:pPr>
        <w:pStyle w:val="4"/>
        <w:spacing w:line="460" w:lineRule="exact"/>
      </w:pPr>
      <w:r>
        <w:rPr>
          <w:rFonts w:hint="eastAsia"/>
        </w:rPr>
        <w:t>1.乙方应在货物发运前对其进行满足运输距离、防潮、防震、防锈和防破损装卸等要求包装，以保证货物安全运达甲方指定地点。</w:t>
      </w:r>
    </w:p>
    <w:p w14:paraId="6ECBB972">
      <w:pPr>
        <w:pStyle w:val="4"/>
        <w:spacing w:line="460" w:lineRule="exact"/>
      </w:pPr>
      <w:r>
        <w:rPr>
          <w:rFonts w:hint="eastAsia"/>
        </w:rPr>
        <w:t>2. 使用说明书（货物属于进口产品的，供货时应同时附上中文使用说明书）、质量检验证明书、随配附件和工具以及清单一并附于货物内。</w:t>
      </w:r>
    </w:p>
    <w:p w14:paraId="6427BAF8">
      <w:pPr>
        <w:pStyle w:val="4"/>
        <w:spacing w:line="460" w:lineRule="exact"/>
      </w:pPr>
      <w:r>
        <w:rPr>
          <w:rFonts w:hint="eastAsia"/>
        </w:rPr>
        <w:t>3.乙方在货物发运手续办理完毕后二十四小时内或者货到甲方四十八小时前通知甲方，以准备接货。</w:t>
      </w:r>
    </w:p>
    <w:p w14:paraId="47073F8F">
      <w:pPr>
        <w:pStyle w:val="4"/>
        <w:spacing w:line="460" w:lineRule="exact"/>
      </w:pPr>
      <w:r>
        <w:rPr>
          <w:rFonts w:hint="eastAsia"/>
        </w:rPr>
        <w:t>4.货物在交付甲方前发生的风险均由乙方负责。</w:t>
      </w:r>
    </w:p>
    <w:p w14:paraId="0A3084CC">
      <w:pPr>
        <w:pStyle w:val="4"/>
        <w:spacing w:line="460" w:lineRule="exact"/>
      </w:pPr>
      <w:r>
        <w:rPr>
          <w:rFonts w:hint="eastAsia"/>
        </w:rPr>
        <w:t>5.货物在规定的交付期限内由乙方送达甲方指定的地点视为交付，乙方同时需通知甲方货物已送达。</w:t>
      </w:r>
    </w:p>
    <w:p w14:paraId="449CEA51">
      <w:pPr>
        <w:pStyle w:val="4"/>
        <w:spacing w:line="460" w:lineRule="exact"/>
      </w:pPr>
      <w:r>
        <w:rPr>
          <w:rFonts w:hint="eastAsia"/>
        </w:rPr>
        <w:t>第十</w:t>
      </w:r>
      <w:r>
        <w:rPr>
          <w:rFonts w:hint="eastAsia"/>
          <w:lang w:eastAsia="zh-CN"/>
        </w:rPr>
        <w:t>五</w:t>
      </w:r>
      <w:r>
        <w:rPr>
          <w:rFonts w:hint="eastAsia"/>
        </w:rPr>
        <w:t>条　违约责任</w:t>
      </w:r>
    </w:p>
    <w:p w14:paraId="205069CB">
      <w:pPr>
        <w:pStyle w:val="4"/>
        <w:spacing w:line="460" w:lineRule="exact"/>
      </w:pPr>
      <w:r>
        <w:rPr>
          <w:rFonts w:hint="eastAsia"/>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45D22E20">
      <w:pPr>
        <w:pStyle w:val="4"/>
        <w:spacing w:line="460" w:lineRule="exact"/>
      </w:pPr>
      <w:r>
        <w:rPr>
          <w:rFonts w:hint="eastAsia"/>
        </w:rPr>
        <w:t>2.乙方提供的货物如侵犯了第三方合法权益而引发的任何纠纷或者诉讼，均由乙方负责交涉并承担全部责任。</w:t>
      </w:r>
    </w:p>
    <w:p w14:paraId="0C7D1A65">
      <w:pPr>
        <w:pStyle w:val="4"/>
        <w:spacing w:line="460" w:lineRule="exact"/>
      </w:pPr>
      <w:r>
        <w:rPr>
          <w:rFonts w:hint="eastAsia"/>
        </w:rPr>
        <w:t>3.因包装、运输引起的货物损坏，按质量不合格处罚。</w:t>
      </w:r>
    </w:p>
    <w:p w14:paraId="3A1A74DC">
      <w:pPr>
        <w:pStyle w:val="4"/>
        <w:spacing w:line="460" w:lineRule="exact"/>
      </w:pPr>
      <w:r>
        <w:rPr>
          <w:rFonts w:hint="eastAsia"/>
        </w:rPr>
        <w:t>4.甲方无故延期接收货物、乙方逾期交货的，每天向对方偿付违约货款额3‰违约金，但违约金累计不得超过违约货款额5%，超过</w:t>
      </w:r>
      <w:r>
        <w:rPr>
          <w:rFonts w:hint="eastAsia"/>
          <w:u w:val="single"/>
        </w:rPr>
        <w:t xml:space="preserve">   </w:t>
      </w:r>
      <w:r>
        <w:rPr>
          <w:rFonts w:hint="eastAsia"/>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31E9D264">
      <w:pPr>
        <w:pStyle w:val="4"/>
        <w:spacing w:line="460" w:lineRule="exact"/>
      </w:pPr>
      <w:r>
        <w:rPr>
          <w:rFonts w:hint="eastAsia"/>
        </w:rPr>
        <w:t>5. 乙方未按本合同和投标文件中规定的服务承诺提供售后服务的，乙方应按本合同合计金额 5%向甲方支付违约金。</w:t>
      </w:r>
    </w:p>
    <w:p w14:paraId="7909C445">
      <w:pPr>
        <w:pStyle w:val="4"/>
        <w:spacing w:line="460" w:lineRule="exact"/>
      </w:pPr>
      <w:r>
        <w:rPr>
          <w:rFonts w:hint="eastAsia"/>
        </w:rPr>
        <w:t>6. 乙方提供的货物在质量保证期内，因设计、工艺或者材料的缺陷和其它质量原因造成的问题，由乙方负责，费用从余款或者履约保证金中扣除，不足另补。</w:t>
      </w:r>
    </w:p>
    <w:p w14:paraId="1B42A8B8">
      <w:pPr>
        <w:pStyle w:val="4"/>
        <w:spacing w:line="460" w:lineRule="exact"/>
      </w:pPr>
      <w:r>
        <w:rPr>
          <w:rFonts w:hint="eastAsia"/>
        </w:rPr>
        <w:t>7. 甲乙双方有其它违约行为的，由违约方向对方支付违约内容涉及货款额的5%，违约内容涉及货款额的5%不足以赔偿经济损失的按实际赔偿。</w:t>
      </w:r>
    </w:p>
    <w:p w14:paraId="304824AE">
      <w:pPr>
        <w:pStyle w:val="4"/>
        <w:spacing w:line="460" w:lineRule="exact"/>
      </w:pPr>
      <w:r>
        <w:rPr>
          <w:rFonts w:hint="eastAsia"/>
        </w:rPr>
        <w:t>第十</w:t>
      </w:r>
      <w:r>
        <w:rPr>
          <w:rFonts w:hint="eastAsia"/>
          <w:lang w:eastAsia="zh-CN"/>
        </w:rPr>
        <w:t>六</w:t>
      </w:r>
      <w:r>
        <w:rPr>
          <w:rFonts w:hint="eastAsia"/>
        </w:rPr>
        <w:t>条  不可抗力事件处理</w:t>
      </w:r>
    </w:p>
    <w:p w14:paraId="27F5DF69">
      <w:pPr>
        <w:pStyle w:val="4"/>
        <w:spacing w:line="460" w:lineRule="exact"/>
      </w:pPr>
      <w:r>
        <w:rPr>
          <w:rFonts w:hint="eastAsia"/>
        </w:rPr>
        <w:t>1.在合同有效期内，任何一方因不可抗力事件导致不能履行合同，则合同履行期可延长，其延长期与不可抗力影响期相同。</w:t>
      </w:r>
    </w:p>
    <w:p w14:paraId="16BBBE64">
      <w:pPr>
        <w:pStyle w:val="4"/>
        <w:spacing w:line="460" w:lineRule="exact"/>
      </w:pPr>
      <w:r>
        <w:rPr>
          <w:rFonts w:hint="eastAsia"/>
        </w:rPr>
        <w:t>2.不可抗力事件发生后，应立即通知对方，并寄送有关权威机构出具的证明。</w:t>
      </w:r>
    </w:p>
    <w:p w14:paraId="76F33F4F">
      <w:pPr>
        <w:pStyle w:val="4"/>
        <w:spacing w:line="460" w:lineRule="exact"/>
      </w:pPr>
      <w:r>
        <w:rPr>
          <w:rFonts w:hint="eastAsia"/>
        </w:rPr>
        <w:t>3.不可抗力事件延续一百二十天以上，双方应通过友好协商，确定是否继续履行合同。</w:t>
      </w:r>
    </w:p>
    <w:p w14:paraId="2C2E9A43">
      <w:pPr>
        <w:pStyle w:val="4"/>
        <w:spacing w:line="460" w:lineRule="exact"/>
      </w:pPr>
      <w:r>
        <w:rPr>
          <w:rFonts w:hint="eastAsia"/>
        </w:rPr>
        <w:t>第十</w:t>
      </w:r>
      <w:r>
        <w:rPr>
          <w:rFonts w:hint="eastAsia"/>
          <w:lang w:eastAsia="zh-CN"/>
        </w:rPr>
        <w:t>七</w:t>
      </w:r>
      <w:r>
        <w:rPr>
          <w:rFonts w:hint="eastAsia"/>
        </w:rPr>
        <w:t>条  合同争议解决</w:t>
      </w:r>
    </w:p>
    <w:p w14:paraId="195BD996">
      <w:pPr>
        <w:pStyle w:val="4"/>
        <w:spacing w:line="460" w:lineRule="exact"/>
      </w:pPr>
      <w:r>
        <w:rPr>
          <w:rFonts w:hint="eastAsia"/>
        </w:rPr>
        <w:t>1. 因货物质量问题发生争议的，应邀请国家认可的质量检测机构对货物质量进行鉴定。货物符合标准的，鉴定费由甲方承担；货物不符合标准的，鉴定费由乙方承担。</w:t>
      </w:r>
    </w:p>
    <w:p w14:paraId="27FAF8F2">
      <w:pPr>
        <w:pStyle w:val="4"/>
        <w:spacing w:line="460" w:lineRule="exact"/>
      </w:pPr>
      <w:r>
        <w:rPr>
          <w:rFonts w:hint="eastAsia"/>
        </w:rPr>
        <w:t>2. 因履行本合同引起的或者与本合同有关的争议，甲乙双方应首先通过友好协商解决，如果协商不能解决，可向甲方所在地有管辖权的人民法院提起诉讼。</w:t>
      </w:r>
    </w:p>
    <w:p w14:paraId="6C6D16A2">
      <w:pPr>
        <w:pStyle w:val="4"/>
        <w:spacing w:line="460" w:lineRule="exact"/>
      </w:pPr>
      <w:r>
        <w:rPr>
          <w:rFonts w:hint="eastAsia"/>
        </w:rPr>
        <w:t>3.诉讼期间，本合同继续履行。</w:t>
      </w:r>
    </w:p>
    <w:p w14:paraId="7B5553FA">
      <w:pPr>
        <w:pStyle w:val="4"/>
        <w:spacing w:line="460" w:lineRule="exact"/>
      </w:pPr>
      <w:r>
        <w:rPr>
          <w:rFonts w:hint="eastAsia"/>
        </w:rPr>
        <w:t>第十</w:t>
      </w:r>
      <w:r>
        <w:rPr>
          <w:rFonts w:hint="eastAsia"/>
          <w:lang w:eastAsia="zh-CN"/>
        </w:rPr>
        <w:t>八</w:t>
      </w:r>
      <w:r>
        <w:rPr>
          <w:rFonts w:hint="eastAsia"/>
        </w:rPr>
        <w:t>条  合同生效及其它</w:t>
      </w:r>
    </w:p>
    <w:p w14:paraId="34028BAE">
      <w:pPr>
        <w:pStyle w:val="4"/>
        <w:spacing w:line="460" w:lineRule="exact"/>
      </w:pPr>
      <w:r>
        <w:rPr>
          <w:rFonts w:hint="eastAsia"/>
        </w:rPr>
        <w:t>1. 合同经双方法定代表人或者委托代理人签字并加盖单位公章后生效（委托代理人签字的需后附法定代表人授权委托书，格式自拟）。</w:t>
      </w:r>
    </w:p>
    <w:p w14:paraId="2AD3749F">
      <w:pPr>
        <w:pStyle w:val="4"/>
        <w:spacing w:line="460" w:lineRule="exact"/>
      </w:pPr>
      <w:r>
        <w:rPr>
          <w:rFonts w:hint="eastAsia"/>
        </w:rPr>
        <w:t>2.合同执行中涉及采购资金和采购内容修改或者补充的，须经财政部门审批，并签书面补充协议报财政部门备案，方可作为主合同不可分割的一部分。</w:t>
      </w:r>
    </w:p>
    <w:p w14:paraId="43A6385E">
      <w:pPr>
        <w:pStyle w:val="4"/>
        <w:spacing w:line="460" w:lineRule="exact"/>
      </w:pPr>
      <w:r>
        <w:rPr>
          <w:rFonts w:hint="eastAsia"/>
        </w:rPr>
        <w:t>3.本合同未尽事宜，遵照《合同法》有关条文执行。</w:t>
      </w:r>
    </w:p>
    <w:p w14:paraId="47938C83">
      <w:pPr>
        <w:pStyle w:val="4"/>
        <w:spacing w:line="460" w:lineRule="exact"/>
      </w:pPr>
      <w:r>
        <w:rPr>
          <w:rFonts w:hint="eastAsia"/>
        </w:rPr>
        <w:t>第十</w:t>
      </w:r>
      <w:r>
        <w:rPr>
          <w:rFonts w:hint="eastAsia"/>
          <w:lang w:eastAsia="zh-CN"/>
        </w:rPr>
        <w:t>九</w:t>
      </w:r>
      <w:r>
        <w:rPr>
          <w:rFonts w:hint="eastAsia"/>
        </w:rPr>
        <w:t>条　合同的变更、终止与转让</w:t>
      </w:r>
    </w:p>
    <w:p w14:paraId="47DFE288">
      <w:pPr>
        <w:pStyle w:val="4"/>
        <w:spacing w:line="460" w:lineRule="exact"/>
      </w:pPr>
      <w:r>
        <w:rPr>
          <w:rFonts w:hint="eastAsia"/>
        </w:rPr>
        <w:t>1. 除《中华人民共和国政府采购法》第五十条规定的情形外，本合同一经签订，甲乙双方不得擅自变更、中止或者终止。</w:t>
      </w:r>
    </w:p>
    <w:p w14:paraId="1B96061B">
      <w:pPr>
        <w:pStyle w:val="4"/>
        <w:spacing w:line="460" w:lineRule="exact"/>
      </w:pPr>
      <w:r>
        <w:rPr>
          <w:rFonts w:hint="eastAsia"/>
        </w:rPr>
        <w:t>2. 乙方不得擅自转让（无进口资格的供应商委托进口货物除外）其应履行的合同义务。</w:t>
      </w:r>
    </w:p>
    <w:p w14:paraId="5A553DB0">
      <w:pPr>
        <w:pStyle w:val="4"/>
        <w:spacing w:line="460" w:lineRule="exact"/>
      </w:pPr>
      <w:r>
        <w:rPr>
          <w:rFonts w:hint="eastAsia"/>
        </w:rPr>
        <w:t>第</w:t>
      </w:r>
      <w:r>
        <w:rPr>
          <w:rFonts w:hint="eastAsia"/>
          <w:lang w:eastAsia="zh-CN"/>
        </w:rPr>
        <w:t>二十</w:t>
      </w:r>
      <w:r>
        <w:rPr>
          <w:rFonts w:hint="eastAsia"/>
        </w:rPr>
        <w:t>条　本合同书与下列文件一起构成合同文件</w:t>
      </w:r>
    </w:p>
    <w:p w14:paraId="4EA28439">
      <w:pPr>
        <w:pStyle w:val="4"/>
        <w:spacing w:line="460" w:lineRule="exact"/>
      </w:pPr>
      <w:r>
        <w:rPr>
          <w:rFonts w:hint="eastAsia"/>
        </w:rPr>
        <w:t>1.成交通知书；</w:t>
      </w:r>
    </w:p>
    <w:p w14:paraId="475D088B">
      <w:pPr>
        <w:pStyle w:val="4"/>
        <w:spacing w:line="460" w:lineRule="exact"/>
      </w:pPr>
      <w:r>
        <w:rPr>
          <w:rFonts w:hint="eastAsia"/>
        </w:rPr>
        <w:t>2.竞标函；</w:t>
      </w:r>
    </w:p>
    <w:p w14:paraId="076D5AE3">
      <w:pPr>
        <w:pStyle w:val="4"/>
        <w:spacing w:line="460" w:lineRule="exact"/>
      </w:pPr>
      <w:r>
        <w:rPr>
          <w:rFonts w:hint="eastAsia"/>
        </w:rPr>
        <w:t>3.商务条款偏离表和技术偏离表；</w:t>
      </w:r>
    </w:p>
    <w:p w14:paraId="3F263E06">
      <w:pPr>
        <w:pStyle w:val="4"/>
        <w:spacing w:line="460" w:lineRule="exact"/>
      </w:pPr>
      <w:r>
        <w:rPr>
          <w:rFonts w:hint="eastAsia"/>
        </w:rPr>
        <w:t>4.采购需求；</w:t>
      </w:r>
    </w:p>
    <w:p w14:paraId="6E59D1CF">
      <w:pPr>
        <w:pStyle w:val="4"/>
        <w:spacing w:line="460" w:lineRule="exact"/>
      </w:pPr>
      <w:r>
        <w:rPr>
          <w:rFonts w:hint="eastAsia"/>
        </w:rPr>
        <w:t>5.开标一览表；</w:t>
      </w:r>
    </w:p>
    <w:p w14:paraId="623D4730">
      <w:pPr>
        <w:pStyle w:val="4"/>
        <w:spacing w:line="460" w:lineRule="exact"/>
      </w:pPr>
      <w:r>
        <w:rPr>
          <w:rFonts w:hint="eastAsia"/>
        </w:rPr>
        <w:t>6.设备性能配置清单；</w:t>
      </w:r>
    </w:p>
    <w:p w14:paraId="3A6548B9">
      <w:pPr>
        <w:pStyle w:val="4"/>
        <w:spacing w:line="460" w:lineRule="exact"/>
      </w:pPr>
      <w:r>
        <w:rPr>
          <w:rFonts w:hint="eastAsia"/>
        </w:rPr>
        <w:t>7.……；</w:t>
      </w:r>
    </w:p>
    <w:p w14:paraId="52AE3DDD">
      <w:pPr>
        <w:pStyle w:val="4"/>
        <w:spacing w:line="460" w:lineRule="exact"/>
      </w:pPr>
      <w:r>
        <w:rPr>
          <w:rFonts w:hint="eastAsia"/>
        </w:rPr>
        <w:t>8.其他合同文件。</w:t>
      </w:r>
    </w:p>
    <w:p w14:paraId="1FCDCFC2">
      <w:pPr>
        <w:pStyle w:val="4"/>
        <w:spacing w:line="460" w:lineRule="exact"/>
      </w:pPr>
      <w:r>
        <w:rPr>
          <w:rFonts w:hint="eastAsia"/>
        </w:rPr>
        <w:t>9.上述合同文件互相补充和解释。如果合同文件之间存在矛盾或者不一致之处，以上述文件 的排列顺序在先者为准。</w:t>
      </w:r>
    </w:p>
    <w:p w14:paraId="3F53537D">
      <w:pPr>
        <w:pStyle w:val="4"/>
        <w:spacing w:line="460" w:lineRule="exact"/>
      </w:pPr>
      <w:r>
        <w:rPr>
          <w:rFonts w:hint="eastAsia"/>
        </w:rPr>
        <w:t>第二十</w:t>
      </w:r>
      <w:r>
        <w:rPr>
          <w:rFonts w:hint="eastAsia"/>
          <w:lang w:eastAsia="zh-CN"/>
        </w:rPr>
        <w:t>一</w:t>
      </w:r>
      <w:r>
        <w:rPr>
          <w:rFonts w:hint="eastAsia"/>
        </w:rPr>
        <w:t>条　本合同一式六份，具有同等法律效力，采购代理机构、甲乙双方各两份（可根据需要另增加）。</w:t>
      </w:r>
    </w:p>
    <w:p w14:paraId="10D5EEF5">
      <w:pPr>
        <w:pStyle w:val="4"/>
        <w:spacing w:line="460" w:lineRule="exact"/>
      </w:pPr>
      <w:r>
        <w:rPr>
          <w:rFonts w:hint="eastAsia"/>
        </w:rPr>
        <w:t>本合同甲乙双方签字盖章后生效，自签订之日起七个工作日内，甲方应当将合同副本报同级财政部门备案。</w:t>
      </w:r>
    </w:p>
    <w:p w14:paraId="21581FC1">
      <w:pPr>
        <w:pStyle w:val="4"/>
        <w:spacing w:line="460" w:lineRule="exact"/>
        <w:rPr>
          <w:rFonts w:hint="eastAsia"/>
        </w:rPr>
      </w:pPr>
      <w:r>
        <w:rPr>
          <w:rFonts w:hint="eastAsia"/>
        </w:rPr>
        <w:t>本合同自签订之日起2个工作日内，甲方应当将采购合同在广西壮族自治区财政厅指定的媒体上公告。</w:t>
      </w:r>
    </w:p>
    <w:p w14:paraId="266C7CAF">
      <w:pPr>
        <w:spacing w:line="460" w:lineRule="exact"/>
        <w:rPr>
          <w:rFonts w:hint="eastAsia"/>
        </w:rPr>
      </w:pPr>
    </w:p>
    <w:p w14:paraId="47A73162">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甲方（章）广西壮族自治区桂东人民医院</w:t>
      </w:r>
    </w:p>
    <w:p w14:paraId="2D62098F">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单位地址：广西梧州市西江四路金鸡冲</w:t>
      </w:r>
      <w:r>
        <w:rPr>
          <w:rFonts w:ascii="仿宋_GB2312" w:hAnsi="宋体" w:eastAsia="仿宋_GB2312" w:cs="宋体"/>
          <w:sz w:val="28"/>
          <w:szCs w:val="28"/>
        </w:rPr>
        <w:t xml:space="preserve"> 1 </w:t>
      </w:r>
      <w:r>
        <w:rPr>
          <w:rFonts w:hint="eastAsia" w:ascii="仿宋_GB2312" w:hAnsi="宋体" w:eastAsia="仿宋_GB2312" w:cs="宋体"/>
          <w:sz w:val="28"/>
          <w:szCs w:val="28"/>
        </w:rPr>
        <w:t>号</w:t>
      </w:r>
    </w:p>
    <w:p w14:paraId="36CB62F7">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法定代表人：</w:t>
      </w:r>
    </w:p>
    <w:p w14:paraId="2354CFAB">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委托代理人：</w:t>
      </w:r>
    </w:p>
    <w:p w14:paraId="283740C7">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0774-2023107</w:t>
      </w:r>
    </w:p>
    <w:p w14:paraId="7148AE09">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开户银行：交通银行梧州分行营业部</w:t>
      </w:r>
    </w:p>
    <w:p w14:paraId="02DFF8A6">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账号：</w:t>
      </w:r>
      <w:r>
        <w:rPr>
          <w:rFonts w:ascii="仿宋_GB2312" w:hAnsi="宋体" w:eastAsia="仿宋_GB2312" w:cs="宋体"/>
          <w:sz w:val="28"/>
          <w:szCs w:val="28"/>
        </w:rPr>
        <w:t>454060900018150298388</w:t>
      </w:r>
    </w:p>
    <w:p w14:paraId="2D61FEC0">
      <w:pPr>
        <w:spacing w:line="440" w:lineRule="exact"/>
        <w:ind w:firstLine="560" w:firstLineChars="200"/>
        <w:jc w:val="left"/>
        <w:rPr>
          <w:rFonts w:ascii="仿宋_GB2312" w:hAnsi="宋体" w:eastAsia="仿宋_GB2312" w:cs="宋体"/>
          <w:sz w:val="28"/>
          <w:szCs w:val="28"/>
        </w:rPr>
      </w:pPr>
    </w:p>
    <w:p w14:paraId="5790959A">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乙方（章）</w:t>
      </w:r>
      <w:r>
        <w:rPr>
          <w:rFonts w:ascii="仿宋_GB2312" w:hAnsi="宋体" w:eastAsia="仿宋_GB2312" w:cs="宋体"/>
          <w:sz w:val="28"/>
          <w:szCs w:val="28"/>
        </w:rPr>
        <w:t xml:space="preserve"> </w:t>
      </w:r>
    </w:p>
    <w:p w14:paraId="246D21FF">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单位地址：</w:t>
      </w:r>
      <w:r>
        <w:rPr>
          <w:rFonts w:ascii="仿宋_GB2312" w:hAnsi="宋体" w:eastAsia="仿宋_GB2312" w:cs="宋体"/>
          <w:sz w:val="28"/>
          <w:szCs w:val="28"/>
        </w:rPr>
        <w:t xml:space="preserve"> </w:t>
      </w:r>
    </w:p>
    <w:p w14:paraId="150959D2">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法定代表人：</w:t>
      </w:r>
      <w:r>
        <w:rPr>
          <w:rFonts w:ascii="仿宋_GB2312" w:hAnsi="宋体" w:eastAsia="仿宋_GB2312" w:cs="宋体"/>
          <w:sz w:val="28"/>
          <w:szCs w:val="28"/>
        </w:rPr>
        <w:t xml:space="preserve"> </w:t>
      </w:r>
    </w:p>
    <w:p w14:paraId="7421CDB4">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委托代理人：</w:t>
      </w:r>
    </w:p>
    <w:p w14:paraId="13836397">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 xml:space="preserve"> </w:t>
      </w:r>
    </w:p>
    <w:p w14:paraId="3CF6646C">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开户银行：</w:t>
      </w:r>
      <w:r>
        <w:rPr>
          <w:rFonts w:ascii="仿宋_GB2312" w:hAnsi="宋体" w:eastAsia="仿宋_GB2312" w:cs="宋体"/>
          <w:sz w:val="28"/>
          <w:szCs w:val="28"/>
        </w:rPr>
        <w:t xml:space="preserve"> </w:t>
      </w:r>
    </w:p>
    <w:p w14:paraId="44A1C51D">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账号：</w:t>
      </w:r>
    </w:p>
    <w:p w14:paraId="0C4B14C1">
      <w:pPr>
        <w:snapToGrid w:val="0"/>
        <w:spacing w:line="360" w:lineRule="auto"/>
        <w:jc w:val="center"/>
        <w:rPr>
          <w:rFonts w:hint="eastAsia" w:ascii="方正小标宋简体" w:hAnsi="方正小标宋简体" w:eastAsia="方正小标宋简体"/>
          <w:color w:val="000000"/>
          <w:sz w:val="28"/>
          <w:szCs w:val="28"/>
        </w:rPr>
      </w:pPr>
      <w:r>
        <w:rPr>
          <w:rFonts w:ascii="宋体" w:hAnsi="宋体"/>
          <w:b/>
          <w:color w:val="000000"/>
          <w:szCs w:val="21"/>
        </w:rPr>
        <w:br w:type="page"/>
      </w:r>
      <w:r>
        <w:rPr>
          <w:rFonts w:hint="eastAsia" w:ascii="方正小标宋简体" w:hAnsi="方正小标宋简体" w:eastAsia="方正小标宋简体"/>
          <w:color w:val="000000"/>
          <w:sz w:val="36"/>
          <w:szCs w:val="28"/>
        </w:rPr>
        <w:t>合 同 附 件</w:t>
      </w:r>
    </w:p>
    <w:p w14:paraId="2A6EC4EC">
      <w:pPr>
        <w:snapToGrid w:val="0"/>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一般货物类</w:t>
      </w:r>
    </w:p>
    <w:tbl>
      <w:tblPr>
        <w:tblStyle w:val="8"/>
        <w:tblW w:w="0" w:type="auto"/>
        <w:tblInd w:w="0" w:type="dxa"/>
        <w:tblLayout w:type="fixed"/>
        <w:tblCellMar>
          <w:top w:w="0" w:type="dxa"/>
          <w:left w:w="108" w:type="dxa"/>
          <w:bottom w:w="0" w:type="dxa"/>
          <w:right w:w="108" w:type="dxa"/>
        </w:tblCellMar>
      </w:tblPr>
      <w:tblGrid>
        <w:gridCol w:w="4776"/>
        <w:gridCol w:w="4805"/>
      </w:tblGrid>
      <w:tr w14:paraId="0AF4A4E1">
        <w:tblPrEx>
          <w:tblCellMar>
            <w:top w:w="0" w:type="dxa"/>
            <w:left w:w="108" w:type="dxa"/>
            <w:bottom w:w="0" w:type="dxa"/>
            <w:right w:w="108" w:type="dxa"/>
          </w:tblCellMar>
        </w:tblPrEx>
        <w:trPr>
          <w:trHeight w:val="1760" w:hRule="atLeast"/>
        </w:trPr>
        <w:tc>
          <w:tcPr>
            <w:tcW w:w="9581" w:type="dxa"/>
            <w:gridSpan w:val="2"/>
            <w:tcBorders>
              <w:top w:val="single" w:color="auto" w:sz="4" w:space="0"/>
              <w:left w:val="single" w:color="auto" w:sz="4" w:space="0"/>
              <w:right w:val="single" w:color="auto" w:sz="4" w:space="0"/>
            </w:tcBorders>
          </w:tcPr>
          <w:p w14:paraId="1FBA3153">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1. 供应商承诺具体事项：</w:t>
            </w:r>
          </w:p>
        </w:tc>
      </w:tr>
      <w:tr w14:paraId="377B1411">
        <w:tblPrEx>
          <w:tblCellMar>
            <w:top w:w="0" w:type="dxa"/>
            <w:left w:w="108" w:type="dxa"/>
            <w:bottom w:w="0" w:type="dxa"/>
            <w:right w:w="108" w:type="dxa"/>
          </w:tblCellMar>
        </w:tblPrEx>
        <w:trPr>
          <w:trHeight w:val="1763" w:hRule="atLeast"/>
        </w:trPr>
        <w:tc>
          <w:tcPr>
            <w:tcW w:w="9581" w:type="dxa"/>
            <w:gridSpan w:val="2"/>
            <w:tcBorders>
              <w:top w:val="single" w:color="auto" w:sz="4" w:space="0"/>
              <w:left w:val="single" w:color="auto" w:sz="4" w:space="0"/>
              <w:right w:val="single" w:color="auto" w:sz="4" w:space="0"/>
            </w:tcBorders>
          </w:tcPr>
          <w:p w14:paraId="6BF36DC5">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2. 售后服务具体事项：</w:t>
            </w:r>
          </w:p>
        </w:tc>
      </w:tr>
      <w:tr w14:paraId="1C41ACEF">
        <w:tblPrEx>
          <w:tblCellMar>
            <w:top w:w="0" w:type="dxa"/>
            <w:left w:w="108" w:type="dxa"/>
            <w:bottom w:w="0" w:type="dxa"/>
            <w:right w:w="108" w:type="dxa"/>
          </w:tblCellMar>
        </w:tblPrEx>
        <w:trPr>
          <w:trHeight w:val="1562" w:hRule="atLeast"/>
        </w:trPr>
        <w:tc>
          <w:tcPr>
            <w:tcW w:w="9581" w:type="dxa"/>
            <w:gridSpan w:val="2"/>
            <w:tcBorders>
              <w:top w:val="single" w:color="auto" w:sz="4" w:space="0"/>
              <w:left w:val="single" w:color="auto" w:sz="4" w:space="0"/>
              <w:right w:val="single" w:color="auto" w:sz="4" w:space="0"/>
            </w:tcBorders>
          </w:tcPr>
          <w:p w14:paraId="4F8BC4A2">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3. 保修期责任：</w:t>
            </w:r>
          </w:p>
        </w:tc>
      </w:tr>
      <w:tr w14:paraId="2D253698">
        <w:tblPrEx>
          <w:tblCellMar>
            <w:top w:w="0" w:type="dxa"/>
            <w:left w:w="108" w:type="dxa"/>
            <w:bottom w:w="0" w:type="dxa"/>
            <w:right w:w="108" w:type="dxa"/>
          </w:tblCellMar>
        </w:tblPrEx>
        <w:trPr>
          <w:trHeight w:val="1952" w:hRule="atLeast"/>
        </w:trPr>
        <w:tc>
          <w:tcPr>
            <w:tcW w:w="9581" w:type="dxa"/>
            <w:gridSpan w:val="2"/>
            <w:tcBorders>
              <w:top w:val="single" w:color="auto" w:sz="4" w:space="0"/>
              <w:left w:val="single" w:color="auto" w:sz="4" w:space="0"/>
              <w:right w:val="single" w:color="auto" w:sz="4" w:space="0"/>
            </w:tcBorders>
          </w:tcPr>
          <w:p w14:paraId="0857147D">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4. 其他具体事项：</w:t>
            </w:r>
          </w:p>
        </w:tc>
      </w:tr>
      <w:tr w14:paraId="5DF2BE88">
        <w:tblPrEx>
          <w:tblCellMar>
            <w:top w:w="0" w:type="dxa"/>
            <w:left w:w="108" w:type="dxa"/>
            <w:bottom w:w="0" w:type="dxa"/>
            <w:right w:w="108" w:type="dxa"/>
          </w:tblCellMar>
        </w:tblPrEx>
        <w:trPr>
          <w:trHeight w:val="2445" w:hRule="atLeast"/>
        </w:trPr>
        <w:tc>
          <w:tcPr>
            <w:tcW w:w="4776" w:type="dxa"/>
            <w:tcBorders>
              <w:top w:val="single" w:color="auto" w:sz="4" w:space="0"/>
              <w:left w:val="single" w:color="auto" w:sz="4" w:space="0"/>
              <w:bottom w:val="single" w:color="auto" w:sz="4" w:space="0"/>
              <w:right w:val="single" w:color="auto" w:sz="4" w:space="0"/>
            </w:tcBorders>
            <w:vAlign w:val="center"/>
          </w:tcPr>
          <w:p w14:paraId="569683EF">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甲方（章）</w:t>
            </w:r>
          </w:p>
          <w:p w14:paraId="4329F3FD">
            <w:pPr>
              <w:snapToGrid w:val="0"/>
              <w:spacing w:line="360" w:lineRule="auto"/>
              <w:ind w:firstLine="562" w:firstLineChars="200"/>
              <w:rPr>
                <w:rFonts w:hint="eastAsia" w:ascii="仿宋_GB2312" w:hAnsi="宋体" w:eastAsia="仿宋_GB2312"/>
                <w:b/>
                <w:color w:val="000000"/>
                <w:sz w:val="28"/>
                <w:szCs w:val="28"/>
              </w:rPr>
            </w:pPr>
          </w:p>
          <w:p w14:paraId="75821D6C">
            <w:pPr>
              <w:snapToGrid w:val="0"/>
              <w:spacing w:line="360" w:lineRule="auto"/>
              <w:rPr>
                <w:rFonts w:hint="eastAsia" w:ascii="仿宋_GB2312" w:hAnsi="宋体" w:eastAsia="仿宋_GB2312"/>
                <w:b/>
                <w:color w:val="000000"/>
                <w:sz w:val="28"/>
                <w:szCs w:val="28"/>
              </w:rPr>
            </w:pPr>
          </w:p>
          <w:p w14:paraId="3ADF9AE5">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年   月   日 </w:t>
            </w:r>
          </w:p>
        </w:tc>
        <w:tc>
          <w:tcPr>
            <w:tcW w:w="4805" w:type="dxa"/>
            <w:tcBorders>
              <w:top w:val="single" w:color="auto" w:sz="4" w:space="0"/>
              <w:left w:val="single" w:color="auto" w:sz="4" w:space="0"/>
              <w:bottom w:val="single" w:color="auto" w:sz="4" w:space="0"/>
              <w:right w:val="single" w:color="auto" w:sz="4" w:space="0"/>
            </w:tcBorders>
            <w:vAlign w:val="center"/>
          </w:tcPr>
          <w:p w14:paraId="1906C038">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乙方（章）</w:t>
            </w:r>
          </w:p>
          <w:p w14:paraId="48F419C9">
            <w:pPr>
              <w:snapToGrid w:val="0"/>
              <w:spacing w:line="360" w:lineRule="auto"/>
              <w:ind w:firstLine="562" w:firstLineChars="200"/>
              <w:rPr>
                <w:rFonts w:hint="eastAsia" w:ascii="仿宋_GB2312" w:hAnsi="宋体" w:eastAsia="仿宋_GB2312"/>
                <w:b/>
                <w:color w:val="000000"/>
                <w:sz w:val="28"/>
                <w:szCs w:val="28"/>
              </w:rPr>
            </w:pPr>
          </w:p>
          <w:p w14:paraId="0B577ED8">
            <w:pPr>
              <w:snapToGrid w:val="0"/>
              <w:spacing w:line="360" w:lineRule="auto"/>
              <w:rPr>
                <w:rFonts w:hint="eastAsia" w:ascii="仿宋_GB2312" w:hAnsi="宋体" w:eastAsia="仿宋_GB2312"/>
                <w:b/>
                <w:color w:val="000000"/>
                <w:sz w:val="28"/>
                <w:szCs w:val="28"/>
              </w:rPr>
            </w:pPr>
          </w:p>
          <w:p w14:paraId="363492E6">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年   月   日</w:t>
            </w:r>
          </w:p>
        </w:tc>
      </w:tr>
    </w:tbl>
    <w:p w14:paraId="022F9479">
      <w:pPr>
        <w:snapToGrid w:val="0"/>
        <w:spacing w:line="360" w:lineRule="auto"/>
        <w:jc w:val="left"/>
        <w:rPr>
          <w:rFonts w:ascii="宋体" w:hAnsi="宋体"/>
          <w:color w:val="000000"/>
          <w:szCs w:val="21"/>
        </w:rPr>
      </w:pPr>
      <w:r>
        <w:rPr>
          <w:rFonts w:hint="eastAsia" w:ascii="宋体" w:hAnsi="宋体"/>
          <w:color w:val="000000"/>
          <w:szCs w:val="21"/>
        </w:rPr>
        <w:t xml:space="preserve">   注：售后服务事项填不下时可另加附页</w:t>
      </w:r>
    </w:p>
    <w:p w14:paraId="5BFAA3F5"/>
    <w:p w14:paraId="6207D007"/>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71E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F60EA">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BAF60EA">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E55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0C35">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4F77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244F77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1042">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810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8D5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DVhNGU2ZDc0MmNmODViMjQ2ZWRhOGM3OGZiYzAifQ=="/>
  </w:docVars>
  <w:rsids>
    <w:rsidRoot w:val="5CB97ADC"/>
    <w:rsid w:val="001073D8"/>
    <w:rsid w:val="00142F61"/>
    <w:rsid w:val="005E4279"/>
    <w:rsid w:val="00A4606F"/>
    <w:rsid w:val="39875E86"/>
    <w:rsid w:val="3DD855E6"/>
    <w:rsid w:val="3FE033A5"/>
    <w:rsid w:val="4E8C2D79"/>
    <w:rsid w:val="5A9C2B6E"/>
    <w:rsid w:val="5CB9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Plain Text"/>
    <w:basedOn w:val="1"/>
    <w:next w:val="1"/>
    <w:autoRedefine/>
    <w:qFormat/>
    <w:uiPriority w:val="0"/>
    <w:pPr>
      <w:snapToGrid w:val="0"/>
      <w:spacing w:line="360" w:lineRule="auto"/>
      <w:ind w:firstLine="560" w:firstLineChars="200"/>
    </w:pPr>
    <w:rPr>
      <w:rFonts w:ascii="仿宋_GB2312" w:hAnsi="宋体" w:eastAsia="仿宋_GB2312"/>
      <w:color w:val="000000"/>
      <w:kern w:val="0"/>
      <w:sz w:val="28"/>
      <w:szCs w:val="28"/>
    </w:rPr>
  </w:style>
  <w:style w:type="paragraph" w:styleId="5">
    <w:name w:val="footer"/>
    <w:basedOn w:val="1"/>
    <w:next w:val="1"/>
    <w:autoRedefine/>
    <w:unhideWhenUsed/>
    <w:qFormat/>
    <w:uiPriority w:val="99"/>
    <w:pPr>
      <w:tabs>
        <w:tab w:val="center" w:pos="4153"/>
        <w:tab w:val="right" w:pos="8306"/>
      </w:tabs>
      <w:snapToGrid w:val="0"/>
      <w:jc w:val="center"/>
    </w:pPr>
    <w:rPr>
      <w:rFonts w:asciiTheme="majorEastAsia" w:hAnsiTheme="majorEastAsia" w:eastAsiaTheme="majorEastAsia"/>
      <w:kern w:val="0"/>
      <w:sz w:val="28"/>
      <w:szCs w:val="2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rPr>
      <w:sz w:val="28"/>
    </w:rPr>
  </w:style>
  <w:style w:type="character" w:customStyle="1" w:styleId="10">
    <w:name w:val="页眉 Char"/>
    <w:basedOn w:val="9"/>
    <w:link w:val="6"/>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4406</Words>
  <Characters>4519</Characters>
  <Lines>35</Lines>
  <Paragraphs>10</Paragraphs>
  <TotalTime>3</TotalTime>
  <ScaleCrop>false</ScaleCrop>
  <LinksUpToDate>false</LinksUpToDate>
  <CharactersWithSpaces>5003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2021-10-28T07:51:00Z</dcterms:created>
  <dc:creator>HP</dc:creator>
  <cp:lastModifiedBy>Administrator</cp:lastModifiedBy>
  <dcterms:modified xsi:type="dcterms:W3CDTF">2025-08-21T00:07:36Z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78D00AC8295347C0820F58A41523CE1E</vt:lpwstr>
  </property>
  <property fmtid="{D5CDD505-2E9C-101B-9397-08002B2CF9AE}" pid="4" name="KSOTemplateDocerSaveRecord">
    <vt:lpwstr>eyJoZGlkIjoiYmIzOTBlNTU2NGZiNjNmMTk2MTU3MmYyODNjZjEwOTgifQ==</vt:lpwstr>
  </property>
</Properties>
</file>