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55AF6">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14:paraId="11BBA451">
      <w:pPr>
        <w:pStyle w:val="12"/>
        <w:ind w:left="-708" w:leftChars="-337"/>
        <w:rPr>
          <w:rFonts w:cs="宋体"/>
          <w:b/>
          <w:bCs/>
          <w:sz w:val="28"/>
          <w:szCs w:val="28"/>
        </w:rPr>
      </w:pPr>
      <w:r>
        <w:rPr>
          <w:rFonts w:hint="eastAsia" w:cs="宋体"/>
          <w:b/>
          <w:bCs/>
          <w:sz w:val="28"/>
          <w:szCs w:val="28"/>
        </w:rPr>
        <w:t>一、采购清单、技术规格参数、质量标准和要求</w:t>
      </w:r>
    </w:p>
    <w:p w14:paraId="515CA7BA">
      <w:pPr>
        <w:pStyle w:val="12"/>
        <w:ind w:left="-708" w:leftChars="-337"/>
        <w:rPr>
          <w:b/>
          <w:bCs/>
        </w:rPr>
      </w:pPr>
      <w:r>
        <w:rPr>
          <w:rFonts w:hint="eastAsia" w:cs="宋体"/>
          <w:b/>
          <w:bCs/>
        </w:rPr>
        <w:t>（一）采购清单</w:t>
      </w:r>
      <w:r>
        <w:rPr>
          <w:b/>
          <w:bCs/>
        </w:rPr>
        <w:t> </w:t>
      </w:r>
    </w:p>
    <w:p w14:paraId="20B2E5E0">
      <w:pPr>
        <w:pStyle w:val="12"/>
        <w:ind w:left="-708" w:leftChars="-337" w:firstLine="790" w:firstLineChars="328"/>
        <w:rPr>
          <w:rFonts w:hint="default"/>
          <w:b/>
          <w:bCs/>
          <w:lang w:val="en-US" w:eastAsia="zh-CN"/>
        </w:rPr>
      </w:pPr>
      <w:bookmarkStart w:id="0" w:name="_GoBack"/>
      <w:bookmarkEnd w:id="0"/>
      <w:r>
        <w:rPr>
          <w:rFonts w:hint="eastAsia"/>
          <w:b/>
          <w:bCs/>
          <w:lang w:val="en-US" w:eastAsia="zh-CN"/>
        </w:rPr>
        <w:t>B分标：耳鼻专用吸管</w:t>
      </w:r>
    </w:p>
    <w:p w14:paraId="4C3CBF35">
      <w:pPr>
        <w:widowControl/>
        <w:numPr>
          <w:ilvl w:val="0"/>
          <w:numId w:val="1"/>
        </w:numPr>
        <w:spacing w:line="360" w:lineRule="auto"/>
        <w:ind w:left="-708" w:leftChars="-337"/>
        <w:jc w:val="left"/>
        <w:rPr>
          <w:rFonts w:hint="eastAsia"/>
          <w:b/>
          <w:bCs/>
          <w:lang w:val="en-US" w:eastAsia="zh-CN"/>
        </w:rPr>
      </w:pPr>
      <w:r>
        <w:rPr>
          <w:rFonts w:hint="eastAsia" w:cs="宋体"/>
          <w:b/>
          <w:bCs/>
          <w:kern w:val="0"/>
          <w:sz w:val="24"/>
          <w:szCs w:val="24"/>
        </w:rPr>
        <w:t>技术规格参数</w:t>
      </w:r>
    </w:p>
    <w:p w14:paraId="27906837">
      <w:pPr>
        <w:widowControl/>
        <w:numPr>
          <w:numId w:val="0"/>
        </w:numPr>
        <w:spacing w:line="360" w:lineRule="auto"/>
        <w:jc w:val="left"/>
        <w:rPr>
          <w:rFonts w:hint="eastAsia"/>
          <w:b/>
          <w:bCs/>
          <w:lang w:val="en-US" w:eastAsia="zh-CN"/>
        </w:rPr>
      </w:pPr>
      <w:r>
        <w:rPr>
          <w:rFonts w:hint="eastAsia"/>
          <w:b/>
          <w:bCs/>
          <w:lang w:val="en-US" w:eastAsia="zh-CN"/>
        </w:rPr>
        <w:t>B分标：耳鼻专用吸管（投标报价限价：19700.00元）</w:t>
      </w:r>
    </w:p>
    <w:p w14:paraId="3216B080">
      <w:pPr>
        <w:pStyle w:val="12"/>
        <w:ind w:left="-708" w:leftChars="-337" w:firstLine="480"/>
        <w:rPr>
          <w:rFonts w:hint="eastAsia"/>
          <w:b/>
          <w:bCs/>
          <w:lang w:val="en-US" w:eastAsia="zh-CN"/>
        </w:rPr>
      </w:pPr>
    </w:p>
    <w:tbl>
      <w:tblPr>
        <w:tblStyle w:val="9"/>
        <w:tblW w:w="10131" w:type="dxa"/>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1541"/>
        <w:gridCol w:w="617"/>
        <w:gridCol w:w="616"/>
        <w:gridCol w:w="2220"/>
        <w:gridCol w:w="4541"/>
      </w:tblGrid>
      <w:tr w14:paraId="468F1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vAlign w:val="center"/>
          </w:tcPr>
          <w:p w14:paraId="4BECF323">
            <w:pPr>
              <w:keepNext w:val="0"/>
              <w:keepLines w:val="0"/>
              <w:widowControl/>
              <w:suppressLineNumbers w:val="0"/>
              <w:jc w:val="center"/>
              <w:textAlignment w:val="center"/>
              <w:rPr>
                <w:rFonts w:hint="default"/>
                <w:b/>
                <w:bCs/>
                <w:vertAlign w:val="baseline"/>
                <w:lang w:val="en-US" w:eastAsia="zh-CN"/>
              </w:rPr>
            </w:pPr>
            <w:r>
              <w:rPr>
                <w:rFonts w:hint="eastAsia" w:ascii="宋体" w:hAnsi="宋体" w:eastAsia="宋体" w:cs="宋体"/>
                <w:b/>
                <w:bCs/>
                <w:i w:val="0"/>
                <w:iCs w:val="0"/>
                <w:color w:val="000000"/>
                <w:kern w:val="0"/>
                <w:sz w:val="18"/>
                <w:szCs w:val="18"/>
                <w:u w:val="none"/>
                <w:lang w:val="en-US" w:eastAsia="zh-CN" w:bidi="ar"/>
              </w:rPr>
              <w:t>序号</w:t>
            </w:r>
          </w:p>
        </w:tc>
        <w:tc>
          <w:tcPr>
            <w:tcW w:w="1541" w:type="dxa"/>
            <w:vAlign w:val="center"/>
          </w:tcPr>
          <w:p w14:paraId="00A98F54">
            <w:pPr>
              <w:keepNext w:val="0"/>
              <w:keepLines w:val="0"/>
              <w:widowControl/>
              <w:suppressLineNumbers w:val="0"/>
              <w:jc w:val="center"/>
              <w:textAlignment w:val="center"/>
              <w:rPr>
                <w:rFonts w:hint="default"/>
                <w:b/>
                <w:bCs/>
                <w:vertAlign w:val="baseline"/>
                <w:lang w:val="en-US" w:eastAsia="zh-CN"/>
              </w:rPr>
            </w:pPr>
            <w:r>
              <w:rPr>
                <w:rFonts w:hint="eastAsia" w:ascii="宋体" w:hAnsi="宋体" w:eastAsia="宋体" w:cs="宋体"/>
                <w:b/>
                <w:bCs/>
                <w:i w:val="0"/>
                <w:iCs w:val="0"/>
                <w:color w:val="000000"/>
                <w:kern w:val="0"/>
                <w:sz w:val="18"/>
                <w:szCs w:val="18"/>
                <w:u w:val="none"/>
                <w:lang w:val="en-US" w:eastAsia="zh-CN" w:bidi="ar"/>
              </w:rPr>
              <w:t>产品名称</w:t>
            </w:r>
          </w:p>
        </w:tc>
        <w:tc>
          <w:tcPr>
            <w:tcW w:w="617" w:type="dxa"/>
            <w:vAlign w:val="center"/>
          </w:tcPr>
          <w:p w14:paraId="69C15567">
            <w:pPr>
              <w:keepNext w:val="0"/>
              <w:keepLines w:val="0"/>
              <w:widowControl/>
              <w:suppressLineNumbers w:val="0"/>
              <w:jc w:val="center"/>
              <w:textAlignment w:val="center"/>
              <w:rPr>
                <w:rFonts w:hint="default"/>
                <w:b/>
                <w:bCs/>
                <w:vertAlign w:val="baseline"/>
                <w:lang w:val="en-US" w:eastAsia="zh-CN"/>
              </w:rPr>
            </w:pPr>
            <w:r>
              <w:rPr>
                <w:rFonts w:hint="eastAsia" w:ascii="宋体" w:hAnsi="宋体" w:eastAsia="宋体" w:cs="宋体"/>
                <w:b/>
                <w:bCs/>
                <w:i w:val="0"/>
                <w:iCs w:val="0"/>
                <w:color w:val="000000"/>
                <w:kern w:val="0"/>
                <w:sz w:val="18"/>
                <w:szCs w:val="18"/>
                <w:u w:val="none"/>
                <w:lang w:val="en-US" w:eastAsia="zh-CN" w:bidi="ar"/>
              </w:rPr>
              <w:t>单位</w:t>
            </w:r>
          </w:p>
        </w:tc>
        <w:tc>
          <w:tcPr>
            <w:tcW w:w="616" w:type="dxa"/>
            <w:vAlign w:val="center"/>
          </w:tcPr>
          <w:p w14:paraId="766DB023">
            <w:pPr>
              <w:keepNext w:val="0"/>
              <w:keepLines w:val="0"/>
              <w:widowControl/>
              <w:suppressLineNumbers w:val="0"/>
              <w:jc w:val="center"/>
              <w:textAlignment w:val="center"/>
              <w:rPr>
                <w:rFonts w:hint="default"/>
                <w:b/>
                <w:bCs/>
                <w:vertAlign w:val="baseline"/>
                <w:lang w:val="en-US" w:eastAsia="zh-CN"/>
              </w:rPr>
            </w:pPr>
            <w:r>
              <w:rPr>
                <w:rFonts w:hint="eastAsia" w:ascii="宋体" w:hAnsi="宋体" w:eastAsia="宋体" w:cs="宋体"/>
                <w:b/>
                <w:bCs/>
                <w:i w:val="0"/>
                <w:iCs w:val="0"/>
                <w:color w:val="000000"/>
                <w:kern w:val="0"/>
                <w:sz w:val="18"/>
                <w:szCs w:val="18"/>
                <w:u w:val="none"/>
                <w:lang w:val="en-US" w:eastAsia="zh-CN" w:bidi="ar"/>
              </w:rPr>
              <w:t>数量</w:t>
            </w:r>
          </w:p>
        </w:tc>
        <w:tc>
          <w:tcPr>
            <w:tcW w:w="2220" w:type="dxa"/>
            <w:vAlign w:val="center"/>
          </w:tcPr>
          <w:p w14:paraId="18FCF15C">
            <w:pPr>
              <w:keepNext w:val="0"/>
              <w:keepLines w:val="0"/>
              <w:widowControl/>
              <w:suppressLineNumbers w:val="0"/>
              <w:jc w:val="center"/>
              <w:textAlignment w:val="center"/>
              <w:rPr>
                <w:rFonts w:hint="default"/>
                <w:b/>
                <w:bCs/>
                <w:vertAlign w:val="baseline"/>
                <w:lang w:val="en-US" w:eastAsia="zh-CN"/>
              </w:rPr>
            </w:pPr>
            <w:r>
              <w:rPr>
                <w:rFonts w:hint="eastAsia" w:ascii="宋体" w:hAnsi="宋体" w:eastAsia="宋体" w:cs="宋体"/>
                <w:b/>
                <w:bCs/>
                <w:i w:val="0"/>
                <w:iCs w:val="0"/>
                <w:color w:val="000000"/>
                <w:kern w:val="0"/>
                <w:sz w:val="18"/>
                <w:szCs w:val="18"/>
                <w:u w:val="none"/>
                <w:lang w:val="en-US" w:eastAsia="zh-CN" w:bidi="ar"/>
              </w:rPr>
              <w:t>规格型号</w:t>
            </w:r>
          </w:p>
        </w:tc>
        <w:tc>
          <w:tcPr>
            <w:tcW w:w="4541" w:type="dxa"/>
            <w:vAlign w:val="center"/>
          </w:tcPr>
          <w:p w14:paraId="198509B4">
            <w:pPr>
              <w:keepNext w:val="0"/>
              <w:keepLines w:val="0"/>
              <w:widowControl/>
              <w:suppressLineNumbers w:val="0"/>
              <w:jc w:val="center"/>
              <w:textAlignment w:val="center"/>
              <w:rPr>
                <w:rFonts w:hint="default"/>
                <w:b/>
                <w:bCs/>
                <w:vertAlign w:val="baseline"/>
                <w:lang w:val="en-US" w:eastAsia="zh-CN"/>
              </w:rPr>
            </w:pPr>
            <w:r>
              <w:rPr>
                <w:rFonts w:hint="eastAsia" w:ascii="宋体" w:hAnsi="宋体" w:eastAsia="宋体" w:cs="宋体"/>
                <w:b/>
                <w:bCs/>
                <w:i w:val="0"/>
                <w:iCs w:val="0"/>
                <w:color w:val="000000"/>
                <w:kern w:val="0"/>
                <w:sz w:val="18"/>
                <w:szCs w:val="18"/>
                <w:u w:val="none"/>
                <w:lang w:val="en-US" w:eastAsia="zh-CN" w:bidi="ar"/>
              </w:rPr>
              <w:t>产品需求</w:t>
            </w:r>
          </w:p>
        </w:tc>
      </w:tr>
      <w:tr w14:paraId="18B5B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596" w:type="dxa"/>
            <w:shd w:val="clear" w:color="auto" w:fill="auto"/>
            <w:vAlign w:val="center"/>
          </w:tcPr>
          <w:p w14:paraId="22000D20">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Calibri" w:hAnsi="Calibri" w:eastAsia="宋体" w:cs="Calibri"/>
                <w:i w:val="0"/>
                <w:iCs w:val="0"/>
                <w:color w:val="000000"/>
                <w:kern w:val="0"/>
                <w:sz w:val="20"/>
                <w:szCs w:val="20"/>
                <w:u w:val="none"/>
                <w:lang w:val="en-US" w:eastAsia="zh-CN" w:bidi="ar"/>
              </w:rPr>
              <w:t>1</w:t>
            </w:r>
          </w:p>
        </w:tc>
        <w:tc>
          <w:tcPr>
            <w:tcW w:w="1541" w:type="dxa"/>
            <w:shd w:val="clear" w:color="auto" w:fill="auto"/>
            <w:vAlign w:val="center"/>
          </w:tcPr>
          <w:p w14:paraId="06FAD931">
            <w:pPr>
              <w:keepNext w:val="0"/>
              <w:keepLines w:val="0"/>
              <w:widowControl/>
              <w:suppressLineNumbers w:val="0"/>
              <w:jc w:val="left"/>
              <w:textAlignment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鼻吸引管</w:t>
            </w:r>
          </w:p>
        </w:tc>
        <w:tc>
          <w:tcPr>
            <w:tcW w:w="617" w:type="dxa"/>
            <w:shd w:val="clear" w:color="auto" w:fill="auto"/>
            <w:vAlign w:val="center"/>
          </w:tcPr>
          <w:p w14:paraId="64BBA048">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根</w:t>
            </w:r>
          </w:p>
        </w:tc>
        <w:tc>
          <w:tcPr>
            <w:tcW w:w="616" w:type="dxa"/>
            <w:shd w:val="clear" w:color="auto" w:fill="auto"/>
            <w:vAlign w:val="center"/>
          </w:tcPr>
          <w:p w14:paraId="346CF766">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Calibri" w:hAnsi="Calibri" w:eastAsia="宋体" w:cs="Calibri"/>
                <w:i w:val="0"/>
                <w:iCs w:val="0"/>
                <w:color w:val="000000"/>
                <w:kern w:val="0"/>
                <w:sz w:val="20"/>
                <w:szCs w:val="20"/>
                <w:u w:val="none"/>
                <w:lang w:val="en-US" w:eastAsia="zh-CN" w:bidi="ar"/>
              </w:rPr>
              <w:t>5</w:t>
            </w:r>
          </w:p>
        </w:tc>
        <w:tc>
          <w:tcPr>
            <w:tcW w:w="2220" w:type="dxa"/>
            <w:shd w:val="clear" w:color="auto" w:fill="auto"/>
            <w:vAlign w:val="center"/>
          </w:tcPr>
          <w:p w14:paraId="56C35A5B">
            <w:pPr>
              <w:keepNext w:val="0"/>
              <w:keepLines w:val="0"/>
              <w:widowControl/>
              <w:suppressLineNumbers w:val="0"/>
              <w:jc w:val="left"/>
              <w:textAlignment w:val="center"/>
              <w:rPr>
                <w:rFonts w:hint="default" w:ascii="Times New Roman" w:hAnsi="Times New Roman" w:eastAsia="宋体" w:cs="Times New Roman"/>
                <w:kern w:val="2"/>
                <w:sz w:val="21"/>
                <w:szCs w:val="21"/>
                <w:lang w:val="en-US" w:eastAsia="zh-CN" w:bidi="ar-SA"/>
              </w:rPr>
            </w:pPr>
            <w:r>
              <w:rPr>
                <w:rFonts w:hint="default" w:ascii="Calibri" w:hAnsi="Calibri" w:eastAsia="宋体" w:cs="Calibri"/>
                <w:i w:val="0"/>
                <w:iCs w:val="0"/>
                <w:color w:val="000000"/>
                <w:kern w:val="0"/>
                <w:sz w:val="20"/>
                <w:szCs w:val="20"/>
                <w:u w:val="none"/>
                <w:lang w:val="en-US" w:eastAsia="zh-CN" w:bidi="ar"/>
              </w:rPr>
              <w:t>3.5mm 65°120mm</w:t>
            </w:r>
          </w:p>
        </w:tc>
        <w:tc>
          <w:tcPr>
            <w:tcW w:w="4541" w:type="dxa"/>
            <w:vMerge w:val="restart"/>
            <w:shd w:val="clear" w:color="auto" w:fill="auto"/>
            <w:vAlign w:val="center"/>
          </w:tcPr>
          <w:p w14:paraId="088DB66A">
            <w:pPr>
              <w:jc w:val="both"/>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kern w:val="2"/>
                <w:sz w:val="20"/>
                <w:szCs w:val="20"/>
                <w:lang w:val="en-US" w:eastAsia="zh-CN" w:bidi="ar-SA"/>
              </w:rPr>
              <w:t>1、鼻吸引管所用与患者接触部分的金属材料采用医用不锈钢材料制造，该材料化学成分符合YY/T 0294.1-2016标准的要求。2、鼻吸引管腔道应通畅。3、器械外表面光滑，杆部平直，不得有锋棱、毛刺及明显的碰伤和划痕，其表面粗糙度Ra之值为：不大于1.6μm。4、连接部位应牢固、平整。5、在常规条件下消毒，不得产生腐蚀现象。符合YY/T 0149-2006中沸水试验法b级要求。</w:t>
            </w:r>
          </w:p>
        </w:tc>
      </w:tr>
      <w:tr w14:paraId="7906D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596" w:type="dxa"/>
            <w:shd w:val="clear" w:color="auto" w:fill="auto"/>
            <w:vAlign w:val="center"/>
          </w:tcPr>
          <w:p w14:paraId="0ED2CE5D">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Calibri" w:hAnsi="Calibri" w:eastAsia="宋体" w:cs="Calibri"/>
                <w:i w:val="0"/>
                <w:iCs w:val="0"/>
                <w:color w:val="000000"/>
                <w:kern w:val="0"/>
                <w:sz w:val="20"/>
                <w:szCs w:val="20"/>
                <w:u w:val="none"/>
                <w:lang w:val="en-US" w:eastAsia="zh-CN" w:bidi="ar"/>
              </w:rPr>
              <w:t>2</w:t>
            </w:r>
          </w:p>
        </w:tc>
        <w:tc>
          <w:tcPr>
            <w:tcW w:w="1541" w:type="dxa"/>
            <w:shd w:val="clear" w:color="auto" w:fill="auto"/>
            <w:vAlign w:val="center"/>
          </w:tcPr>
          <w:p w14:paraId="02E891D5">
            <w:pPr>
              <w:keepNext w:val="0"/>
              <w:keepLines w:val="0"/>
              <w:widowControl/>
              <w:suppressLineNumbers w:val="0"/>
              <w:jc w:val="left"/>
              <w:textAlignment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鼻吸引管</w:t>
            </w:r>
          </w:p>
        </w:tc>
        <w:tc>
          <w:tcPr>
            <w:tcW w:w="617" w:type="dxa"/>
            <w:shd w:val="clear" w:color="auto" w:fill="auto"/>
            <w:vAlign w:val="center"/>
          </w:tcPr>
          <w:p w14:paraId="0E1600B9">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根</w:t>
            </w:r>
          </w:p>
        </w:tc>
        <w:tc>
          <w:tcPr>
            <w:tcW w:w="616" w:type="dxa"/>
            <w:shd w:val="clear" w:color="auto" w:fill="auto"/>
            <w:vAlign w:val="center"/>
          </w:tcPr>
          <w:p w14:paraId="2925F821">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Calibri" w:hAnsi="Calibri" w:eastAsia="宋体" w:cs="Calibri"/>
                <w:i w:val="0"/>
                <w:iCs w:val="0"/>
                <w:color w:val="000000"/>
                <w:kern w:val="0"/>
                <w:sz w:val="20"/>
                <w:szCs w:val="20"/>
                <w:u w:val="none"/>
                <w:lang w:val="en-US" w:eastAsia="zh-CN" w:bidi="ar"/>
              </w:rPr>
              <w:t>5</w:t>
            </w:r>
          </w:p>
        </w:tc>
        <w:tc>
          <w:tcPr>
            <w:tcW w:w="2220" w:type="dxa"/>
            <w:shd w:val="clear" w:color="auto" w:fill="auto"/>
            <w:vAlign w:val="center"/>
          </w:tcPr>
          <w:p w14:paraId="58EF3C0D">
            <w:pPr>
              <w:keepNext w:val="0"/>
              <w:keepLines w:val="0"/>
              <w:widowControl/>
              <w:suppressLineNumbers w:val="0"/>
              <w:jc w:val="left"/>
              <w:textAlignment w:val="center"/>
              <w:rPr>
                <w:rFonts w:hint="default" w:ascii="Times New Roman" w:hAnsi="Times New Roman" w:eastAsia="宋体" w:cs="Times New Roman"/>
                <w:kern w:val="2"/>
                <w:sz w:val="21"/>
                <w:szCs w:val="21"/>
                <w:lang w:val="en-US" w:eastAsia="zh-CN" w:bidi="ar-SA"/>
              </w:rPr>
            </w:pPr>
            <w:r>
              <w:rPr>
                <w:rFonts w:hint="default" w:ascii="Calibri" w:hAnsi="Calibri" w:eastAsia="宋体" w:cs="Calibri"/>
                <w:i w:val="0"/>
                <w:iCs w:val="0"/>
                <w:color w:val="000000"/>
                <w:kern w:val="0"/>
                <w:sz w:val="20"/>
                <w:szCs w:val="20"/>
                <w:u w:val="none"/>
                <w:lang w:val="en-US" w:eastAsia="zh-CN" w:bidi="ar"/>
              </w:rPr>
              <w:t>2.5mm 70°120mm</w:t>
            </w:r>
          </w:p>
        </w:tc>
        <w:tc>
          <w:tcPr>
            <w:tcW w:w="4541" w:type="dxa"/>
            <w:vMerge w:val="continue"/>
            <w:shd w:val="clear" w:color="auto" w:fill="auto"/>
            <w:vAlign w:val="center"/>
          </w:tcPr>
          <w:p w14:paraId="0A19C5A3">
            <w:pPr>
              <w:jc w:val="both"/>
              <w:rPr>
                <w:rFonts w:hint="default" w:ascii="Times New Roman" w:hAnsi="Times New Roman" w:eastAsia="宋体" w:cs="Times New Roman"/>
                <w:kern w:val="2"/>
                <w:sz w:val="20"/>
                <w:szCs w:val="20"/>
                <w:lang w:val="en-US" w:eastAsia="zh-CN" w:bidi="ar-SA"/>
              </w:rPr>
            </w:pPr>
          </w:p>
        </w:tc>
      </w:tr>
      <w:tr w14:paraId="1AC76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596" w:type="dxa"/>
            <w:shd w:val="clear" w:color="auto" w:fill="auto"/>
            <w:vAlign w:val="center"/>
          </w:tcPr>
          <w:p w14:paraId="663F2E8D">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Calibri" w:hAnsi="Calibri" w:eastAsia="宋体" w:cs="Calibri"/>
                <w:i w:val="0"/>
                <w:iCs w:val="0"/>
                <w:color w:val="000000"/>
                <w:kern w:val="0"/>
                <w:sz w:val="20"/>
                <w:szCs w:val="20"/>
                <w:u w:val="none"/>
                <w:lang w:val="en-US" w:eastAsia="zh-CN" w:bidi="ar"/>
              </w:rPr>
              <w:t>3</w:t>
            </w:r>
          </w:p>
        </w:tc>
        <w:tc>
          <w:tcPr>
            <w:tcW w:w="1541" w:type="dxa"/>
            <w:shd w:val="clear" w:color="auto" w:fill="auto"/>
            <w:vAlign w:val="center"/>
          </w:tcPr>
          <w:p w14:paraId="63EEBEC2">
            <w:pPr>
              <w:keepNext w:val="0"/>
              <w:keepLines w:val="0"/>
              <w:widowControl/>
              <w:suppressLineNumbers w:val="0"/>
              <w:jc w:val="left"/>
              <w:textAlignment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耳吸引管</w:t>
            </w:r>
          </w:p>
        </w:tc>
        <w:tc>
          <w:tcPr>
            <w:tcW w:w="617" w:type="dxa"/>
            <w:shd w:val="clear" w:color="auto" w:fill="auto"/>
            <w:vAlign w:val="center"/>
          </w:tcPr>
          <w:p w14:paraId="226FF14C">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根</w:t>
            </w:r>
          </w:p>
        </w:tc>
        <w:tc>
          <w:tcPr>
            <w:tcW w:w="616" w:type="dxa"/>
            <w:shd w:val="clear" w:color="auto" w:fill="auto"/>
            <w:vAlign w:val="center"/>
          </w:tcPr>
          <w:p w14:paraId="26D206F3">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Calibri" w:hAnsi="Calibri" w:eastAsia="宋体" w:cs="Calibri"/>
                <w:i w:val="0"/>
                <w:iCs w:val="0"/>
                <w:color w:val="000000"/>
                <w:kern w:val="0"/>
                <w:sz w:val="20"/>
                <w:szCs w:val="20"/>
                <w:u w:val="none"/>
                <w:lang w:val="en-US" w:eastAsia="zh-CN" w:bidi="ar"/>
              </w:rPr>
              <w:t>10</w:t>
            </w:r>
          </w:p>
        </w:tc>
        <w:tc>
          <w:tcPr>
            <w:tcW w:w="2220" w:type="dxa"/>
            <w:shd w:val="clear" w:color="auto" w:fill="auto"/>
            <w:vAlign w:val="center"/>
          </w:tcPr>
          <w:p w14:paraId="64808BBF">
            <w:pPr>
              <w:keepNext w:val="0"/>
              <w:keepLines w:val="0"/>
              <w:widowControl/>
              <w:suppressLineNumbers w:val="0"/>
              <w:jc w:val="left"/>
              <w:textAlignment w:val="center"/>
              <w:rPr>
                <w:rFonts w:hint="default" w:ascii="Times New Roman" w:hAnsi="Times New Roman" w:eastAsia="宋体" w:cs="Times New Roman"/>
                <w:kern w:val="2"/>
                <w:sz w:val="21"/>
                <w:szCs w:val="21"/>
                <w:lang w:val="en-US" w:eastAsia="zh-CN" w:bidi="ar-SA"/>
              </w:rPr>
            </w:pPr>
            <w:r>
              <w:rPr>
                <w:rFonts w:hint="default" w:ascii="Calibri" w:hAnsi="Calibri" w:eastAsia="宋体" w:cs="Calibri"/>
                <w:i w:val="0"/>
                <w:iCs w:val="0"/>
                <w:color w:val="000000"/>
                <w:kern w:val="0"/>
                <w:sz w:val="20"/>
                <w:szCs w:val="20"/>
                <w:u w:val="none"/>
                <w:lang w:val="en-US" w:eastAsia="zh-CN" w:bidi="ar"/>
              </w:rPr>
              <w:t>2.0mm</w:t>
            </w:r>
          </w:p>
        </w:tc>
        <w:tc>
          <w:tcPr>
            <w:tcW w:w="4541" w:type="dxa"/>
            <w:vMerge w:val="restart"/>
            <w:shd w:val="clear" w:color="auto" w:fill="auto"/>
            <w:vAlign w:val="center"/>
          </w:tcPr>
          <w:p w14:paraId="1302479B">
            <w:pPr>
              <w:jc w:val="both"/>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kern w:val="2"/>
                <w:sz w:val="20"/>
                <w:szCs w:val="20"/>
                <w:lang w:val="en-US" w:eastAsia="zh-CN" w:bidi="ar-SA"/>
              </w:rPr>
              <w:t>1、耳用吸引管所用与患者接触部分的金属材料采用医用不锈钢材料制造，该材料化学成分符合YY/T 0294.1-2016标准的要求。2、耳用吸引管管道应通畅，不应有阻塞现象。3、耳用吸引管各焊接与紧配部位连接应牢固。4、耳用吸引管外表面光滑、平整，不得有锋棱、毛刺及明显的碰伤和划痕。5、表面粗糙度Ra之值为：外表面不大于0.8μm，通条不大于1.6μm。6、在常规条件下消毒，不得产生腐蚀现象。符合YY/T 0149-2006中沸水试验法b级要求。</w:t>
            </w:r>
          </w:p>
        </w:tc>
      </w:tr>
      <w:tr w14:paraId="3FBC3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596" w:type="dxa"/>
            <w:shd w:val="clear" w:color="auto" w:fill="auto"/>
            <w:vAlign w:val="center"/>
          </w:tcPr>
          <w:p w14:paraId="09826DC7">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Calibri" w:hAnsi="Calibri" w:eastAsia="宋体" w:cs="Calibri"/>
                <w:i w:val="0"/>
                <w:iCs w:val="0"/>
                <w:color w:val="000000"/>
                <w:kern w:val="0"/>
                <w:sz w:val="20"/>
                <w:szCs w:val="20"/>
                <w:u w:val="none"/>
                <w:lang w:val="en-US" w:eastAsia="zh-CN" w:bidi="ar"/>
              </w:rPr>
              <w:t>4</w:t>
            </w:r>
          </w:p>
        </w:tc>
        <w:tc>
          <w:tcPr>
            <w:tcW w:w="1541" w:type="dxa"/>
            <w:shd w:val="clear" w:color="auto" w:fill="auto"/>
            <w:vAlign w:val="center"/>
          </w:tcPr>
          <w:p w14:paraId="69D2FDFF">
            <w:pPr>
              <w:keepNext w:val="0"/>
              <w:keepLines w:val="0"/>
              <w:widowControl/>
              <w:suppressLineNumbers w:val="0"/>
              <w:jc w:val="left"/>
              <w:textAlignment w:val="center"/>
              <w:rPr>
                <w:rFonts w:hint="default" w:ascii="Times New Roman" w:hAnsi="Times New Roman" w:eastAsia="宋体" w:cs="Times New Roman"/>
                <w:kern w:val="2"/>
                <w:sz w:val="21"/>
                <w:szCs w:val="21"/>
                <w:lang w:val="en-US" w:eastAsia="zh-CN" w:bidi="ar-SA"/>
              </w:rPr>
            </w:pPr>
            <w:r>
              <w:rPr>
                <w:rFonts w:hint="default" w:ascii="宋体-简" w:hAnsi="宋体-简" w:eastAsia="宋体-简" w:cs="宋体-简"/>
                <w:i w:val="0"/>
                <w:iCs w:val="0"/>
                <w:color w:val="000000"/>
                <w:kern w:val="0"/>
                <w:sz w:val="20"/>
                <w:szCs w:val="20"/>
                <w:u w:val="none"/>
                <w:lang w:val="en-US" w:eastAsia="zh-CN" w:bidi="ar"/>
              </w:rPr>
              <w:t>耳吸引管</w:t>
            </w:r>
          </w:p>
        </w:tc>
        <w:tc>
          <w:tcPr>
            <w:tcW w:w="617" w:type="dxa"/>
            <w:shd w:val="clear" w:color="auto" w:fill="auto"/>
            <w:vAlign w:val="center"/>
          </w:tcPr>
          <w:p w14:paraId="52B6397E">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根</w:t>
            </w:r>
          </w:p>
        </w:tc>
        <w:tc>
          <w:tcPr>
            <w:tcW w:w="616" w:type="dxa"/>
            <w:shd w:val="clear" w:color="auto" w:fill="auto"/>
            <w:vAlign w:val="center"/>
          </w:tcPr>
          <w:p w14:paraId="6F10E944">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Calibri" w:hAnsi="Calibri" w:eastAsia="宋体" w:cs="Calibri"/>
                <w:i w:val="0"/>
                <w:iCs w:val="0"/>
                <w:color w:val="000000"/>
                <w:kern w:val="0"/>
                <w:sz w:val="20"/>
                <w:szCs w:val="20"/>
                <w:u w:val="none"/>
                <w:lang w:val="en-US" w:eastAsia="zh-CN" w:bidi="ar"/>
              </w:rPr>
              <w:t>15</w:t>
            </w:r>
          </w:p>
        </w:tc>
        <w:tc>
          <w:tcPr>
            <w:tcW w:w="2220" w:type="dxa"/>
            <w:shd w:val="clear" w:color="auto" w:fill="auto"/>
            <w:vAlign w:val="center"/>
          </w:tcPr>
          <w:p w14:paraId="6B5069FA">
            <w:pPr>
              <w:keepNext w:val="0"/>
              <w:keepLines w:val="0"/>
              <w:widowControl/>
              <w:suppressLineNumbers w:val="0"/>
              <w:jc w:val="left"/>
              <w:textAlignment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橄榄头</w:t>
            </w:r>
            <w:r>
              <w:rPr>
                <w:rStyle w:val="26"/>
                <w:rFonts w:eastAsia="宋体"/>
                <w:lang w:val="en-US" w:eastAsia="zh-CN" w:bidi="ar"/>
              </w:rPr>
              <w:t>1.0mm</w:t>
            </w:r>
          </w:p>
        </w:tc>
        <w:tc>
          <w:tcPr>
            <w:tcW w:w="4541" w:type="dxa"/>
            <w:vMerge w:val="continue"/>
            <w:shd w:val="clear" w:color="auto" w:fill="auto"/>
            <w:vAlign w:val="center"/>
          </w:tcPr>
          <w:p w14:paraId="76FBA086">
            <w:pPr>
              <w:jc w:val="both"/>
              <w:rPr>
                <w:rFonts w:hint="default" w:ascii="Times New Roman" w:hAnsi="Times New Roman" w:eastAsia="宋体" w:cs="Times New Roman"/>
                <w:kern w:val="2"/>
                <w:sz w:val="20"/>
                <w:szCs w:val="20"/>
                <w:lang w:val="en-US" w:eastAsia="zh-CN" w:bidi="ar-SA"/>
              </w:rPr>
            </w:pPr>
          </w:p>
        </w:tc>
      </w:tr>
      <w:tr w14:paraId="13DD0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596" w:type="dxa"/>
            <w:shd w:val="clear" w:color="auto" w:fill="auto"/>
            <w:vAlign w:val="center"/>
          </w:tcPr>
          <w:p w14:paraId="61F7F856">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Calibri" w:hAnsi="Calibri" w:eastAsia="宋体" w:cs="Calibri"/>
                <w:i w:val="0"/>
                <w:iCs w:val="0"/>
                <w:color w:val="000000"/>
                <w:kern w:val="0"/>
                <w:sz w:val="20"/>
                <w:szCs w:val="20"/>
                <w:u w:val="none"/>
                <w:lang w:val="en-US" w:eastAsia="zh-CN" w:bidi="ar"/>
              </w:rPr>
              <w:t>5</w:t>
            </w:r>
          </w:p>
        </w:tc>
        <w:tc>
          <w:tcPr>
            <w:tcW w:w="1541" w:type="dxa"/>
            <w:shd w:val="clear" w:color="auto" w:fill="auto"/>
            <w:vAlign w:val="center"/>
          </w:tcPr>
          <w:p w14:paraId="0E138BC5">
            <w:pPr>
              <w:keepNext w:val="0"/>
              <w:keepLines w:val="0"/>
              <w:widowControl/>
              <w:suppressLineNumbers w:val="0"/>
              <w:jc w:val="left"/>
              <w:textAlignment w:val="center"/>
              <w:rPr>
                <w:rFonts w:hint="default" w:ascii="Times New Roman" w:hAnsi="Times New Roman" w:eastAsia="宋体" w:cs="Times New Roman"/>
                <w:kern w:val="2"/>
                <w:sz w:val="21"/>
                <w:szCs w:val="21"/>
                <w:lang w:val="en-US" w:eastAsia="zh-CN" w:bidi="ar-SA"/>
              </w:rPr>
            </w:pPr>
            <w:r>
              <w:rPr>
                <w:rFonts w:hint="default" w:ascii="宋体-简" w:hAnsi="宋体-简" w:eastAsia="宋体-简" w:cs="宋体-简"/>
                <w:i w:val="0"/>
                <w:iCs w:val="0"/>
                <w:color w:val="000000"/>
                <w:kern w:val="0"/>
                <w:sz w:val="20"/>
                <w:szCs w:val="20"/>
                <w:u w:val="none"/>
                <w:lang w:val="en-US" w:eastAsia="zh-CN" w:bidi="ar"/>
              </w:rPr>
              <w:t>耳吸引管</w:t>
            </w:r>
          </w:p>
        </w:tc>
        <w:tc>
          <w:tcPr>
            <w:tcW w:w="617" w:type="dxa"/>
            <w:shd w:val="clear" w:color="auto" w:fill="auto"/>
            <w:vAlign w:val="center"/>
          </w:tcPr>
          <w:p w14:paraId="58F194F8">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根</w:t>
            </w:r>
          </w:p>
        </w:tc>
        <w:tc>
          <w:tcPr>
            <w:tcW w:w="616" w:type="dxa"/>
            <w:shd w:val="clear" w:color="auto" w:fill="auto"/>
            <w:vAlign w:val="center"/>
          </w:tcPr>
          <w:p w14:paraId="5A34BE11">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Calibri" w:hAnsi="Calibri" w:eastAsia="宋体" w:cs="Calibri"/>
                <w:i w:val="0"/>
                <w:iCs w:val="0"/>
                <w:color w:val="000000"/>
                <w:kern w:val="0"/>
                <w:sz w:val="20"/>
                <w:szCs w:val="20"/>
                <w:u w:val="none"/>
                <w:lang w:val="en-US" w:eastAsia="zh-CN" w:bidi="ar"/>
              </w:rPr>
              <w:t>15</w:t>
            </w:r>
          </w:p>
        </w:tc>
        <w:tc>
          <w:tcPr>
            <w:tcW w:w="2220" w:type="dxa"/>
            <w:shd w:val="clear" w:color="auto" w:fill="auto"/>
            <w:vAlign w:val="center"/>
          </w:tcPr>
          <w:p w14:paraId="2C3061C2">
            <w:pPr>
              <w:keepNext w:val="0"/>
              <w:keepLines w:val="0"/>
              <w:widowControl/>
              <w:suppressLineNumbers w:val="0"/>
              <w:jc w:val="left"/>
              <w:textAlignment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橄榄头</w:t>
            </w:r>
            <w:r>
              <w:rPr>
                <w:rStyle w:val="26"/>
                <w:rFonts w:eastAsia="宋体"/>
                <w:lang w:val="en-US" w:eastAsia="zh-CN" w:bidi="ar"/>
              </w:rPr>
              <w:t>0.8mm</w:t>
            </w:r>
          </w:p>
        </w:tc>
        <w:tc>
          <w:tcPr>
            <w:tcW w:w="4541" w:type="dxa"/>
            <w:vMerge w:val="continue"/>
            <w:shd w:val="clear" w:color="auto" w:fill="auto"/>
            <w:vAlign w:val="center"/>
          </w:tcPr>
          <w:p w14:paraId="35B048B3">
            <w:pPr>
              <w:jc w:val="both"/>
              <w:rPr>
                <w:rFonts w:hint="default" w:ascii="Times New Roman" w:hAnsi="Times New Roman" w:eastAsia="宋体" w:cs="Times New Roman"/>
                <w:kern w:val="2"/>
                <w:sz w:val="20"/>
                <w:szCs w:val="20"/>
                <w:lang w:val="en-US" w:eastAsia="zh-CN" w:bidi="ar-SA"/>
              </w:rPr>
            </w:pPr>
          </w:p>
        </w:tc>
      </w:tr>
    </w:tbl>
    <w:p w14:paraId="2F1656AD">
      <w:pPr>
        <w:pStyle w:val="12"/>
        <w:ind w:left="-708" w:leftChars="-337" w:firstLine="480"/>
        <w:rPr>
          <w:rFonts w:hint="default"/>
          <w:b/>
          <w:bCs/>
          <w:lang w:val="en-US" w:eastAsia="zh-CN"/>
        </w:rPr>
      </w:pPr>
    </w:p>
    <w:p w14:paraId="031AB961">
      <w:pPr>
        <w:widowControl/>
        <w:numPr>
          <w:ilvl w:val="0"/>
          <w:numId w:val="1"/>
        </w:numPr>
        <w:spacing w:line="360" w:lineRule="auto"/>
        <w:ind w:left="-708" w:leftChars="-337"/>
        <w:jc w:val="left"/>
        <w:rPr>
          <w:rFonts w:cs="宋体"/>
          <w:b/>
          <w:bCs/>
          <w:color w:val="000000"/>
          <w:kern w:val="0"/>
          <w:sz w:val="24"/>
          <w:szCs w:val="24"/>
        </w:rPr>
      </w:pPr>
      <w:r>
        <w:rPr>
          <w:rFonts w:hint="eastAsia" w:cs="宋体"/>
          <w:b/>
          <w:bCs/>
          <w:color w:val="000000"/>
          <w:kern w:val="0"/>
          <w:sz w:val="24"/>
          <w:szCs w:val="24"/>
          <w:lang w:val="en-US" w:eastAsia="zh-CN"/>
        </w:rPr>
        <w:t>项目产品</w:t>
      </w:r>
      <w:r>
        <w:rPr>
          <w:rFonts w:hint="eastAsia" w:cs="宋体"/>
          <w:b/>
          <w:bCs/>
          <w:color w:val="000000"/>
          <w:kern w:val="0"/>
          <w:sz w:val="24"/>
          <w:szCs w:val="24"/>
        </w:rPr>
        <w:t>基本要求</w:t>
      </w:r>
    </w:p>
    <w:p w14:paraId="7F9E0445">
      <w:pPr>
        <w:pStyle w:val="12"/>
        <w:ind w:left="-708" w:leftChars="-337"/>
        <w:rPr>
          <w:color w:val="auto"/>
        </w:rPr>
      </w:pPr>
      <w:r>
        <w:rPr>
          <w:rFonts w:hint="eastAsia"/>
          <w:color w:val="auto"/>
        </w:rPr>
        <w:t>1、以上产品必须是具备合法资质的制造商生产的</w:t>
      </w:r>
      <w:r>
        <w:rPr>
          <w:rFonts w:hint="eastAsia"/>
          <w:b/>
          <w:bCs/>
          <w:color w:val="auto"/>
        </w:rPr>
        <w:t>全新正品</w:t>
      </w:r>
      <w:r>
        <w:rPr>
          <w:rFonts w:hint="eastAsia"/>
          <w:color w:val="auto"/>
        </w:rPr>
        <w:t>，并满足招标采购文件的要求，若产品在运输或安装过程中损坏或擦伤须无偿调换相同产品。</w:t>
      </w:r>
    </w:p>
    <w:p w14:paraId="724C088B">
      <w:pPr>
        <w:pStyle w:val="12"/>
        <w:ind w:left="-708" w:leftChars="-337"/>
        <w:rPr>
          <w:color w:val="auto"/>
        </w:rPr>
      </w:pPr>
      <w:r>
        <w:rPr>
          <w:rFonts w:hint="eastAsia"/>
          <w:color w:val="auto"/>
        </w:rPr>
        <w:t>2、投标人所投产品参数应同等或优于以上各项参数要求，产品、辅材及生产工艺符合国家相关规范。</w:t>
      </w:r>
    </w:p>
    <w:p w14:paraId="62ED69AC">
      <w:pPr>
        <w:pStyle w:val="12"/>
        <w:ind w:left="-708" w:leftChars="-337"/>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14:paraId="6C89FF25">
      <w:pPr>
        <w:pStyle w:val="12"/>
        <w:ind w:left="-708" w:leftChars="-337"/>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14:paraId="544401A4">
      <w:pPr>
        <w:pStyle w:val="12"/>
        <w:ind w:left="-708" w:leftChars="-337"/>
        <w:rPr>
          <w:rFonts w:hint="eastAsia"/>
          <w:color w:val="auto"/>
        </w:rPr>
      </w:pPr>
      <w:r>
        <w:rPr>
          <w:rFonts w:hint="eastAsia"/>
          <w:color w:val="auto"/>
        </w:rPr>
        <w:t>5、</w:t>
      </w:r>
      <w:r>
        <w:rPr>
          <w:rFonts w:hint="eastAsia"/>
          <w:color w:val="auto"/>
          <w:lang w:val="en-US" w:eastAsia="zh-CN"/>
        </w:rPr>
        <w:t>投标</w:t>
      </w:r>
      <w:r>
        <w:rPr>
          <w:rFonts w:hint="eastAsia"/>
        </w:rPr>
        <w:t>人在竞价文件中必须提交设备配置清单</w:t>
      </w:r>
      <w:r>
        <w:rPr>
          <w:rFonts w:hint="eastAsia"/>
          <w:color w:val="auto"/>
        </w:rPr>
        <w:t>。</w:t>
      </w:r>
    </w:p>
    <w:p w14:paraId="1B952929">
      <w:pPr>
        <w:pStyle w:val="12"/>
        <w:ind w:left="-708" w:leftChars="-337"/>
        <w:rPr>
          <w:rFonts w:hint="eastAsia"/>
          <w:color w:val="auto"/>
        </w:rPr>
      </w:pPr>
      <w:r>
        <w:rPr>
          <w:rFonts w:hint="eastAsia"/>
          <w:color w:val="auto"/>
          <w:lang w:val="en-US" w:eastAsia="zh-CN"/>
        </w:rPr>
        <w:t>6、投标人所投产品必须</w:t>
      </w:r>
      <w:r>
        <w:rPr>
          <w:rFonts w:hint="eastAsia"/>
          <w:color w:val="auto"/>
        </w:rPr>
        <w:t>提供产品“三包”服务；定期安排相关人员回访进行质量跟踪；保证提供临床应用和售后技术服务支持方式；</w:t>
      </w:r>
      <w:r>
        <w:rPr>
          <w:rFonts w:hint="eastAsia"/>
          <w:color w:val="auto"/>
          <w:highlight w:val="yellow"/>
        </w:rPr>
        <w:t>保修期后提供终身维修服务及配件供应</w:t>
      </w:r>
      <w:r>
        <w:rPr>
          <w:rFonts w:hint="eastAsia"/>
          <w:color w:val="auto"/>
        </w:rPr>
        <w:t>；其他售后服务按厂家承诺实行。</w:t>
      </w:r>
    </w:p>
    <w:p w14:paraId="52AA7007">
      <w:pPr>
        <w:pStyle w:val="12"/>
        <w:ind w:left="-708" w:leftChars="-337"/>
        <w:rPr>
          <w:rFonts w:hint="default" w:asciiTheme="minorEastAsia" w:hAnsiTheme="minorEastAsia" w:cstheme="minorEastAsia"/>
          <w:color w:val="FF0000"/>
          <w:sz w:val="24"/>
          <w:szCs w:val="24"/>
          <w:highlight w:val="yellow"/>
          <w:u w:val="single"/>
          <w:lang w:val="en-US" w:eastAsia="zh-CN"/>
        </w:rPr>
      </w:pPr>
      <w:r>
        <w:rPr>
          <w:rFonts w:hint="eastAsia"/>
          <w:color w:val="auto"/>
          <w:u w:val="single"/>
          <w:lang w:val="en-US" w:eastAsia="zh-CN"/>
        </w:rPr>
        <w:t>7、</w:t>
      </w:r>
      <w:r>
        <w:rPr>
          <w:rFonts w:hint="eastAsia" w:asciiTheme="minorEastAsia" w:hAnsiTheme="minorEastAsia" w:cstheme="minorEastAsia"/>
          <w:color w:val="FF0000"/>
          <w:sz w:val="24"/>
          <w:szCs w:val="24"/>
          <w:highlight w:val="yellow"/>
          <w:u w:val="single"/>
          <w:lang w:val="en-US" w:eastAsia="zh-CN"/>
        </w:rPr>
        <w:t>交货后发现设备不符合手术要求，可换同等价钱的设备。</w:t>
      </w:r>
    </w:p>
    <w:p w14:paraId="393D0057">
      <w:pPr>
        <w:pStyle w:val="12"/>
        <w:ind w:left="-708" w:leftChars="-337"/>
        <w:rPr>
          <w:rFonts w:hint="eastAsia" w:eastAsia="宋体"/>
          <w:color w:val="auto"/>
          <w:lang w:val="en-US" w:eastAsia="zh-CN"/>
        </w:rPr>
      </w:pPr>
    </w:p>
    <w:p w14:paraId="60491C93">
      <w:pPr>
        <w:pStyle w:val="12"/>
        <w:ind w:left="-708" w:leftChars="-337"/>
        <w:rPr>
          <w:rFonts w:hint="eastAsia" w:cs="宋体"/>
          <w:b/>
          <w:bCs/>
        </w:rPr>
      </w:pPr>
      <w:r>
        <w:rPr>
          <w:rFonts w:hint="eastAsia" w:cs="宋体"/>
          <w:b/>
          <w:bCs/>
        </w:rPr>
        <w:t>（四）商务要求</w:t>
      </w:r>
    </w:p>
    <w:p w14:paraId="6B26C896">
      <w:pPr>
        <w:pStyle w:val="12"/>
        <w:ind w:left="-708" w:leftChars="-337"/>
        <w:rPr>
          <w:rFonts w:hint="default" w:eastAsia="宋体" w:cs="宋体"/>
          <w:b w:val="0"/>
          <w:bCs w:val="0"/>
          <w:lang w:val="en-US" w:eastAsia="zh-CN"/>
        </w:rPr>
      </w:pPr>
      <w:r>
        <w:rPr>
          <w:rFonts w:hint="eastAsia" w:cs="宋体"/>
          <w:b/>
          <w:bCs/>
          <w:lang w:val="en-US" w:eastAsia="zh-CN"/>
        </w:rPr>
        <w:t>1、投标人资格要求</w:t>
      </w:r>
    </w:p>
    <w:p w14:paraId="4EEB128D">
      <w:pPr>
        <w:pStyle w:val="12"/>
        <w:ind w:left="-708" w:leftChars="-337"/>
        <w:rPr>
          <w:rFonts w:cs="宋体"/>
        </w:rPr>
      </w:pPr>
      <w:r>
        <w:rPr>
          <w:rFonts w:hint="eastAsia" w:cs="宋体"/>
        </w:rPr>
        <w:t>1</w:t>
      </w:r>
      <w:r>
        <w:rPr>
          <w:rFonts w:hint="eastAsia" w:cs="宋体"/>
          <w:lang w:eastAsia="zh-CN"/>
        </w:rPr>
        <w:t>）</w:t>
      </w:r>
      <w:r>
        <w:rPr>
          <w:rFonts w:hint="eastAsia" w:cs="宋体"/>
        </w:rPr>
        <w:t>投标人为独立法人，并具备统一社会信用代码。</w:t>
      </w:r>
    </w:p>
    <w:p w14:paraId="5E38F82D">
      <w:pPr>
        <w:pStyle w:val="12"/>
        <w:ind w:left="-708" w:leftChars="-337"/>
        <w:rPr>
          <w:rFonts w:cs="宋体"/>
        </w:rPr>
      </w:pPr>
      <w:r>
        <w:rPr>
          <w:rFonts w:hint="eastAsia" w:cs="宋体"/>
        </w:rPr>
        <w:t>2</w:t>
      </w:r>
      <w:r>
        <w:rPr>
          <w:rFonts w:hint="eastAsia" w:cs="宋体"/>
          <w:lang w:eastAsia="zh-CN"/>
        </w:rPr>
        <w:t>）</w:t>
      </w:r>
      <w:r>
        <w:rPr>
          <w:rFonts w:hint="eastAsia" w:cs="宋体"/>
        </w:rPr>
        <w:t>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14:paraId="0ED2B9C1">
      <w:pPr>
        <w:pStyle w:val="12"/>
        <w:ind w:left="-708" w:leftChars="-337"/>
        <w:rPr>
          <w:rFonts w:hint="eastAsia" w:cs="宋体"/>
        </w:rPr>
      </w:pPr>
      <w:r>
        <w:rPr>
          <w:rFonts w:hint="eastAsia" w:cs="宋体"/>
        </w:rPr>
        <w:t>3</w:t>
      </w:r>
      <w:r>
        <w:rPr>
          <w:rFonts w:hint="eastAsia" w:cs="宋体"/>
          <w:lang w:eastAsia="zh-CN"/>
        </w:rPr>
        <w:t>）</w:t>
      </w:r>
      <w:r>
        <w:rPr>
          <w:rFonts w:hint="eastAsia" w:cs="宋体"/>
        </w:rPr>
        <w:t>被列入我院投标人黑名单（在我院招投标活动中存在2次违规行为）未满3年的投标人将被拒绝其参与本次招投标活动。</w:t>
      </w:r>
    </w:p>
    <w:p w14:paraId="0F6BFE13">
      <w:pPr>
        <w:pStyle w:val="12"/>
        <w:ind w:left="-708" w:leftChars="-337"/>
        <w:rPr>
          <w:rFonts w:hint="eastAsia" w:cs="宋体"/>
          <w:color w:val="auto"/>
        </w:rPr>
      </w:pPr>
      <w:r>
        <w:rPr>
          <w:rFonts w:hint="eastAsia" w:cs="宋体"/>
          <w:lang w:val="en-US" w:eastAsia="zh-CN"/>
        </w:rPr>
        <w:t>4）</w:t>
      </w:r>
      <w:r>
        <w:rPr>
          <w:rFonts w:hint="eastAsia" w:cs="宋体"/>
          <w:color w:val="auto"/>
        </w:rPr>
        <w:t>本项目不接收联合体投标。</w:t>
      </w:r>
    </w:p>
    <w:p w14:paraId="636F4B1C">
      <w:pPr>
        <w:pStyle w:val="12"/>
        <w:ind w:left="-708" w:leftChars="-337"/>
        <w:rPr>
          <w:rFonts w:hint="default" w:cs="宋体"/>
          <w:b/>
          <w:bCs/>
          <w:lang w:val="en-US" w:eastAsia="zh-CN"/>
        </w:rPr>
      </w:pPr>
      <w:r>
        <w:rPr>
          <w:rFonts w:hint="eastAsia" w:cs="宋体"/>
          <w:b/>
          <w:bCs/>
          <w:lang w:val="en-US" w:eastAsia="zh-CN"/>
        </w:rPr>
        <w:t>2、投标产品资格要求</w:t>
      </w:r>
    </w:p>
    <w:p w14:paraId="26B5E0B8">
      <w:pPr>
        <w:pStyle w:val="12"/>
        <w:ind w:left="-708" w:leftChars="-337"/>
        <w:rPr>
          <w:rFonts w:hint="default" w:cs="宋体"/>
          <w:lang w:val="en-US" w:eastAsia="zh-CN"/>
        </w:rPr>
      </w:pPr>
      <w:r>
        <w:rPr>
          <w:rFonts w:hint="eastAsia" w:cs="宋体"/>
          <w:lang w:val="en-US" w:eastAsia="zh-CN"/>
        </w:rPr>
        <w:t>1）本项目支持创新产品、节能优化产品、环境标识产品、中小企业发展等政府采购政策。</w:t>
      </w:r>
    </w:p>
    <w:p w14:paraId="34FB1FD6">
      <w:pPr>
        <w:pStyle w:val="12"/>
        <w:ind w:left="-708" w:leftChars="-337"/>
        <w:rPr>
          <w:rFonts w:hint="eastAsia"/>
        </w:rPr>
      </w:pPr>
      <w:r>
        <w:rPr>
          <w:rFonts w:hint="eastAsia"/>
          <w:lang w:val="en-US" w:eastAsia="zh-CN"/>
        </w:rPr>
        <w:t>2）</w:t>
      </w:r>
      <w:r>
        <w:rPr>
          <w:rFonts w:hint="eastAsia"/>
        </w:rPr>
        <w:t>投标人所投产品要求包含以下相关证件：</w:t>
      </w:r>
      <w:r>
        <w:rPr>
          <w:rFonts w:hint="eastAsia"/>
          <w:highlight w:val="yellow"/>
        </w:rPr>
        <w:t>投标公司的《医疗器械经营许可证》、生产厂家的《医疗器械生产许可证》（国外产品可不提供）、器械的《中华人民共和国医疗器械注册证》</w:t>
      </w:r>
    </w:p>
    <w:p w14:paraId="26F6C95F">
      <w:pPr>
        <w:pStyle w:val="12"/>
        <w:ind w:left="-708" w:leftChars="-337"/>
        <w:rPr>
          <w:rFonts w:hint="eastAsia"/>
        </w:rPr>
      </w:pPr>
      <w:r>
        <w:rPr>
          <w:rFonts w:hint="eastAsia"/>
          <w:b/>
          <w:bCs/>
        </w:rPr>
        <w:t>3、售后服务和</w:t>
      </w:r>
      <w:r>
        <w:rPr>
          <w:rFonts w:hint="eastAsia"/>
          <w:b/>
          <w:bCs/>
          <w:lang w:val="en-US" w:eastAsia="zh-CN"/>
        </w:rPr>
        <w:t>资质</w:t>
      </w:r>
    </w:p>
    <w:p w14:paraId="6A4B446E">
      <w:pPr>
        <w:pStyle w:val="12"/>
        <w:ind w:left="-708" w:leftChars="-337"/>
        <w:rPr>
          <w:rFonts w:hint="eastAsia" w:eastAsia="宋体"/>
          <w:lang w:val="en-US" w:eastAsia="zh-CN"/>
        </w:rPr>
      </w:pPr>
      <w:r>
        <w:rPr>
          <w:rFonts w:hint="eastAsia"/>
          <w:lang w:val="en-US" w:eastAsia="zh-CN"/>
        </w:rPr>
        <w:t>1</w:t>
      </w:r>
      <w:r>
        <w:rPr>
          <w:rFonts w:hint="eastAsia"/>
        </w:rPr>
        <w:t>）售后资质要求：</w:t>
      </w:r>
      <w:r>
        <w:rPr>
          <w:rFonts w:hint="eastAsia" w:ascii="宋体" w:hAnsi="宋体"/>
        </w:rPr>
        <w:t>厂家须设有24小时免费服务电话，成交供应商应提供常驻广西维保人员名单、联系电话等</w:t>
      </w:r>
      <w:r>
        <w:rPr>
          <w:rFonts w:hint="eastAsia" w:ascii="宋体" w:hAnsi="宋体"/>
          <w:lang w:eastAsia="zh-CN"/>
        </w:rPr>
        <w:t>。</w:t>
      </w:r>
    </w:p>
    <w:p w14:paraId="49C351C2">
      <w:pPr>
        <w:pStyle w:val="12"/>
        <w:ind w:left="-708" w:leftChars="-337"/>
        <w:rPr>
          <w:rFonts w:hint="eastAsia"/>
        </w:rPr>
      </w:pPr>
      <w:r>
        <w:rPr>
          <w:rFonts w:hint="eastAsia"/>
          <w:lang w:val="en-US" w:eastAsia="zh-CN"/>
        </w:rPr>
        <w:t>2）</w:t>
      </w:r>
      <w:r>
        <w:rPr>
          <w:rFonts w:hint="eastAsia"/>
        </w:rPr>
        <w:t>维修备件必须是原厂备件。</w:t>
      </w:r>
    </w:p>
    <w:p w14:paraId="3309615C">
      <w:pPr>
        <w:pStyle w:val="12"/>
        <w:ind w:left="-708" w:leftChars="-337"/>
        <w:rPr>
          <w:rFonts w:hint="eastAsia"/>
        </w:rPr>
      </w:pPr>
      <w:r>
        <w:rPr>
          <w:rFonts w:hint="eastAsia"/>
          <w:lang w:val="en-US" w:eastAsia="zh-CN"/>
        </w:rPr>
        <w:t>3）</w:t>
      </w:r>
      <w:r>
        <w:rPr>
          <w:rFonts w:hint="eastAsia"/>
        </w:rPr>
        <w:t>质保期：设备安装完毕通过验收投入使用之日起不少于</w:t>
      </w:r>
      <w:r>
        <w:rPr>
          <w:rFonts w:hint="eastAsia"/>
          <w:highlight w:val="yellow"/>
        </w:rPr>
        <w:t>1</w:t>
      </w:r>
      <w:r>
        <w:rPr>
          <w:rFonts w:hint="eastAsia"/>
        </w:rPr>
        <w:t>年。</w:t>
      </w:r>
    </w:p>
    <w:p w14:paraId="36E10A0B">
      <w:pPr>
        <w:pStyle w:val="12"/>
        <w:ind w:left="-708" w:leftChars="-337"/>
        <w:rPr>
          <w:rFonts w:hint="eastAsia"/>
        </w:rPr>
      </w:pPr>
      <w:r>
        <w:rPr>
          <w:rFonts w:hint="eastAsia"/>
          <w:lang w:val="en-US" w:eastAsia="zh-CN"/>
        </w:rPr>
        <w:t>4）</w:t>
      </w:r>
      <w:r>
        <w:rPr>
          <w:rFonts w:hint="eastAsia"/>
        </w:rPr>
        <w:t>故障处理：质保期内，在使用过程中发现质量问题或故障时，须接到通知后24小时内派工程师到达用户现场及提供常用备件，按国家及行业标准对故障进行及时处理或更换，以保证采购单位的正常使用，所发生的一切费用由成交供应商负责。</w:t>
      </w:r>
    </w:p>
    <w:p w14:paraId="3DD97080">
      <w:pPr>
        <w:pStyle w:val="12"/>
        <w:ind w:left="-708" w:leftChars="-337"/>
        <w:rPr>
          <w:rFonts w:hint="eastAsia" w:cs="宋体"/>
          <w:kern w:val="0"/>
          <w:sz w:val="24"/>
          <w:szCs w:val="24"/>
        </w:rPr>
      </w:pPr>
      <w:r>
        <w:rPr>
          <w:rFonts w:hint="eastAsia"/>
          <w:lang w:val="en-US" w:eastAsia="zh-CN"/>
        </w:rPr>
        <w:t>5）</w:t>
      </w:r>
      <w:r>
        <w:rPr>
          <w:rFonts w:hint="eastAsia" w:cs="宋体"/>
          <w:kern w:val="0"/>
          <w:sz w:val="24"/>
          <w:szCs w:val="24"/>
        </w:rPr>
        <w:t>签订合同后，</w:t>
      </w:r>
      <w:r>
        <w:rPr>
          <w:rFonts w:hint="eastAsia"/>
          <w:color w:val="FF0000"/>
          <w:kern w:val="0"/>
          <w:sz w:val="24"/>
          <w:szCs w:val="24"/>
          <w:u w:val="single"/>
          <w:lang w:val="en-US" w:eastAsia="zh-CN"/>
        </w:rPr>
        <w:t>30</w:t>
      </w:r>
      <w:r>
        <w:rPr>
          <w:rFonts w:hint="eastAsia" w:cs="宋体"/>
          <w:kern w:val="0"/>
          <w:sz w:val="24"/>
          <w:szCs w:val="24"/>
        </w:rPr>
        <w:t>天内仪器设备安装调试结束并交付使用。投标人予以特别注意：如出现未能到期供货的情况，采购人有权单方终止合同的执行，所有的经济损失由逾期供货商单方承担。</w:t>
      </w:r>
    </w:p>
    <w:p w14:paraId="02636F2B">
      <w:pPr>
        <w:pStyle w:val="12"/>
        <w:ind w:left="-708" w:leftChars="-337"/>
        <w:rPr>
          <w:kern w:val="0"/>
          <w:sz w:val="24"/>
          <w:szCs w:val="24"/>
        </w:rPr>
      </w:pPr>
      <w:r>
        <w:rPr>
          <w:rFonts w:hint="eastAsia" w:cs="宋体"/>
          <w:kern w:val="0"/>
          <w:sz w:val="24"/>
          <w:szCs w:val="24"/>
          <w:lang w:val="en-US" w:eastAsia="zh-CN"/>
        </w:rPr>
        <w:t>6）</w:t>
      </w:r>
      <w:r>
        <w:rPr>
          <w:rFonts w:hint="eastAsia" w:cs="宋体"/>
          <w:kern w:val="0"/>
          <w:sz w:val="24"/>
          <w:szCs w:val="24"/>
        </w:rPr>
        <w:t>交货地点为：</w:t>
      </w:r>
      <w:r>
        <w:rPr>
          <w:rFonts w:hint="eastAsia" w:cs="宋体"/>
          <w:kern w:val="0"/>
          <w:sz w:val="24"/>
          <w:szCs w:val="24"/>
          <w:highlight w:val="yellow"/>
        </w:rPr>
        <w:t>广西壮族自治区桂东人民医院</w:t>
      </w:r>
      <w:r>
        <w:rPr>
          <w:kern w:val="0"/>
          <w:sz w:val="24"/>
          <w:szCs w:val="24"/>
        </w:rPr>
        <w:t xml:space="preserve">   </w:t>
      </w:r>
    </w:p>
    <w:p w14:paraId="4F80D858">
      <w:pPr>
        <w:pStyle w:val="12"/>
        <w:ind w:left="-708" w:leftChars="-337"/>
        <w:rPr>
          <w:kern w:val="0"/>
          <w:sz w:val="24"/>
          <w:szCs w:val="24"/>
        </w:rPr>
      </w:pPr>
      <w:r>
        <w:rPr>
          <w:kern w:val="0"/>
          <w:sz w:val="24"/>
          <w:szCs w:val="24"/>
        </w:rPr>
        <w:t xml:space="preserve">  </w:t>
      </w:r>
    </w:p>
    <w:p w14:paraId="0FA158CE">
      <w:pPr>
        <w:pStyle w:val="12"/>
        <w:ind w:left="-708" w:leftChars="-337"/>
        <w:rPr>
          <w:rFonts w:hint="eastAsia"/>
          <w:b/>
          <w:bCs/>
          <w:kern w:val="0"/>
          <w:sz w:val="24"/>
          <w:szCs w:val="24"/>
          <w:lang w:val="en-US" w:eastAsia="zh-CN"/>
        </w:rPr>
      </w:pPr>
      <w:r>
        <w:rPr>
          <w:rFonts w:hint="eastAsia"/>
          <w:b/>
          <w:bCs/>
          <w:kern w:val="0"/>
          <w:sz w:val="24"/>
          <w:szCs w:val="24"/>
          <w:lang w:val="en-US" w:eastAsia="zh-CN"/>
        </w:rPr>
        <w:t>7）</w:t>
      </w:r>
      <w:r>
        <w:rPr>
          <w:rFonts w:hint="eastAsia"/>
          <w:b w:val="0"/>
          <w:bCs w:val="0"/>
          <w:kern w:val="0"/>
          <w:sz w:val="24"/>
          <w:szCs w:val="24"/>
          <w:lang w:val="en-US" w:eastAsia="zh-CN"/>
        </w:rPr>
        <w:t>付款条件（进度和方式）：</w:t>
      </w:r>
    </w:p>
    <w:p w14:paraId="3B1B75E6">
      <w:pPr>
        <w:widowControl/>
        <w:spacing w:line="400" w:lineRule="exact"/>
        <w:ind w:left="-710" w:leftChars="-338" w:firstLine="480" w:firstLineChars="200"/>
        <w:jc w:val="left"/>
        <w:rPr>
          <w:rFonts w:hint="eastAsia" w:cs="宋体"/>
          <w:kern w:val="0"/>
          <w:sz w:val="24"/>
          <w:szCs w:val="24"/>
          <w:lang w:eastAsia="zh-CN"/>
        </w:rPr>
      </w:pPr>
      <w:r>
        <w:rPr>
          <w:rFonts w:hint="eastAsia" w:cs="宋体"/>
          <w:kern w:val="0"/>
          <w:sz w:val="24"/>
          <w:szCs w:val="24"/>
          <w:lang w:eastAsia="zh-CN"/>
        </w:rPr>
        <w:t>分期付款：</w:t>
      </w:r>
      <w:r>
        <w:rPr>
          <w:rFonts w:hint="eastAsia" w:cs="宋体"/>
          <w:kern w:val="0"/>
          <w:sz w:val="24"/>
          <w:szCs w:val="24"/>
        </w:rPr>
        <w:t>签订合同后，全部货物到达指定地点、安装调试并验收合格后，凭双方签署验收合格书，</w:t>
      </w:r>
      <w:r>
        <w:rPr>
          <w:rFonts w:hint="eastAsia" w:cs="宋体"/>
          <w:kern w:val="0"/>
          <w:sz w:val="24"/>
          <w:szCs w:val="24"/>
          <w:lang w:eastAsia="zh-CN"/>
        </w:rPr>
        <w:t>甲方按照政府规定时间内支付，</w:t>
      </w:r>
      <w:r>
        <w:rPr>
          <w:rFonts w:hint="eastAsia" w:cs="宋体"/>
          <w:kern w:val="0"/>
          <w:sz w:val="24"/>
          <w:szCs w:val="24"/>
        </w:rPr>
        <w:t>第一期：甲方支付合同总金额的90%</w:t>
      </w:r>
      <w:r>
        <w:rPr>
          <w:rFonts w:hint="eastAsia" w:cs="宋体"/>
          <w:kern w:val="0"/>
          <w:sz w:val="24"/>
          <w:szCs w:val="24"/>
          <w:lang w:val="en-US" w:eastAsia="zh-CN"/>
        </w:rPr>
        <w:t xml:space="preserve"> ；</w:t>
      </w:r>
      <w:r>
        <w:rPr>
          <w:rFonts w:hint="eastAsia" w:cs="宋体"/>
          <w:kern w:val="0"/>
          <w:sz w:val="24"/>
          <w:szCs w:val="24"/>
        </w:rPr>
        <w:t>第二期：交付后十二个月，经乙方书面申请，甲方支付合同总金额的 10%（不计利息）。</w:t>
      </w:r>
    </w:p>
    <w:p w14:paraId="32DF01DC">
      <w:pPr>
        <w:widowControl/>
        <w:spacing w:line="400" w:lineRule="exact"/>
        <w:ind w:left="-710" w:leftChars="-338" w:firstLine="480" w:firstLineChars="20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14:paraId="2D2DC8C3">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lang w:val="en-US" w:eastAsia="zh-CN"/>
        </w:rPr>
        <w:t>二</w:t>
      </w:r>
      <w:r>
        <w:rPr>
          <w:rFonts w:hint="eastAsia" w:cs="宋体"/>
          <w:b/>
          <w:bCs/>
          <w:kern w:val="0"/>
          <w:sz w:val="28"/>
          <w:szCs w:val="28"/>
        </w:rPr>
        <w:t>、合同签订</w:t>
      </w:r>
    </w:p>
    <w:p w14:paraId="6BDC4D1C">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lang w:eastAsia="zh-CN"/>
            </w:rPr>
            <w:t>2</w:t>
          </w:r>
          <w:r>
            <w:rPr>
              <w:rFonts w:hint="eastAsia" w:cs="宋体"/>
              <w:color w:val="FF0000"/>
              <w:kern w:val="0"/>
              <w:sz w:val="24"/>
              <w:szCs w:val="24"/>
              <w:u w:val="single"/>
              <w:lang w:val="en-US" w:eastAsia="zh-CN"/>
            </w:rPr>
            <w:t>5</w:t>
          </w:r>
        </w:sdtContent>
      </w:sdt>
      <w:r>
        <w:rPr>
          <w:rFonts w:hint="eastAsia" w:cs="宋体"/>
          <w:kern w:val="0"/>
          <w:sz w:val="24"/>
          <w:szCs w:val="24"/>
          <w:lang w:val="en-US" w:eastAsia="zh-CN"/>
        </w:rPr>
        <w:t>日</w:t>
      </w:r>
      <w:r>
        <w:rPr>
          <w:rFonts w:hint="eastAsia" w:cs="宋体"/>
          <w:kern w:val="0"/>
          <w:sz w:val="24"/>
          <w:szCs w:val="24"/>
        </w:rPr>
        <w:t>内签订采购合同。</w:t>
      </w:r>
    </w:p>
    <w:p w14:paraId="366019AB">
      <w:pPr>
        <w:widowControl/>
        <w:spacing w:line="360" w:lineRule="auto"/>
        <w:ind w:left="-708" w:leftChars="-338" w:hanging="2"/>
        <w:jc w:val="left"/>
        <w:rPr>
          <w:rFonts w:cs="宋体"/>
          <w:b/>
          <w:bCs/>
          <w:kern w:val="0"/>
          <w:sz w:val="28"/>
          <w:szCs w:val="28"/>
        </w:rPr>
      </w:pPr>
      <w:r>
        <w:rPr>
          <w:kern w:val="0"/>
          <w:sz w:val="24"/>
          <w:szCs w:val="24"/>
        </w:rPr>
        <w:t> </w:t>
      </w:r>
      <w:r>
        <w:rPr>
          <w:rFonts w:hint="eastAsia"/>
          <w:b/>
          <w:bCs/>
          <w:kern w:val="0"/>
          <w:sz w:val="28"/>
          <w:szCs w:val="28"/>
          <w:lang w:val="en-US" w:eastAsia="zh-CN"/>
        </w:rPr>
        <w:t>三</w:t>
      </w:r>
      <w:r>
        <w:rPr>
          <w:rFonts w:hint="eastAsia" w:cs="宋体"/>
          <w:b/>
          <w:bCs/>
          <w:kern w:val="0"/>
          <w:sz w:val="28"/>
          <w:szCs w:val="28"/>
        </w:rPr>
        <w:t>、其他</w:t>
      </w:r>
    </w:p>
    <w:p w14:paraId="533AED8C">
      <w:pPr>
        <w:pStyle w:val="12"/>
      </w:pPr>
    </w:p>
    <w:p w14:paraId="498C74F3">
      <w:pPr>
        <w:widowControl/>
        <w:spacing w:line="360" w:lineRule="auto"/>
        <w:ind w:left="-708" w:leftChars="-338" w:hanging="2"/>
        <w:jc w:val="left"/>
        <w:rPr>
          <w:rFonts w:cs="宋体"/>
          <w:b/>
          <w:bCs/>
          <w:kern w:val="0"/>
          <w:sz w:val="28"/>
          <w:szCs w:val="28"/>
        </w:rPr>
      </w:pPr>
      <w:r>
        <w:rPr>
          <w:rFonts w:hint="eastAsia" w:cs="宋体"/>
          <w:b/>
          <w:bCs/>
          <w:kern w:val="0"/>
          <w:sz w:val="28"/>
          <w:szCs w:val="28"/>
          <w:lang w:val="en-US" w:eastAsia="zh-CN"/>
        </w:rPr>
        <w:t>四</w:t>
      </w:r>
      <w:r>
        <w:rPr>
          <w:rFonts w:hint="eastAsia" w:cs="宋体"/>
          <w:b/>
          <w:bCs/>
          <w:kern w:val="0"/>
          <w:sz w:val="28"/>
          <w:szCs w:val="28"/>
        </w:rPr>
        <w:t>、特别说明</w:t>
      </w:r>
    </w:p>
    <w:p w14:paraId="29BE3B41">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14:paraId="6C272030">
      <w:pPr>
        <w:widowControl/>
        <w:jc w:val="center"/>
        <w:rPr>
          <w:b/>
          <w:bCs/>
          <w:kern w:val="0"/>
        </w:rPr>
      </w:pPr>
      <w:r>
        <w:rPr>
          <w:b/>
          <w:bCs/>
          <w:kern w:val="0"/>
        </w:rPr>
        <w:br w:type="page"/>
      </w: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14:paraId="01CAC10B">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14:paraId="2CA5B4DE">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lang w:val="en-US" w:eastAsia="zh-CN"/>
        </w:rPr>
        <w:t xml:space="preserve"> </w:t>
      </w:r>
      <w:r>
        <w:rPr>
          <w:rFonts w:hint="eastAsia" w:cs="宋体"/>
          <w:b/>
          <w:bCs/>
          <w:kern w:val="0"/>
          <w:sz w:val="24"/>
          <w:szCs w:val="24"/>
          <w:u w:val="single"/>
          <w:lang w:val="en-US" w:eastAsia="zh-CN"/>
        </w:rPr>
        <w:t xml:space="preserve">竞争性谈判 </w:t>
      </w:r>
      <w:r>
        <w:rPr>
          <w:rFonts w:hint="eastAsia" w:cs="宋体"/>
          <w:kern w:val="0"/>
          <w:sz w:val="24"/>
          <w:szCs w:val="24"/>
        </w:rPr>
        <w:t>确定中标候选人。</w:t>
      </w:r>
    </w:p>
    <w:p w14:paraId="13B45921">
      <w:pPr>
        <w:pStyle w:val="12"/>
      </w:pPr>
    </w:p>
    <w:sectPr>
      <w:headerReference r:id="rId3" w:type="default"/>
      <w:footerReference r:id="rId4" w:type="default"/>
      <w:pgSz w:w="11906" w:h="16838"/>
      <w:pgMar w:top="1440" w:right="1800" w:bottom="1440" w:left="11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体-简">
    <w:altName w:val="宋体"/>
    <w:panose1 w:val="00000000000000000000"/>
    <w:charset w:val="00"/>
    <w:family w:val="auto"/>
    <w:pitch w:val="default"/>
    <w:sig w:usb0="00000000" w:usb1="00000000" w:usb2="00000000" w:usb3="00000000" w:csb0="0000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5AD8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CCCA88">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FCCCA88">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93381">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yYmY4MjA0MzAxNjIyZGNjMDk1MmY5N2E0MzMwOWE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C3AB5"/>
    <w:rsid w:val="003E7DC1"/>
    <w:rsid w:val="00474079"/>
    <w:rsid w:val="004C7EB2"/>
    <w:rsid w:val="004D08F5"/>
    <w:rsid w:val="004D2825"/>
    <w:rsid w:val="004F5A76"/>
    <w:rsid w:val="005007DD"/>
    <w:rsid w:val="005D491D"/>
    <w:rsid w:val="00614299"/>
    <w:rsid w:val="00654BC6"/>
    <w:rsid w:val="00684BD7"/>
    <w:rsid w:val="006E5543"/>
    <w:rsid w:val="00707A97"/>
    <w:rsid w:val="007814EA"/>
    <w:rsid w:val="007A5910"/>
    <w:rsid w:val="007F6F70"/>
    <w:rsid w:val="00813BDB"/>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DC4B54"/>
    <w:rsid w:val="00E14108"/>
    <w:rsid w:val="00E72BBE"/>
    <w:rsid w:val="00EB1C9B"/>
    <w:rsid w:val="00ED5546"/>
    <w:rsid w:val="01124992"/>
    <w:rsid w:val="01CB43E2"/>
    <w:rsid w:val="02615DF0"/>
    <w:rsid w:val="03B56736"/>
    <w:rsid w:val="04D60F6D"/>
    <w:rsid w:val="052C5176"/>
    <w:rsid w:val="0A795D65"/>
    <w:rsid w:val="0CC05EEA"/>
    <w:rsid w:val="0EA57F8D"/>
    <w:rsid w:val="10C97A40"/>
    <w:rsid w:val="122B15C9"/>
    <w:rsid w:val="12C97D37"/>
    <w:rsid w:val="166F4544"/>
    <w:rsid w:val="18AD0506"/>
    <w:rsid w:val="21B710F4"/>
    <w:rsid w:val="2218153E"/>
    <w:rsid w:val="2554310B"/>
    <w:rsid w:val="25773183"/>
    <w:rsid w:val="26431704"/>
    <w:rsid w:val="26CD4569"/>
    <w:rsid w:val="27D01D3D"/>
    <w:rsid w:val="28110468"/>
    <w:rsid w:val="293A4A87"/>
    <w:rsid w:val="2E44559E"/>
    <w:rsid w:val="2E534ACF"/>
    <w:rsid w:val="311834AF"/>
    <w:rsid w:val="318469E5"/>
    <w:rsid w:val="3194337D"/>
    <w:rsid w:val="3460122F"/>
    <w:rsid w:val="36160F00"/>
    <w:rsid w:val="372A1E73"/>
    <w:rsid w:val="3737378F"/>
    <w:rsid w:val="3806606D"/>
    <w:rsid w:val="397701BE"/>
    <w:rsid w:val="3B546CEC"/>
    <w:rsid w:val="3F8769CB"/>
    <w:rsid w:val="40AE0DB3"/>
    <w:rsid w:val="41366ED0"/>
    <w:rsid w:val="462C5579"/>
    <w:rsid w:val="48D85C25"/>
    <w:rsid w:val="4C1C5576"/>
    <w:rsid w:val="4D442BFB"/>
    <w:rsid w:val="4D781BD4"/>
    <w:rsid w:val="4DA009DA"/>
    <w:rsid w:val="4DA97E72"/>
    <w:rsid w:val="4DB9683E"/>
    <w:rsid w:val="50502E0F"/>
    <w:rsid w:val="51794369"/>
    <w:rsid w:val="51B2246F"/>
    <w:rsid w:val="539906F6"/>
    <w:rsid w:val="58382E23"/>
    <w:rsid w:val="589150FF"/>
    <w:rsid w:val="5A2701FB"/>
    <w:rsid w:val="5C1F025F"/>
    <w:rsid w:val="5D1A4465"/>
    <w:rsid w:val="5FF33BCE"/>
    <w:rsid w:val="5FFD63C3"/>
    <w:rsid w:val="65706B30"/>
    <w:rsid w:val="67EF0C5A"/>
    <w:rsid w:val="6A513DD5"/>
    <w:rsid w:val="6BF540D9"/>
    <w:rsid w:val="6DD0797D"/>
    <w:rsid w:val="6E1A0EFE"/>
    <w:rsid w:val="71754026"/>
    <w:rsid w:val="74AA048A"/>
    <w:rsid w:val="74B5471E"/>
    <w:rsid w:val="75422A7C"/>
    <w:rsid w:val="77E41C8F"/>
    <w:rsid w:val="77FF632E"/>
    <w:rsid w:val="7B036868"/>
    <w:rsid w:val="7CA915F3"/>
    <w:rsid w:val="7CBA5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99"/>
    <w:pPr>
      <w:jc w:val="left"/>
    </w:pPr>
  </w:style>
  <w:style w:type="paragraph" w:styleId="3">
    <w:name w:val="Body Text"/>
    <w:basedOn w:val="1"/>
    <w:unhideWhenUsed/>
    <w:qFormat/>
    <w:uiPriority w:val="99"/>
    <w:pPr>
      <w:spacing w:after="120"/>
    </w:pPr>
  </w:style>
  <w:style w:type="paragraph" w:styleId="4">
    <w:name w:val="Plain Text"/>
    <w:basedOn w:val="1"/>
    <w:link w:val="16"/>
    <w:qFormat/>
    <w:uiPriority w:val="99"/>
    <w:rPr>
      <w:rFonts w:ascii="宋体" w:hAnsi="Courier New"/>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5"/>
    <w:semiHidden/>
    <w:unhideWhenUsed/>
    <w:qFormat/>
    <w:uiPriority w:val="99"/>
    <w:rPr>
      <w:b/>
      <w:bCs/>
    </w:rPr>
  </w:style>
  <w:style w:type="table" w:styleId="9">
    <w:name w:val="Table Grid"/>
    <w:basedOn w:val="8"/>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semiHidden/>
    <w:qFormat/>
    <w:uiPriority w:val="99"/>
    <w:rPr>
      <w:sz w:val="21"/>
      <w:szCs w:val="21"/>
    </w:rPr>
  </w:style>
  <w:style w:type="paragraph" w:customStyle="1" w:styleId="1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3">
    <w:name w:val="批注文字 字符"/>
    <w:basedOn w:val="10"/>
    <w:qFormat/>
    <w:uiPriority w:val="99"/>
    <w:rPr>
      <w:rFonts w:ascii="Times New Roman" w:hAnsi="Times New Roman" w:eastAsia="宋体" w:cs="Times New Roman"/>
      <w:szCs w:val="21"/>
    </w:rPr>
  </w:style>
  <w:style w:type="character" w:customStyle="1" w:styleId="14">
    <w:name w:val="批注文字 字符1"/>
    <w:link w:val="2"/>
    <w:semiHidden/>
    <w:qFormat/>
    <w:uiPriority w:val="99"/>
    <w:rPr>
      <w:rFonts w:ascii="Times New Roman" w:hAnsi="Times New Roman" w:eastAsia="宋体" w:cs="Times New Roman"/>
      <w:szCs w:val="21"/>
    </w:rPr>
  </w:style>
  <w:style w:type="character" w:customStyle="1" w:styleId="15">
    <w:name w:val="批注主题 字符"/>
    <w:basedOn w:val="14"/>
    <w:link w:val="7"/>
    <w:semiHidden/>
    <w:qFormat/>
    <w:uiPriority w:val="99"/>
    <w:rPr>
      <w:rFonts w:ascii="Times New Roman" w:hAnsi="Times New Roman" w:eastAsia="宋体" w:cs="Times New Roman"/>
      <w:b/>
      <w:bCs/>
      <w:szCs w:val="21"/>
    </w:rPr>
  </w:style>
  <w:style w:type="character" w:customStyle="1" w:styleId="16">
    <w:name w:val="纯文本 字符"/>
    <w:basedOn w:val="10"/>
    <w:link w:val="4"/>
    <w:qFormat/>
    <w:uiPriority w:val="99"/>
    <w:rPr>
      <w:rFonts w:ascii="宋体" w:hAnsi="Courier New" w:eastAsia="宋体" w:cs="Times New Roman"/>
      <w:szCs w:val="21"/>
    </w:rPr>
  </w:style>
  <w:style w:type="paragraph" w:customStyle="1" w:styleId="17">
    <w:name w:val="表格文字"/>
    <w:basedOn w:val="1"/>
    <w:qFormat/>
    <w:uiPriority w:val="0"/>
    <w:pPr>
      <w:spacing w:before="25" w:after="25"/>
      <w:jc w:val="left"/>
    </w:pPr>
    <w:rPr>
      <w:rFonts w:ascii="Calibri" w:hAnsi="Calibri"/>
      <w:bCs/>
      <w:spacing w:val="10"/>
      <w:kern w:val="0"/>
      <w:sz w:val="24"/>
      <w:szCs w:val="20"/>
    </w:rPr>
  </w:style>
  <w:style w:type="character" w:customStyle="1" w:styleId="18">
    <w:name w:val="fontstyle01"/>
    <w:qFormat/>
    <w:uiPriority w:val="0"/>
    <w:rPr>
      <w:rFonts w:hint="eastAsia" w:ascii="宋体" w:hAnsi="宋体" w:eastAsia="宋体"/>
      <w:color w:val="000000"/>
      <w:sz w:val="24"/>
      <w:szCs w:val="24"/>
    </w:rPr>
  </w:style>
  <w:style w:type="character" w:customStyle="1" w:styleId="19">
    <w:name w:val="页眉 字符"/>
    <w:basedOn w:val="10"/>
    <w:link w:val="6"/>
    <w:qFormat/>
    <w:uiPriority w:val="99"/>
    <w:rPr>
      <w:rFonts w:ascii="Times New Roman" w:hAnsi="Times New Roman" w:eastAsia="宋体" w:cs="Times New Roman"/>
      <w:sz w:val="18"/>
      <w:szCs w:val="18"/>
    </w:rPr>
  </w:style>
  <w:style w:type="character" w:customStyle="1" w:styleId="20">
    <w:name w:val="页脚 字符"/>
    <w:basedOn w:val="10"/>
    <w:link w:val="5"/>
    <w:qFormat/>
    <w:uiPriority w:val="99"/>
    <w:rPr>
      <w:rFonts w:ascii="Times New Roman" w:hAnsi="Times New Roman" w:eastAsia="宋体" w:cs="Times New Roman"/>
      <w:sz w:val="18"/>
      <w:szCs w:val="18"/>
    </w:rPr>
  </w:style>
  <w:style w:type="character" w:styleId="21">
    <w:name w:val="Placeholder Text"/>
    <w:basedOn w:val="10"/>
    <w:semiHidden/>
    <w:qFormat/>
    <w:uiPriority w:val="99"/>
    <w:rPr>
      <w:color w:val="808080"/>
    </w:rPr>
  </w:style>
  <w:style w:type="paragraph" w:customStyle="1" w:styleId="22">
    <w:name w:val="样式1"/>
    <w:basedOn w:val="1"/>
    <w:qFormat/>
    <w:uiPriority w:val="0"/>
  </w:style>
  <w:style w:type="character" w:customStyle="1" w:styleId="23">
    <w:name w:val="font21"/>
    <w:basedOn w:val="10"/>
    <w:qFormat/>
    <w:uiPriority w:val="0"/>
    <w:rPr>
      <w:rFonts w:hint="default" w:ascii="Calibri" w:hAnsi="Calibri" w:cs="Calibri"/>
      <w:color w:val="000000"/>
      <w:sz w:val="24"/>
      <w:szCs w:val="24"/>
      <w:u w:val="none"/>
    </w:rPr>
  </w:style>
  <w:style w:type="character" w:customStyle="1" w:styleId="24">
    <w:name w:val="font41"/>
    <w:basedOn w:val="10"/>
    <w:qFormat/>
    <w:uiPriority w:val="0"/>
    <w:rPr>
      <w:rFonts w:ascii="宋体-简" w:hAnsi="宋体-简" w:eastAsia="宋体-简" w:cs="宋体-简"/>
      <w:color w:val="000000"/>
      <w:sz w:val="24"/>
      <w:szCs w:val="24"/>
      <w:u w:val="none"/>
    </w:rPr>
  </w:style>
  <w:style w:type="character" w:customStyle="1" w:styleId="25">
    <w:name w:val="font51"/>
    <w:basedOn w:val="10"/>
    <w:qFormat/>
    <w:uiPriority w:val="0"/>
    <w:rPr>
      <w:rFonts w:hint="default" w:ascii="宋体-简" w:hAnsi="宋体-简" w:eastAsia="宋体-简" w:cs="宋体-简"/>
      <w:color w:val="000000"/>
      <w:sz w:val="24"/>
      <w:szCs w:val="24"/>
      <w:u w:val="none"/>
    </w:rPr>
  </w:style>
  <w:style w:type="character" w:customStyle="1" w:styleId="26">
    <w:name w:val="font11"/>
    <w:basedOn w:val="10"/>
    <w:qFormat/>
    <w:uiPriority w:val="0"/>
    <w:rPr>
      <w:rFonts w:hint="default"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14:paraId="31D9254B">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1075</Words>
  <Characters>1283</Characters>
  <Lines>26</Lines>
  <Paragraphs>7</Paragraphs>
  <TotalTime>1</TotalTime>
  <ScaleCrop>false</ScaleCrop>
  <LinksUpToDate>false</LinksUpToDate>
  <CharactersWithSpaces>1289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chance</cp:lastModifiedBy>
  <cp:lastPrinted>2021-01-18T07:59:00Z</cp:lastPrinted>
  <dcterms:modified xsi:type="dcterms:W3CDTF">2025-09-16T08:57:27Z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B1C8ADB6A08C49D88EF48001F8D355A1_13</vt:lpwstr>
  </property>
  <property fmtid="{D5CDD505-2E9C-101B-9397-08002B2CF9AE}" pid="4" name="KSOTemplateDocerSaveRecord">
    <vt:lpwstr>eyJoZGlkIjoiMDU4ZGIyZTNhYjM3YTU4MTg0NTkwOTZkODZmNGUzYzgiLCJ1c2VySWQiOiI1OTI0NDY0NDUifQ==</vt:lpwstr>
  </property>
</Properties>
</file>