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55AF6">
      <w:pPr>
        <w:widowControl/>
        <w:jc w:val="center"/>
        <w:rPr>
          <w:kern w:val="0"/>
          <w:sz w:val="28"/>
          <w:szCs w:val="28"/>
        </w:rPr>
      </w:pPr>
      <w:r>
        <w:rPr>
          <w:rFonts w:hint="eastAsia" w:cs="宋体"/>
          <w:b/>
          <w:bCs/>
          <w:kern w:val="0"/>
          <w:sz w:val="38"/>
          <w:szCs w:val="38"/>
        </w:rPr>
        <w:t>第三章</w:t>
      </w:r>
      <w:r>
        <w:rPr>
          <w:rFonts w:cs="宋体"/>
          <w:b/>
          <w:bCs/>
          <w:kern w:val="0"/>
          <w:sz w:val="38"/>
          <w:szCs w:val="38"/>
        </w:rPr>
        <w:t xml:space="preserve">  </w:t>
      </w:r>
      <w:r>
        <w:rPr>
          <w:rFonts w:hint="eastAsia" w:cs="宋体"/>
          <w:b/>
          <w:bCs/>
          <w:kern w:val="0"/>
          <w:sz w:val="38"/>
          <w:szCs w:val="38"/>
        </w:rPr>
        <w:t>项目需求和质量标准</w:t>
      </w:r>
    </w:p>
    <w:p w14:paraId="4EFD49B2">
      <w:pPr>
        <w:pStyle w:val="11"/>
        <w:ind w:left="-500" w:leftChars="-238" w:firstLine="479" w:firstLineChars="199"/>
        <w:rPr>
          <w:rFonts w:hint="eastAsia"/>
          <w:color w:val="000000" w:themeColor="text1"/>
          <w:sz w:val="24"/>
          <w:szCs w:val="24"/>
          <w:lang w:eastAsia="zh-CN"/>
          <w14:textFill>
            <w14:solidFill>
              <w14:schemeClr w14:val="tx1"/>
            </w14:solidFill>
          </w14:textFill>
        </w:rPr>
      </w:pPr>
      <w:r>
        <w:rPr>
          <w:rFonts w:hint="eastAsia"/>
          <w:b/>
          <w:bCs/>
          <w:color w:val="000000" w:themeColor="text1"/>
          <w:sz w:val="24"/>
          <w:szCs w:val="24"/>
          <w14:textFill>
            <w14:solidFill>
              <w14:schemeClr w14:val="tx1"/>
            </w14:solidFill>
          </w14:textFill>
        </w:rPr>
        <w:t>★ 部分为核心参数</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不满足</w:t>
      </w:r>
      <w:r>
        <w:rPr>
          <w:rFonts w:hint="eastAsia"/>
          <w:color w:val="000000" w:themeColor="text1"/>
          <w:sz w:val="24"/>
          <w:szCs w:val="24"/>
          <w:lang w:eastAsia="zh-CN"/>
          <w14:textFill>
            <w14:solidFill>
              <w14:schemeClr w14:val="tx1"/>
            </w14:solidFill>
          </w14:textFill>
        </w:rPr>
        <w:t>或不应标则投标</w:t>
      </w:r>
      <w:r>
        <w:rPr>
          <w:rFonts w:hint="eastAsia"/>
          <w:color w:val="000000" w:themeColor="text1"/>
          <w:sz w:val="24"/>
          <w:szCs w:val="24"/>
          <w14:textFill>
            <w14:solidFill>
              <w14:schemeClr w14:val="tx1"/>
            </w14:solidFill>
          </w14:textFill>
        </w:rPr>
        <w:t>视为无效投标</w:t>
      </w:r>
      <w:r>
        <w:rPr>
          <w:rFonts w:hint="eastAsia"/>
          <w:color w:val="000000" w:themeColor="text1"/>
          <w:sz w:val="24"/>
          <w:szCs w:val="24"/>
          <w:lang w:eastAsia="zh-CN"/>
          <w14:textFill>
            <w14:solidFill>
              <w14:schemeClr w14:val="tx1"/>
            </w14:solidFill>
          </w14:textFill>
        </w:rPr>
        <w:t>；</w:t>
      </w:r>
    </w:p>
    <w:p w14:paraId="61914714">
      <w:pPr>
        <w:tabs>
          <w:tab w:val="left" w:pos="7125"/>
        </w:tabs>
        <w:autoSpaceDE w:val="0"/>
        <w:autoSpaceDN w:val="0"/>
        <w:adjustRightInd w:val="0"/>
        <w:spacing w:line="340" w:lineRule="exact"/>
        <w:jc w:val="both"/>
        <w:rPr>
          <w:rFonts w:hint="default" w:eastAsia="宋体"/>
          <w:color w:val="000000" w:themeColor="text1"/>
          <w:sz w:val="24"/>
          <w:szCs w:val="24"/>
          <w:u w:val="none"/>
          <w:lang w:val="en-US" w:eastAsia="zh-CN"/>
          <w14:textFill>
            <w14:solidFill>
              <w14:schemeClr w14:val="tx1"/>
            </w14:solidFill>
          </w14:textFill>
        </w:rPr>
      </w:pPr>
      <w:r>
        <w:rPr>
          <w:rStyle w:val="20"/>
          <w:rFonts w:hint="eastAsia" w:asciiTheme="minorHAnsi" w:hAnsiTheme="minorHAnsi" w:eastAsiaTheme="minorEastAsia" w:cstheme="minorBidi"/>
          <w:b/>
          <w:bCs/>
          <w:color w:val="auto"/>
          <w:sz w:val="28"/>
          <w:szCs w:val="28"/>
          <w:u w:val="none"/>
          <w:lang w:val="en-US" w:eastAsia="zh-CN"/>
        </w:rPr>
        <w:t>一、吞咽神经肌肉低频电刺激仪具体参数</w:t>
      </w:r>
      <w:r>
        <w:rPr>
          <w:rStyle w:val="20"/>
          <w:rFonts w:hint="eastAsia"/>
          <w:b/>
          <w:bCs/>
          <w:color w:val="auto"/>
          <w:sz w:val="28"/>
          <w:szCs w:val="28"/>
          <w:u w:val="none"/>
          <w:lang w:val="en-US" w:eastAsia="zh-CN"/>
        </w:rPr>
        <w:t>要求</w:t>
      </w:r>
    </w:p>
    <w:p w14:paraId="70EB0F4E">
      <w:pPr>
        <w:pStyle w:val="11"/>
        <w:ind w:left="-708" w:leftChars="-337"/>
        <w:rPr>
          <w:rFonts w:hint="eastAsia"/>
          <w:color w:val="auto"/>
        </w:rPr>
      </w:pPr>
      <w:r>
        <w:rPr>
          <w:rFonts w:hint="eastAsia"/>
          <w:color w:val="auto"/>
        </w:rPr>
        <w:t>1.适用于神经肌肉损伤引起的吞咽功能障碍的辅助治疗。</w:t>
      </w:r>
    </w:p>
    <w:p w14:paraId="13FBDAA1">
      <w:pPr>
        <w:pStyle w:val="11"/>
        <w:ind w:left="-708" w:leftChars="-337"/>
        <w:rPr>
          <w:rFonts w:hint="eastAsia"/>
          <w:color w:val="auto"/>
        </w:rPr>
      </w:pPr>
      <w:r>
        <w:rPr>
          <w:rFonts w:hint="eastAsia"/>
          <w:b/>
          <w:bCs/>
          <w:color w:val="000000" w:themeColor="text1"/>
          <w:sz w:val="24"/>
          <w:szCs w:val="24"/>
          <w14:textFill>
            <w14:solidFill>
              <w14:schemeClr w14:val="tx1"/>
            </w14:solidFill>
          </w14:textFill>
        </w:rPr>
        <w:t>★</w:t>
      </w:r>
      <w:r>
        <w:rPr>
          <w:rFonts w:hint="eastAsia"/>
          <w:color w:val="auto"/>
        </w:rPr>
        <w:t>2.具备≥2种电疗输出模式</w:t>
      </w:r>
    </w:p>
    <w:p w14:paraId="67FB9661">
      <w:pPr>
        <w:pStyle w:val="11"/>
        <w:ind w:left="-708" w:leftChars="-337"/>
        <w:rPr>
          <w:rFonts w:hint="eastAsia"/>
          <w:color w:val="auto"/>
        </w:rPr>
      </w:pPr>
      <w:r>
        <w:rPr>
          <w:rFonts w:hint="eastAsia"/>
          <w:color w:val="auto"/>
        </w:rPr>
        <w:t>3.至少有双通道输出，每通道可独立设置治疗参数。</w:t>
      </w:r>
    </w:p>
    <w:p w14:paraId="681928BE">
      <w:pPr>
        <w:pStyle w:val="11"/>
        <w:ind w:left="-708" w:leftChars="-337"/>
        <w:rPr>
          <w:rFonts w:hint="eastAsia"/>
          <w:color w:val="auto"/>
        </w:rPr>
      </w:pPr>
      <w:r>
        <w:rPr>
          <w:rFonts w:hint="eastAsia"/>
          <w:color w:val="auto"/>
        </w:rPr>
        <w:t>4.输出强度:0mA~80mA或 0V~80V 范围内可调， 允差士10%。</w:t>
      </w:r>
    </w:p>
    <w:p w14:paraId="41EDA304">
      <w:pPr>
        <w:pStyle w:val="11"/>
        <w:ind w:left="-708" w:leftChars="-337"/>
        <w:rPr>
          <w:rFonts w:hint="eastAsia"/>
          <w:color w:val="auto"/>
        </w:rPr>
      </w:pPr>
      <w:r>
        <w:rPr>
          <w:rFonts w:hint="eastAsia"/>
          <w:color w:val="auto"/>
        </w:rPr>
        <w:t>5.脉冲频率:20Hz~100Hz可调，允差士10%。</w:t>
      </w:r>
    </w:p>
    <w:p w14:paraId="07E23F2C">
      <w:pPr>
        <w:pStyle w:val="11"/>
        <w:ind w:left="-708" w:leftChars="-337"/>
        <w:rPr>
          <w:rFonts w:hint="eastAsia"/>
          <w:color w:val="auto"/>
        </w:rPr>
      </w:pPr>
      <w:r>
        <w:rPr>
          <w:rFonts w:hint="eastAsia"/>
          <w:color w:val="auto"/>
        </w:rPr>
        <w:t>6.脉冲宽度:100μs~400μs可调，允差士10%。</w:t>
      </w:r>
    </w:p>
    <w:p w14:paraId="41DCF0D6">
      <w:pPr>
        <w:pStyle w:val="11"/>
        <w:ind w:left="-708" w:leftChars="-337"/>
        <w:rPr>
          <w:rFonts w:hint="eastAsia"/>
          <w:color w:val="auto"/>
        </w:rPr>
      </w:pPr>
      <w:r>
        <w:rPr>
          <w:rFonts w:hint="eastAsia"/>
          <w:color w:val="auto"/>
        </w:rPr>
        <w:t>7.脉冲波形为双向对称波，正负脉冲间隔为100μs，允差士10%。</w:t>
      </w:r>
    </w:p>
    <w:p w14:paraId="0CD893C4">
      <w:pPr>
        <w:pStyle w:val="11"/>
        <w:ind w:left="-708" w:leftChars="-337"/>
        <w:rPr>
          <w:rFonts w:hint="eastAsia"/>
          <w:color w:val="auto"/>
        </w:rPr>
      </w:pPr>
      <w:r>
        <w:rPr>
          <w:rFonts w:hint="eastAsia"/>
          <w:color w:val="auto"/>
        </w:rPr>
        <w:t>8.脉冲的上升时间和下降时间、脉冲的维持时间、脉冲的断电时间可调。</w:t>
      </w:r>
    </w:p>
    <w:p w14:paraId="4D89B1CB">
      <w:pPr>
        <w:pStyle w:val="11"/>
        <w:ind w:left="-708" w:leftChars="-337"/>
        <w:rPr>
          <w:rFonts w:hint="eastAsia"/>
          <w:color w:val="auto"/>
        </w:rPr>
      </w:pPr>
      <w:r>
        <w:rPr>
          <w:rFonts w:hint="eastAsia"/>
          <w:color w:val="auto"/>
        </w:rPr>
        <w:t>9.治疗时间1~99min 可调，允差士10%。</w:t>
      </w:r>
    </w:p>
    <w:p w14:paraId="18754CA2">
      <w:pPr>
        <w:pStyle w:val="11"/>
        <w:ind w:left="-708" w:leftChars="-337"/>
        <w:rPr>
          <w:rFonts w:hint="eastAsia"/>
          <w:color w:val="auto"/>
        </w:rPr>
      </w:pPr>
      <w:r>
        <w:rPr>
          <w:rFonts w:hint="eastAsia"/>
          <w:b/>
          <w:bCs/>
          <w:color w:val="000000" w:themeColor="text1"/>
          <w:sz w:val="24"/>
          <w:szCs w:val="24"/>
          <w14:textFill>
            <w14:solidFill>
              <w14:schemeClr w14:val="tx1"/>
            </w14:solidFill>
          </w14:textFill>
        </w:rPr>
        <w:t>★</w:t>
      </w:r>
      <w:r>
        <w:rPr>
          <w:rFonts w:hint="eastAsia"/>
          <w:color w:val="auto"/>
        </w:rPr>
        <w:t>10.至少具备七种电极治疗方式或以上。</w:t>
      </w:r>
    </w:p>
    <w:p w14:paraId="64198F5A">
      <w:pPr>
        <w:pStyle w:val="11"/>
        <w:ind w:left="-708" w:leftChars="-337"/>
        <w:rPr>
          <w:rFonts w:hint="eastAsia"/>
          <w:color w:val="auto"/>
        </w:rPr>
      </w:pPr>
      <w:r>
        <w:rPr>
          <w:rFonts w:hint="eastAsia"/>
          <w:color w:val="auto"/>
        </w:rPr>
        <w:t>11.固定电极最少具备三种治疗模式。</w:t>
      </w:r>
    </w:p>
    <w:p w14:paraId="312E333B">
      <w:pPr>
        <w:pStyle w:val="11"/>
        <w:ind w:left="-708" w:leftChars="-337"/>
        <w:rPr>
          <w:rFonts w:hint="eastAsia"/>
          <w:color w:val="auto"/>
        </w:rPr>
      </w:pPr>
      <w:r>
        <w:rPr>
          <w:rFonts w:hint="eastAsia"/>
          <w:color w:val="auto"/>
        </w:rPr>
        <w:t>12.内置电极放置图示。</w:t>
      </w:r>
    </w:p>
    <w:p w14:paraId="33D32E2B">
      <w:pPr>
        <w:pStyle w:val="11"/>
        <w:ind w:left="-708" w:leftChars="-337"/>
        <w:rPr>
          <w:rFonts w:hint="eastAsia"/>
          <w:color w:val="auto"/>
        </w:rPr>
      </w:pPr>
      <w:r>
        <w:rPr>
          <w:rFonts w:hint="eastAsia"/>
          <w:color w:val="auto"/>
        </w:rPr>
        <w:t>13.电刺激手柄供治疗师操作，可按治疗需求控制电流输出的持续时间。</w:t>
      </w:r>
    </w:p>
    <w:p w14:paraId="6FD961B9">
      <w:pPr>
        <w:pStyle w:val="11"/>
        <w:ind w:left="-708" w:leftChars="-337"/>
        <w:rPr>
          <w:b w:val="0"/>
          <w:bCs/>
        </w:rPr>
      </w:pPr>
      <w:r>
        <w:rPr>
          <w:rFonts w:hint="eastAsia"/>
          <w:color w:val="auto"/>
        </w:rPr>
        <w:t>14.开路报警提示，过电保护确保治疗安全。</w:t>
      </w:r>
    </w:p>
    <w:p w14:paraId="031AB961">
      <w:pPr>
        <w:widowControl/>
        <w:numPr>
          <w:ilvl w:val="0"/>
          <w:numId w:val="0"/>
        </w:numPr>
        <w:spacing w:line="360" w:lineRule="auto"/>
        <w:jc w:val="left"/>
        <w:rPr>
          <w:rFonts w:cs="宋体"/>
          <w:b/>
          <w:bCs/>
          <w:color w:val="000000"/>
          <w:kern w:val="0"/>
          <w:sz w:val="24"/>
          <w:szCs w:val="24"/>
        </w:rPr>
      </w:pPr>
      <w:r>
        <w:rPr>
          <w:rFonts w:hint="eastAsia"/>
          <w:lang w:val="en-US" w:eastAsia="zh-CN"/>
        </w:rPr>
        <w:t>二、</w:t>
      </w:r>
      <w:r>
        <w:rPr>
          <w:rFonts w:hint="eastAsia" w:cs="宋体"/>
          <w:b/>
          <w:bCs/>
          <w:color w:val="000000"/>
          <w:kern w:val="0"/>
          <w:sz w:val="24"/>
          <w:szCs w:val="24"/>
          <w:lang w:val="en-US" w:eastAsia="zh-CN"/>
        </w:rPr>
        <w:t>项目产品</w:t>
      </w:r>
      <w:r>
        <w:rPr>
          <w:rFonts w:hint="eastAsia" w:cs="宋体"/>
          <w:b/>
          <w:bCs/>
          <w:color w:val="000000"/>
          <w:kern w:val="0"/>
          <w:sz w:val="24"/>
          <w:szCs w:val="24"/>
        </w:rPr>
        <w:t>基本要求</w:t>
      </w:r>
    </w:p>
    <w:p w14:paraId="7F9E0445">
      <w:pPr>
        <w:pStyle w:val="11"/>
        <w:ind w:left="-708" w:leftChars="-337"/>
        <w:rPr>
          <w:color w:val="auto"/>
        </w:rPr>
      </w:pPr>
      <w:r>
        <w:rPr>
          <w:rFonts w:hint="eastAsia"/>
          <w:color w:val="auto"/>
        </w:rPr>
        <w:t>1、以上产品必须是具备合法资质的制造商生产的</w:t>
      </w:r>
      <w:r>
        <w:rPr>
          <w:rFonts w:hint="eastAsia"/>
          <w:b/>
          <w:bCs/>
          <w:color w:val="auto"/>
        </w:rPr>
        <w:t>全新正品</w:t>
      </w:r>
      <w:r>
        <w:rPr>
          <w:rFonts w:hint="eastAsia"/>
          <w:color w:val="auto"/>
        </w:rPr>
        <w:t>，并满足招标采购文件的要求，若产品在运输或安装过程中损坏或擦伤须无偿调换相同产品。</w:t>
      </w:r>
    </w:p>
    <w:p w14:paraId="724C088B">
      <w:pPr>
        <w:pStyle w:val="11"/>
        <w:ind w:left="-708" w:leftChars="-337"/>
        <w:rPr>
          <w:color w:val="auto"/>
        </w:rPr>
      </w:pPr>
      <w:r>
        <w:rPr>
          <w:rFonts w:hint="eastAsia"/>
          <w:color w:val="auto"/>
        </w:rPr>
        <w:t>2、投标人所投产品参数应同等或优于以上各项参数要求，产品、辅材及生产工艺符合国家相关规范。</w:t>
      </w:r>
    </w:p>
    <w:p w14:paraId="62ED69AC">
      <w:pPr>
        <w:pStyle w:val="11"/>
        <w:ind w:left="-708" w:leftChars="-337"/>
        <w:rPr>
          <w:color w:val="auto"/>
        </w:rPr>
      </w:pPr>
      <w:r>
        <w:rPr>
          <w:rFonts w:hint="eastAsia"/>
          <w:color w:val="auto"/>
        </w:rPr>
        <w:t>3、投标人应保证所提供的货物或其任何一部分均不会侵犯任何第三方的专利权、商标权等，如在使用过程中出现的一切经济和法律责任均由投标人负责。</w:t>
      </w:r>
    </w:p>
    <w:p w14:paraId="6C89FF25">
      <w:pPr>
        <w:pStyle w:val="11"/>
        <w:ind w:left="-708" w:leftChars="-337"/>
        <w:rPr>
          <w:color w:val="auto"/>
        </w:rPr>
      </w:pPr>
      <w:r>
        <w:rPr>
          <w:rFonts w:hint="eastAsia"/>
          <w:color w:val="auto"/>
        </w:rPr>
        <w:t>4、投标总价必须包含货物及货物运抵指定交货地点的各种费用和安装调校、售后服务、税金、验收检验及其它所有费用的总和，如另有要求请在投标文件中注明。</w:t>
      </w:r>
    </w:p>
    <w:p w14:paraId="544401A4">
      <w:pPr>
        <w:pStyle w:val="11"/>
        <w:ind w:left="-708" w:leftChars="-337"/>
        <w:rPr>
          <w:rFonts w:hint="eastAsia"/>
          <w:color w:val="auto"/>
        </w:rPr>
      </w:pPr>
      <w:r>
        <w:rPr>
          <w:rFonts w:hint="eastAsia"/>
          <w:color w:val="auto"/>
        </w:rPr>
        <w:t>5、</w:t>
      </w:r>
      <w:r>
        <w:rPr>
          <w:rFonts w:hint="eastAsia"/>
          <w:color w:val="auto"/>
          <w:lang w:val="en-US" w:eastAsia="zh-CN"/>
        </w:rPr>
        <w:t>投标</w:t>
      </w:r>
      <w:r>
        <w:rPr>
          <w:rFonts w:hint="eastAsia"/>
        </w:rPr>
        <w:t>人在竞价文件中必须提交设备配置清单，如设备有配套耗材及定期更换的配件请投标时与设备一起报价</w:t>
      </w:r>
      <w:r>
        <w:rPr>
          <w:rFonts w:hint="eastAsia"/>
          <w:color w:val="auto"/>
        </w:rPr>
        <w:t>。</w:t>
      </w:r>
    </w:p>
    <w:p w14:paraId="08DCA6C9">
      <w:pPr>
        <w:pStyle w:val="11"/>
        <w:ind w:left="-708" w:leftChars="-337"/>
        <w:rPr>
          <w:rFonts w:hint="eastAsia"/>
        </w:rPr>
      </w:pPr>
      <w:r>
        <w:rPr>
          <w:rFonts w:hint="eastAsia"/>
          <w:color w:val="auto"/>
          <w:lang w:val="en-US" w:eastAsia="zh-CN"/>
        </w:rPr>
        <w:t>6、投标人所投产品必须</w:t>
      </w:r>
      <w:r>
        <w:rPr>
          <w:rFonts w:hint="eastAsia"/>
          <w:color w:val="auto"/>
        </w:rPr>
        <w:t>提供产品“三包”服务；定期安排相关人员回访进行质量跟踪；保证提供临床应用和售后技术服务支持方式；</w:t>
      </w:r>
      <w:r>
        <w:rPr>
          <w:rFonts w:hint="eastAsia"/>
        </w:rPr>
        <w:t>保修期后提供终身维修服务及配件供应；其他售后服务按厂家承诺实行。</w:t>
      </w:r>
    </w:p>
    <w:p w14:paraId="60491C93">
      <w:pPr>
        <w:pStyle w:val="11"/>
        <w:ind w:left="-708" w:leftChars="-337" w:firstLine="482" w:firstLineChars="200"/>
        <w:rPr>
          <w:rFonts w:hint="eastAsia" w:cs="宋体"/>
          <w:b/>
          <w:bCs/>
        </w:rPr>
      </w:pPr>
      <w:r>
        <w:rPr>
          <w:rFonts w:hint="eastAsia" w:cs="宋体"/>
          <w:b/>
          <w:bCs/>
          <w:lang w:val="en-US" w:eastAsia="zh-CN"/>
        </w:rPr>
        <w:t>三、</w:t>
      </w:r>
      <w:r>
        <w:rPr>
          <w:rFonts w:hint="eastAsia" w:cs="宋体"/>
          <w:b/>
          <w:bCs/>
        </w:rPr>
        <w:t>商务要求</w:t>
      </w:r>
    </w:p>
    <w:p w14:paraId="2FA46314">
      <w:pPr>
        <w:pStyle w:val="11"/>
        <w:ind w:left="-708" w:leftChars="-337"/>
        <w:rPr>
          <w:rFonts w:hint="eastAsia" w:cs="宋体"/>
          <w:b/>
          <w:bCs/>
          <w:lang w:val="en-US" w:eastAsia="zh-CN"/>
        </w:rPr>
      </w:pPr>
      <w:r>
        <w:rPr>
          <w:rFonts w:hint="eastAsia" w:cs="宋体"/>
          <w:b/>
          <w:bCs/>
          <w:lang w:val="en-US" w:eastAsia="zh-CN"/>
        </w:rPr>
        <w:t>1、投标人资格要求</w:t>
      </w:r>
    </w:p>
    <w:p w14:paraId="7B98246F">
      <w:pPr>
        <w:pStyle w:val="11"/>
        <w:ind w:left="-708" w:leftChars="-337"/>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（1）必须是符合《中华人民共和国政府采购法》第二十二条之规定的独立法人；（2）经营范围必须与本采购项目实质性相符；</w:t>
      </w:r>
    </w:p>
    <w:p w14:paraId="3FD0B983">
      <w:pPr>
        <w:pStyle w:val="11"/>
        <w:ind w:left="-708" w:leftChars="-337"/>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（3）有固定的经营场所，有适应项目需要的专业技术人员，具备相关项目的供货能力和售后服务能力，具有良好的商业信誉和财务状况；</w:t>
      </w:r>
    </w:p>
    <w:p w14:paraId="40C2B881">
      <w:pPr>
        <w:pStyle w:val="11"/>
        <w:ind w:left="-708" w:leftChars="-337"/>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（4）提供营业执照、税务登记证、组织机构代码证复印件（盖章的），提供法人或被授权代表人身份证复印件；</w:t>
      </w:r>
    </w:p>
    <w:p w14:paraId="2BA46A63">
      <w:pPr>
        <w:pStyle w:val="11"/>
        <w:ind w:left="-708" w:leftChars="-337"/>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（5）参加本次政府采购活动前三年内，没有重大违法、违纪记录的声明；　</w:t>
      </w:r>
    </w:p>
    <w:p w14:paraId="5DA508D7">
      <w:pPr>
        <w:pStyle w:val="11"/>
        <w:ind w:left="-708" w:leftChars="-337"/>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（6）本次招标不接受联合体投标。</w:t>
      </w:r>
    </w:p>
    <w:p w14:paraId="636F4B1C">
      <w:pPr>
        <w:pStyle w:val="11"/>
        <w:ind w:left="-708" w:leftChars="-337"/>
        <w:rPr>
          <w:rFonts w:hint="default" w:cs="宋体"/>
          <w:b/>
          <w:bCs/>
          <w:lang w:val="en-US" w:eastAsia="zh-CN"/>
        </w:rPr>
      </w:pPr>
      <w:r>
        <w:rPr>
          <w:rFonts w:hint="eastAsia" w:cs="宋体"/>
          <w:b/>
          <w:bCs/>
          <w:lang w:val="en-US" w:eastAsia="zh-CN"/>
        </w:rPr>
        <w:t>2、投标产品资格要求</w:t>
      </w:r>
    </w:p>
    <w:p w14:paraId="26B5E0B8">
      <w:pPr>
        <w:pStyle w:val="11"/>
        <w:ind w:left="-708" w:leftChars="-337"/>
        <w:rPr>
          <w:rFonts w:hint="default" w:cs="宋体"/>
          <w:lang w:val="en-US" w:eastAsia="zh-CN"/>
        </w:rPr>
      </w:pPr>
      <w:r>
        <w:rPr>
          <w:rFonts w:hint="eastAsia" w:cs="宋体"/>
          <w:lang w:val="en-US" w:eastAsia="zh-CN"/>
        </w:rPr>
        <w:t>1）本项目支持创新产品、节能优化产品、环境标识产品、中小企业发展等政府采购政策。</w:t>
      </w:r>
    </w:p>
    <w:p w14:paraId="34FB1FD6">
      <w:pPr>
        <w:pStyle w:val="11"/>
        <w:ind w:left="-708" w:leftChars="-337"/>
        <w:rPr>
          <w:rFonts w:hint="eastAsia" w:ascii="Times New Roman" w:hAnsi="Times New Roman" w:eastAsia="宋体" w:cs="宋体"/>
          <w:lang w:val="en-US" w:eastAsia="zh-CN"/>
        </w:rPr>
      </w:pPr>
      <w:r>
        <w:rPr>
          <w:rFonts w:hint="eastAsia"/>
          <w:lang w:val="en-US" w:eastAsia="zh-CN"/>
        </w:rPr>
        <w:t>2）</w:t>
      </w:r>
      <w:r>
        <w:rPr>
          <w:rFonts w:hint="eastAsia"/>
        </w:rPr>
        <w:t>投标人所投产品要求包含以下相关证件：</w:t>
      </w:r>
      <w:r>
        <w:rPr>
          <w:rFonts w:hint="eastAsia" w:ascii="Times New Roman" w:hAnsi="Times New Roman" w:eastAsia="宋体" w:cs="宋体"/>
          <w:lang w:val="en-US" w:eastAsia="zh-CN"/>
        </w:rPr>
        <w:t>投标公司的《医疗器械经营许可证》、生产厂家的《医疗器械生产许可证》（国外产品可不提供）、器械的《中华人民共和国医疗器械注册证》</w:t>
      </w:r>
      <w:r>
        <w:rPr>
          <w:rFonts w:hint="eastAsia" w:cs="宋体"/>
          <w:lang w:val="en-US" w:eastAsia="zh-CN"/>
        </w:rPr>
        <w:t>。</w:t>
      </w:r>
    </w:p>
    <w:p w14:paraId="26F6C95F">
      <w:pPr>
        <w:pStyle w:val="11"/>
        <w:ind w:left="-708" w:leftChars="-337"/>
        <w:rPr>
          <w:rFonts w:hint="eastAsia"/>
        </w:rPr>
      </w:pPr>
      <w:r>
        <w:rPr>
          <w:rFonts w:hint="eastAsia"/>
          <w:b/>
          <w:bCs/>
        </w:rPr>
        <w:t>3、售后服务和</w:t>
      </w:r>
      <w:r>
        <w:rPr>
          <w:rFonts w:hint="eastAsia"/>
          <w:b/>
          <w:bCs/>
          <w:lang w:val="en-US" w:eastAsia="zh-CN"/>
        </w:rPr>
        <w:t>资质</w:t>
      </w:r>
    </w:p>
    <w:p w14:paraId="6A4B446E">
      <w:pPr>
        <w:pStyle w:val="11"/>
        <w:ind w:left="-708" w:leftChars="-337"/>
        <w:rPr>
          <w:rFonts w:hint="eastAsia" w:eastAsia="宋体"/>
          <w:lang w:val="en-US" w:eastAsia="zh-CN"/>
        </w:rPr>
      </w:pPr>
      <w:r>
        <w:rPr>
          <w:rFonts w:hint="eastAsia"/>
          <w:lang w:val="en-US" w:eastAsia="zh-CN"/>
        </w:rPr>
        <w:t>1</w:t>
      </w:r>
      <w:r>
        <w:rPr>
          <w:rFonts w:hint="eastAsia"/>
        </w:rPr>
        <w:t>）售后资质要求：</w:t>
      </w:r>
      <w:r>
        <w:rPr>
          <w:rFonts w:hint="eastAsia" w:ascii="宋体" w:hAnsi="宋体"/>
        </w:rPr>
        <w:t>厂家须设有24小时免费服务电话，成交供应商应提供常驻广西维保人员名单、联系电话等</w:t>
      </w:r>
      <w:r>
        <w:rPr>
          <w:rFonts w:hint="eastAsia" w:ascii="宋体" w:hAnsi="宋体"/>
          <w:lang w:eastAsia="zh-CN"/>
        </w:rPr>
        <w:t>。</w:t>
      </w:r>
    </w:p>
    <w:p w14:paraId="49C351C2">
      <w:pPr>
        <w:pStyle w:val="11"/>
        <w:ind w:left="-708" w:leftChars="-337"/>
        <w:rPr>
          <w:rFonts w:hint="eastAsia"/>
        </w:rPr>
      </w:pPr>
      <w:r>
        <w:rPr>
          <w:rFonts w:hint="eastAsia"/>
          <w:lang w:val="en-US" w:eastAsia="zh-CN"/>
        </w:rPr>
        <w:t>2）</w:t>
      </w:r>
      <w:r>
        <w:rPr>
          <w:rFonts w:hint="eastAsia"/>
        </w:rPr>
        <w:t>维修备件必须是原厂备件。</w:t>
      </w:r>
    </w:p>
    <w:p w14:paraId="3309615C">
      <w:pPr>
        <w:pStyle w:val="11"/>
        <w:ind w:left="-708" w:leftChars="-337"/>
        <w:rPr>
          <w:rFonts w:hint="eastAsia"/>
        </w:rPr>
      </w:pPr>
      <w:r>
        <w:rPr>
          <w:rFonts w:hint="eastAsia"/>
          <w:lang w:val="en-US" w:eastAsia="zh-CN"/>
        </w:rPr>
        <w:t>3）</w:t>
      </w:r>
      <w:r>
        <w:rPr>
          <w:rFonts w:hint="eastAsia"/>
        </w:rPr>
        <w:t>质保期：设备安装完毕通过验收投入使用之日起</w:t>
      </w:r>
      <w:r>
        <w:rPr>
          <w:rFonts w:hint="eastAsia"/>
          <w:u w:val="single"/>
        </w:rPr>
        <w:t>不</w:t>
      </w:r>
      <w:r>
        <w:rPr>
          <w:rFonts w:hint="eastAsia" w:ascii="Times New Roman" w:hAnsi="Times New Roman" w:eastAsia="宋体" w:cs="Times New Roman"/>
          <w:u w:val="single"/>
        </w:rPr>
        <w:t>少于</w:t>
      </w:r>
      <w:r>
        <w:rPr>
          <w:rFonts w:hint="eastAsia" w:ascii="Times New Roman" w:hAnsi="Times New Roman" w:eastAsia="宋体" w:cs="Times New Roman"/>
          <w:u w:val="single"/>
          <w:lang w:val="en-US" w:eastAsia="zh-CN"/>
        </w:rPr>
        <w:t>1</w:t>
      </w:r>
      <w:r>
        <w:rPr>
          <w:rFonts w:hint="eastAsia" w:ascii="Times New Roman" w:hAnsi="Times New Roman" w:eastAsia="宋体" w:cs="Times New Roman"/>
          <w:u w:val="single"/>
        </w:rPr>
        <w:t>年</w:t>
      </w:r>
      <w:r>
        <w:rPr>
          <w:rFonts w:hint="eastAsia"/>
        </w:rPr>
        <w:t>。</w:t>
      </w:r>
    </w:p>
    <w:p w14:paraId="36E10A0B">
      <w:pPr>
        <w:pStyle w:val="11"/>
        <w:ind w:left="-708" w:leftChars="-337"/>
        <w:rPr>
          <w:rFonts w:hint="eastAsia"/>
        </w:rPr>
      </w:pPr>
      <w:r>
        <w:rPr>
          <w:rFonts w:hint="eastAsia"/>
          <w:lang w:val="en-US" w:eastAsia="zh-CN"/>
        </w:rPr>
        <w:t>4）</w:t>
      </w:r>
      <w:r>
        <w:rPr>
          <w:rFonts w:hint="eastAsia"/>
        </w:rPr>
        <w:t>故障处理：质保期内，在使用过程中发现质量问题或故障时，须接到通知后24小时内派工程师到达用户现场及提供常用备件，按国家及行业标准对故障进行及时处理或更换，以保证采购单位的正常使用，所发生的一切费用由成交供应商负责。</w:t>
      </w:r>
    </w:p>
    <w:p w14:paraId="3DD97080">
      <w:pPr>
        <w:pStyle w:val="11"/>
        <w:ind w:left="-708" w:leftChars="-337"/>
        <w:rPr>
          <w:rFonts w:hint="eastAsia" w:cs="宋体"/>
          <w:kern w:val="0"/>
          <w:sz w:val="24"/>
          <w:szCs w:val="24"/>
        </w:rPr>
      </w:pPr>
      <w:r>
        <w:rPr>
          <w:rFonts w:hint="eastAsia"/>
          <w:lang w:val="en-US" w:eastAsia="zh-CN"/>
        </w:rPr>
        <w:t>5）</w:t>
      </w:r>
      <w:r>
        <w:rPr>
          <w:rFonts w:hint="eastAsia" w:cs="宋体"/>
          <w:kern w:val="0"/>
          <w:sz w:val="24"/>
          <w:szCs w:val="24"/>
        </w:rPr>
        <w:t>签订合同后，</w:t>
      </w:r>
      <w:r>
        <w:rPr>
          <w:rFonts w:hint="eastAsia" w:ascii="Times New Roman" w:hAnsi="Times New Roman" w:eastAsia="宋体" w:cs="Times New Roman"/>
          <w:u w:val="single"/>
          <w:lang w:val="en-US" w:eastAsia="zh-CN"/>
        </w:rPr>
        <w:t>30</w:t>
      </w:r>
      <w:r>
        <w:rPr>
          <w:rFonts w:hint="eastAsia" w:ascii="Times New Roman" w:hAnsi="Times New Roman" w:eastAsia="宋体" w:cs="Times New Roman"/>
          <w:u w:val="single"/>
        </w:rPr>
        <w:t>天</w:t>
      </w:r>
      <w:r>
        <w:rPr>
          <w:rFonts w:hint="eastAsia" w:cs="宋体"/>
          <w:kern w:val="0"/>
          <w:sz w:val="24"/>
          <w:szCs w:val="24"/>
        </w:rPr>
        <w:t>内仪器设备安装调试结束并交付使用。投标人予以特别注意：如出现未能到期供货的情况，采购人有权单方终止合同的执行，所有的经济损失由逾期供货商单方承担。</w:t>
      </w:r>
    </w:p>
    <w:p w14:paraId="02636F2B">
      <w:pPr>
        <w:pStyle w:val="11"/>
        <w:ind w:left="-708" w:leftChars="-337"/>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lang w:val="en-US" w:eastAsia="zh-CN"/>
        </w:rPr>
        <w:t>6）</w:t>
      </w:r>
      <w:r>
        <w:rPr>
          <w:rFonts w:hint="eastAsia" w:ascii="Times New Roman" w:hAnsi="Times New Roman" w:eastAsia="宋体" w:cs="宋体"/>
          <w:kern w:val="0"/>
          <w:sz w:val="24"/>
          <w:szCs w:val="24"/>
        </w:rPr>
        <w:t>交货地点为：</w:t>
      </w:r>
      <w:r>
        <w:rPr>
          <w:rFonts w:hint="eastAsia" w:ascii="Times New Roman" w:hAnsi="Times New Roman" w:eastAsia="宋体" w:cs="宋体"/>
          <w:kern w:val="0"/>
          <w:sz w:val="24"/>
          <w:szCs w:val="24"/>
          <w:lang w:val="en-US" w:eastAsia="zh-CN"/>
        </w:rPr>
        <w:t xml:space="preserve">贺州市八步区人民医院（广西贺州市八步区莲塘镇万安街22号）   </w:t>
      </w:r>
    </w:p>
    <w:p w14:paraId="4F80D858">
      <w:pPr>
        <w:pStyle w:val="11"/>
        <w:ind w:left="-708" w:leftChars="-337"/>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 xml:space="preserve">  </w:t>
      </w:r>
    </w:p>
    <w:p w14:paraId="3B1B75E6">
      <w:pPr>
        <w:pStyle w:val="11"/>
        <w:ind w:left="-228" w:leftChars="-337" w:hanging="480" w:hangingChars="200"/>
        <w:rPr>
          <w:rFonts w:hint="eastAsia" w:cs="宋体"/>
          <w:kern w:val="0"/>
          <w:sz w:val="24"/>
          <w:szCs w:val="24"/>
          <w:lang w:eastAsia="zh-CN"/>
        </w:rPr>
      </w:pPr>
      <w:r>
        <w:rPr>
          <w:rFonts w:hint="eastAsia" w:ascii="Times New Roman" w:hAnsi="Times New Roman" w:eastAsia="宋体" w:cs="宋体"/>
          <w:kern w:val="0"/>
          <w:sz w:val="24"/>
          <w:szCs w:val="24"/>
          <w:lang w:val="en-US" w:eastAsia="zh-CN"/>
        </w:rPr>
        <w:t xml:space="preserve">7）付款条件（进度和方式）：                                                        </w:t>
      </w:r>
      <w:r>
        <w:rPr>
          <w:rFonts w:hint="eastAsia" w:ascii="Times New Roman" w:hAnsi="Times New Roman" w:eastAsia="宋体" w:cs="宋体"/>
          <w:b/>
          <w:bCs/>
          <w:kern w:val="0"/>
          <w:sz w:val="24"/>
          <w:szCs w:val="24"/>
          <w:lang w:eastAsia="zh-CN"/>
        </w:rPr>
        <w:t>分期付款：</w:t>
      </w:r>
      <w:r>
        <w:rPr>
          <w:rFonts w:hint="eastAsia" w:ascii="Times New Roman" w:hAnsi="Times New Roman" w:eastAsia="宋体" w:cs="宋体"/>
          <w:kern w:val="0"/>
          <w:sz w:val="24"/>
          <w:szCs w:val="24"/>
        </w:rPr>
        <w:t>签</w:t>
      </w:r>
      <w:r>
        <w:rPr>
          <w:rFonts w:hint="eastAsia" w:cs="宋体"/>
          <w:kern w:val="0"/>
          <w:sz w:val="24"/>
          <w:szCs w:val="24"/>
        </w:rPr>
        <w:t>订合同后，全部货物到达指定地点、安装调试并验收合格后，凭双方签署验收合格书，</w:t>
      </w:r>
      <w:r>
        <w:rPr>
          <w:rFonts w:hint="eastAsia" w:cs="宋体"/>
          <w:kern w:val="0"/>
          <w:sz w:val="24"/>
          <w:szCs w:val="24"/>
          <w:lang w:eastAsia="zh-CN"/>
        </w:rPr>
        <w:t>甲方按照政府规定时间内支付，</w:t>
      </w:r>
      <w:r>
        <w:rPr>
          <w:rFonts w:hint="eastAsia" w:cs="宋体"/>
          <w:b/>
          <w:bCs/>
          <w:kern w:val="0"/>
          <w:sz w:val="24"/>
          <w:szCs w:val="24"/>
        </w:rPr>
        <w:t>第一期：</w:t>
      </w:r>
      <w:r>
        <w:rPr>
          <w:rFonts w:hint="eastAsia" w:cs="宋体"/>
          <w:kern w:val="0"/>
          <w:sz w:val="24"/>
          <w:szCs w:val="24"/>
        </w:rPr>
        <w:t>甲方支付合同总金额的90%</w:t>
      </w:r>
      <w:r>
        <w:rPr>
          <w:rFonts w:hint="eastAsia" w:cs="宋体"/>
          <w:kern w:val="0"/>
          <w:sz w:val="24"/>
          <w:szCs w:val="24"/>
          <w:lang w:val="en-US" w:eastAsia="zh-CN"/>
        </w:rPr>
        <w:t xml:space="preserve"> ；    </w:t>
      </w:r>
      <w:r>
        <w:rPr>
          <w:rFonts w:hint="eastAsia" w:cs="宋体"/>
          <w:b/>
          <w:bCs/>
          <w:kern w:val="0"/>
          <w:sz w:val="24"/>
          <w:szCs w:val="24"/>
        </w:rPr>
        <w:t>第二期：</w:t>
      </w:r>
      <w:r>
        <w:rPr>
          <w:rFonts w:hint="eastAsia" w:cs="宋体"/>
          <w:kern w:val="0"/>
          <w:sz w:val="24"/>
          <w:szCs w:val="24"/>
        </w:rPr>
        <w:t>交付后十二个月，经乙方书面申请，甲方支付合同总金额的 10%（不计利息）。</w:t>
      </w:r>
    </w:p>
    <w:p w14:paraId="32DF01DC">
      <w:pPr>
        <w:widowControl/>
        <w:spacing w:line="400" w:lineRule="exact"/>
        <w:ind w:left="-710" w:leftChars="-338" w:firstLine="480" w:firstLineChars="200"/>
        <w:jc w:val="left"/>
        <w:rPr>
          <w:rFonts w:cs="宋体"/>
          <w:kern w:val="0"/>
          <w:sz w:val="24"/>
          <w:szCs w:val="24"/>
        </w:rPr>
      </w:pPr>
      <w:r>
        <w:rPr>
          <w:rFonts w:hint="eastAsia" w:cs="宋体"/>
          <w:kern w:val="0"/>
          <w:sz w:val="24"/>
          <w:szCs w:val="24"/>
        </w:rPr>
        <w:t>如验收不合格以及发现伪劣产品等，招标人将视情形采取退货、拒付款、终止合同、索赔等措施，直至通过有关部门，依法维权。</w:t>
      </w:r>
    </w:p>
    <w:p w14:paraId="2D2DC8C3">
      <w:pPr>
        <w:widowControl/>
        <w:spacing w:line="360" w:lineRule="auto"/>
        <w:ind w:left="-708" w:leftChars="-338" w:hanging="2"/>
        <w:jc w:val="left"/>
        <w:rPr>
          <w:rFonts w:hint="eastAsia" w:cs="宋体"/>
          <w:b/>
          <w:bCs/>
          <w:kern w:val="0"/>
          <w:sz w:val="28"/>
          <w:szCs w:val="28"/>
        </w:rPr>
      </w:pPr>
      <w:r>
        <w:rPr>
          <w:b/>
          <w:bCs/>
          <w:kern w:val="0"/>
          <w:sz w:val="24"/>
          <w:szCs w:val="24"/>
        </w:rPr>
        <w:t> </w:t>
      </w:r>
      <w:r>
        <w:rPr>
          <w:rFonts w:hint="eastAsia"/>
          <w:b/>
          <w:bCs/>
          <w:kern w:val="0"/>
          <w:sz w:val="24"/>
          <w:szCs w:val="24"/>
          <w:lang w:val="en-US" w:eastAsia="zh-CN"/>
        </w:rPr>
        <w:t xml:space="preserve">  </w:t>
      </w:r>
      <w:r>
        <w:rPr>
          <w:rFonts w:hint="eastAsia" w:cs="宋体"/>
          <w:b/>
          <w:bCs/>
          <w:kern w:val="0"/>
          <w:sz w:val="28"/>
          <w:szCs w:val="28"/>
          <w:lang w:val="en-US" w:eastAsia="zh-CN"/>
        </w:rPr>
        <w:t>四、</w:t>
      </w:r>
      <w:r>
        <w:rPr>
          <w:rFonts w:hint="eastAsia" w:cs="宋体"/>
          <w:b/>
          <w:bCs/>
          <w:kern w:val="0"/>
          <w:sz w:val="28"/>
          <w:szCs w:val="28"/>
        </w:rPr>
        <w:t>合同签订</w:t>
      </w:r>
    </w:p>
    <w:p w14:paraId="6BDC4D1C">
      <w:pPr>
        <w:widowControl/>
        <w:spacing w:line="360" w:lineRule="auto"/>
        <w:ind w:left="-708" w:leftChars="-338" w:hanging="2"/>
        <w:jc w:val="left"/>
        <w:rPr>
          <w:rFonts w:cs="宋体"/>
          <w:kern w:val="0"/>
          <w:sz w:val="24"/>
          <w:szCs w:val="24"/>
        </w:rPr>
      </w:pPr>
      <w:r>
        <w:rPr>
          <w:rFonts w:hint="eastAsia" w:cs="宋体"/>
          <w:kern w:val="0"/>
          <w:sz w:val="24"/>
          <w:szCs w:val="24"/>
        </w:rPr>
        <w:t>招标人和中标人应当自公示结束后</w:t>
      </w:r>
      <w:sdt>
        <w:sdtPr>
          <w:rPr>
            <w:rFonts w:hint="eastAsia" w:cs="宋体"/>
            <w:kern w:val="0"/>
            <w:sz w:val="24"/>
            <w:szCs w:val="24"/>
          </w:rPr>
          <w:alias w:val="无特殊情况不建议修改"/>
          <w:tag w:val="无特殊情况不建议修改"/>
          <w:id w:val="-183904816"/>
          <w:placeholder>
            <w:docPart w:val="DefaultPlaceholder_-1854013440"/>
          </w:placeholder>
          <w15:color w:val="FF0000"/>
        </w:sdtPr>
        <w:sdtEndPr>
          <w:rPr>
            <w:rFonts w:hint="eastAsia" w:cs="宋体"/>
            <w:color w:val="FF0000"/>
            <w:kern w:val="0"/>
            <w:sz w:val="24"/>
            <w:szCs w:val="24"/>
            <w:u w:val="single"/>
          </w:rPr>
        </w:sdtEndPr>
        <w:sdtContent>
          <w:r>
            <w:rPr>
              <w:rFonts w:hint="eastAsia" w:cs="宋体"/>
              <w:color w:val="FF0000"/>
              <w:kern w:val="0"/>
              <w:sz w:val="24"/>
              <w:szCs w:val="24"/>
              <w:u w:val="single"/>
              <w:lang w:eastAsia="zh-CN"/>
            </w:rPr>
            <w:t>2</w:t>
          </w:r>
          <w:r>
            <w:rPr>
              <w:rFonts w:hint="eastAsia" w:cs="宋体"/>
              <w:color w:val="FF0000"/>
              <w:kern w:val="0"/>
              <w:sz w:val="24"/>
              <w:szCs w:val="24"/>
              <w:u w:val="single"/>
              <w:lang w:val="en-US" w:eastAsia="zh-CN"/>
            </w:rPr>
            <w:t>5</w:t>
          </w:r>
        </w:sdtContent>
      </w:sdt>
      <w:r>
        <w:rPr>
          <w:rFonts w:hint="eastAsia" w:cs="宋体"/>
          <w:kern w:val="0"/>
          <w:sz w:val="24"/>
          <w:szCs w:val="24"/>
          <w:lang w:val="en-US" w:eastAsia="zh-CN"/>
        </w:rPr>
        <w:t>日</w:t>
      </w:r>
      <w:r>
        <w:rPr>
          <w:rFonts w:hint="eastAsia" w:cs="宋体"/>
          <w:kern w:val="0"/>
          <w:sz w:val="24"/>
          <w:szCs w:val="24"/>
        </w:rPr>
        <w:t>内签订采购合同。</w:t>
      </w:r>
    </w:p>
    <w:p w14:paraId="79638F38">
      <w:pPr>
        <w:widowControl/>
        <w:numPr>
          <w:ilvl w:val="0"/>
          <w:numId w:val="1"/>
        </w:numPr>
        <w:spacing w:line="360" w:lineRule="auto"/>
        <w:ind w:left="-410" w:leftChars="0" w:firstLine="0" w:firstLineChars="0"/>
        <w:jc w:val="left"/>
        <w:rPr>
          <w:rFonts w:hint="eastAsia" w:cs="宋体"/>
          <w:b/>
          <w:bCs/>
          <w:kern w:val="0"/>
          <w:sz w:val="28"/>
          <w:szCs w:val="28"/>
        </w:rPr>
      </w:pPr>
      <w:r>
        <w:rPr>
          <w:rFonts w:hint="eastAsia" w:cs="宋体"/>
          <w:b/>
          <w:bCs/>
          <w:kern w:val="0"/>
          <w:sz w:val="28"/>
          <w:szCs w:val="28"/>
        </w:rPr>
        <w:t>其他</w:t>
      </w:r>
    </w:p>
    <w:p w14:paraId="498C74F3">
      <w:pPr>
        <w:widowControl/>
        <w:numPr>
          <w:ilvl w:val="0"/>
          <w:numId w:val="1"/>
        </w:numPr>
        <w:spacing w:line="360" w:lineRule="auto"/>
        <w:ind w:left="-410" w:leftChars="0" w:firstLine="0" w:firstLineChars="0"/>
        <w:jc w:val="left"/>
        <w:rPr>
          <w:rFonts w:cs="宋体"/>
          <w:b/>
          <w:bCs/>
          <w:kern w:val="0"/>
          <w:sz w:val="28"/>
          <w:szCs w:val="28"/>
        </w:rPr>
      </w:pPr>
      <w:r>
        <w:rPr>
          <w:rFonts w:hint="eastAsia" w:cs="宋体"/>
          <w:b/>
          <w:bCs/>
          <w:kern w:val="0"/>
          <w:sz w:val="28"/>
          <w:szCs w:val="28"/>
        </w:rPr>
        <w:t>特别说明</w:t>
      </w:r>
    </w:p>
    <w:p w14:paraId="29BE3B41">
      <w:pPr>
        <w:widowControl/>
        <w:spacing w:line="400" w:lineRule="exact"/>
        <w:ind w:left="-613" w:leftChars="-292" w:firstLine="412" w:firstLineChars="172"/>
        <w:jc w:val="left"/>
        <w:rPr>
          <w:rFonts w:cs="宋体"/>
          <w:kern w:val="0"/>
          <w:sz w:val="24"/>
          <w:szCs w:val="24"/>
        </w:rPr>
      </w:pPr>
      <w:r>
        <w:rPr>
          <w:rFonts w:hint="eastAsia" w:cs="宋体"/>
          <w:kern w:val="0"/>
          <w:sz w:val="24"/>
          <w:szCs w:val="24"/>
        </w:rPr>
        <w:t>如果招标文件中对部分采购设备技术参数要求不详细，请各投标人在投标时补充说明。如投标人不作补充说明，</w:t>
      </w:r>
      <w:r>
        <w:rPr>
          <w:rFonts w:hint="eastAsia" w:cs="宋体"/>
          <w:kern w:val="0"/>
          <w:sz w:val="24"/>
          <w:szCs w:val="24"/>
          <w:lang w:eastAsia="zh-CN"/>
        </w:rPr>
        <w:t>贺州市八步区</w:t>
      </w:r>
      <w:bookmarkStart w:id="0" w:name="_GoBack"/>
      <w:bookmarkEnd w:id="0"/>
      <w:r>
        <w:rPr>
          <w:rFonts w:hint="eastAsia" w:cs="宋体"/>
          <w:kern w:val="0"/>
          <w:sz w:val="24"/>
          <w:szCs w:val="24"/>
        </w:rPr>
        <w:t>人民医院招标管理办公室将从有利于招标人的角度出发，认定其所报配置为可能存在情况的最高标准。</w:t>
      </w:r>
    </w:p>
    <w:p w14:paraId="6C272030">
      <w:pPr>
        <w:widowControl/>
        <w:jc w:val="center"/>
        <w:rPr>
          <w:b/>
          <w:bCs/>
          <w:kern w:val="0"/>
        </w:rPr>
      </w:pPr>
      <w:r>
        <w:rPr>
          <w:b/>
          <w:bCs/>
          <w:kern w:val="0"/>
        </w:rPr>
        <w:br w:type="page"/>
      </w:r>
      <w:r>
        <w:rPr>
          <w:rFonts w:hint="eastAsia" w:cs="宋体"/>
          <w:b/>
          <w:bCs/>
          <w:kern w:val="0"/>
          <w:sz w:val="38"/>
          <w:szCs w:val="38"/>
        </w:rPr>
        <w:t>第四章</w:t>
      </w:r>
      <w:r>
        <w:rPr>
          <w:rFonts w:cs="宋体"/>
          <w:b/>
          <w:bCs/>
          <w:kern w:val="0"/>
          <w:sz w:val="38"/>
          <w:szCs w:val="38"/>
        </w:rPr>
        <w:t xml:space="preserve">  </w:t>
      </w:r>
      <w:r>
        <w:rPr>
          <w:rFonts w:hint="eastAsia" w:cs="宋体"/>
          <w:b/>
          <w:bCs/>
          <w:kern w:val="0"/>
          <w:sz w:val="38"/>
          <w:szCs w:val="38"/>
        </w:rPr>
        <w:t>评标方法与评分标准</w:t>
      </w:r>
    </w:p>
    <w:p w14:paraId="01CAC10B">
      <w:pPr>
        <w:widowControl/>
        <w:spacing w:line="360" w:lineRule="auto"/>
        <w:ind w:firstLine="562" w:firstLineChars="200"/>
        <w:jc w:val="left"/>
        <w:rPr>
          <w:rFonts w:cs="宋体"/>
          <w:b/>
          <w:bCs/>
          <w:kern w:val="0"/>
          <w:sz w:val="28"/>
          <w:szCs w:val="28"/>
        </w:rPr>
      </w:pPr>
      <w:r>
        <w:rPr>
          <w:rFonts w:hint="eastAsia" w:cs="宋体"/>
          <w:b/>
          <w:bCs/>
          <w:kern w:val="0"/>
          <w:sz w:val="28"/>
          <w:szCs w:val="28"/>
        </w:rPr>
        <w:t>一、评标方法与定标原则</w:t>
      </w:r>
    </w:p>
    <w:p w14:paraId="2CA5B4DE">
      <w:pPr>
        <w:widowControl/>
        <w:spacing w:line="360" w:lineRule="auto"/>
        <w:ind w:firstLine="480" w:firstLineChars="200"/>
        <w:jc w:val="left"/>
        <w:rPr>
          <w:kern w:val="0"/>
          <w:sz w:val="24"/>
          <w:szCs w:val="24"/>
        </w:rPr>
      </w:pPr>
      <w:r>
        <w:rPr>
          <w:rFonts w:hint="eastAsia" w:cs="宋体"/>
          <w:kern w:val="0"/>
          <w:sz w:val="24"/>
          <w:szCs w:val="24"/>
        </w:rPr>
        <w:t>评委会将对确定为实质性响应招标文件要求的投标文件进行评价和比较，评标方法采用</w:t>
      </w:r>
      <w:r>
        <w:rPr>
          <w:rFonts w:hint="eastAsia" w:cs="宋体"/>
          <w:kern w:val="0"/>
          <w:sz w:val="24"/>
          <w:szCs w:val="24"/>
          <w:lang w:val="en-US" w:eastAsia="zh-CN"/>
        </w:rPr>
        <w:t xml:space="preserve"> </w:t>
      </w:r>
      <w:r>
        <w:rPr>
          <w:rFonts w:hint="eastAsia" w:cs="宋体"/>
          <w:b/>
          <w:bCs/>
          <w:kern w:val="0"/>
          <w:sz w:val="24"/>
          <w:szCs w:val="24"/>
          <w:u w:val="single"/>
          <w:lang w:val="en-US" w:eastAsia="zh-CN"/>
        </w:rPr>
        <w:t xml:space="preserve">最低评标价法 </w:t>
      </w:r>
      <w:r>
        <w:rPr>
          <w:rFonts w:hint="eastAsia" w:cs="宋体"/>
          <w:kern w:val="0"/>
          <w:sz w:val="24"/>
          <w:szCs w:val="24"/>
        </w:rPr>
        <w:t>确定中标候选人。</w:t>
      </w:r>
    </w:p>
    <w:p w14:paraId="13B45921">
      <w:pPr>
        <w:pStyle w:val="11"/>
      </w:pPr>
    </w:p>
    <w:sectPr>
      <w:pgSz w:w="11906" w:h="16838"/>
      <w:pgMar w:top="1440" w:right="1800"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C95492"/>
    <w:multiLevelType w:val="singleLevel"/>
    <w:tmpl w:val="68C95492"/>
    <w:lvl w:ilvl="0" w:tentative="0">
      <w:start w:val="5"/>
      <w:numFmt w:val="chineseCounting"/>
      <w:suff w:val="nothing"/>
      <w:lvlText w:val="%1、"/>
      <w:lvlJc w:val="left"/>
      <w:pPr>
        <w:ind w:left="-41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642EBB7A-05DF-4F7F-990F-180E42AE779D}"/>
    <w:docVar w:name="KY_MEDREF_VERSION" w:val="3"/>
  </w:docVars>
  <w:rsids>
    <w:rsidRoot w:val="004C7EB2"/>
    <w:rsid w:val="00066185"/>
    <w:rsid w:val="00080292"/>
    <w:rsid w:val="0008196D"/>
    <w:rsid w:val="00095D83"/>
    <w:rsid w:val="000A6C18"/>
    <w:rsid w:val="000B7E2D"/>
    <w:rsid w:val="000E1AA6"/>
    <w:rsid w:val="00204183"/>
    <w:rsid w:val="00241CD6"/>
    <w:rsid w:val="002C7944"/>
    <w:rsid w:val="003C3AB5"/>
    <w:rsid w:val="003E7DC1"/>
    <w:rsid w:val="00474079"/>
    <w:rsid w:val="004C7EB2"/>
    <w:rsid w:val="004D08F5"/>
    <w:rsid w:val="004D2825"/>
    <w:rsid w:val="004F5A76"/>
    <w:rsid w:val="005007DD"/>
    <w:rsid w:val="00576695"/>
    <w:rsid w:val="005D491D"/>
    <w:rsid w:val="00654BC6"/>
    <w:rsid w:val="00684BD7"/>
    <w:rsid w:val="006E5543"/>
    <w:rsid w:val="00707A97"/>
    <w:rsid w:val="007814EA"/>
    <w:rsid w:val="007A5910"/>
    <w:rsid w:val="007F6F70"/>
    <w:rsid w:val="00813BDB"/>
    <w:rsid w:val="00825B15"/>
    <w:rsid w:val="008553F8"/>
    <w:rsid w:val="008A5DC5"/>
    <w:rsid w:val="008D3A6F"/>
    <w:rsid w:val="009530DC"/>
    <w:rsid w:val="00A2105C"/>
    <w:rsid w:val="00A44D5C"/>
    <w:rsid w:val="00A83F43"/>
    <w:rsid w:val="00AC0EA5"/>
    <w:rsid w:val="00B8409A"/>
    <w:rsid w:val="00BA3521"/>
    <w:rsid w:val="00C33384"/>
    <w:rsid w:val="00C762C8"/>
    <w:rsid w:val="00C97AD7"/>
    <w:rsid w:val="00CC2DEE"/>
    <w:rsid w:val="00CD27A2"/>
    <w:rsid w:val="00D2685D"/>
    <w:rsid w:val="00D41CB5"/>
    <w:rsid w:val="00D57065"/>
    <w:rsid w:val="00DB5864"/>
    <w:rsid w:val="00DC4B54"/>
    <w:rsid w:val="00E14108"/>
    <w:rsid w:val="00E72BBE"/>
    <w:rsid w:val="00EB1C9B"/>
    <w:rsid w:val="00ED5546"/>
    <w:rsid w:val="01124992"/>
    <w:rsid w:val="01A43ED9"/>
    <w:rsid w:val="01CB43E2"/>
    <w:rsid w:val="02615DF0"/>
    <w:rsid w:val="03B56736"/>
    <w:rsid w:val="063979E5"/>
    <w:rsid w:val="079E5C2C"/>
    <w:rsid w:val="07E61381"/>
    <w:rsid w:val="094E71DE"/>
    <w:rsid w:val="0A6A0048"/>
    <w:rsid w:val="0A795D65"/>
    <w:rsid w:val="0CAE6912"/>
    <w:rsid w:val="0CC05EEA"/>
    <w:rsid w:val="0DAB0B9B"/>
    <w:rsid w:val="0E6B1369"/>
    <w:rsid w:val="0E8C22E1"/>
    <w:rsid w:val="0ECE5049"/>
    <w:rsid w:val="0F9A13CF"/>
    <w:rsid w:val="10C97A40"/>
    <w:rsid w:val="10EC6F96"/>
    <w:rsid w:val="111563A0"/>
    <w:rsid w:val="11AC7198"/>
    <w:rsid w:val="122B15C9"/>
    <w:rsid w:val="12713099"/>
    <w:rsid w:val="12C97D37"/>
    <w:rsid w:val="1461070D"/>
    <w:rsid w:val="154A2A83"/>
    <w:rsid w:val="157601E9"/>
    <w:rsid w:val="15D153B7"/>
    <w:rsid w:val="166F4544"/>
    <w:rsid w:val="17BF5E77"/>
    <w:rsid w:val="188C387F"/>
    <w:rsid w:val="1B0B13D3"/>
    <w:rsid w:val="1B513EBB"/>
    <w:rsid w:val="1B704890"/>
    <w:rsid w:val="1E622ABE"/>
    <w:rsid w:val="1FA23E04"/>
    <w:rsid w:val="21B710F4"/>
    <w:rsid w:val="2218153E"/>
    <w:rsid w:val="224439AE"/>
    <w:rsid w:val="22486A69"/>
    <w:rsid w:val="23720241"/>
    <w:rsid w:val="23843AD1"/>
    <w:rsid w:val="23CD191B"/>
    <w:rsid w:val="25773183"/>
    <w:rsid w:val="26431704"/>
    <w:rsid w:val="26CD4569"/>
    <w:rsid w:val="27D01D3D"/>
    <w:rsid w:val="27D34CA5"/>
    <w:rsid w:val="28110468"/>
    <w:rsid w:val="293A4A87"/>
    <w:rsid w:val="2B6C7C6C"/>
    <w:rsid w:val="2BCF1FA9"/>
    <w:rsid w:val="2C27342F"/>
    <w:rsid w:val="2CD07D87"/>
    <w:rsid w:val="2DD37B2E"/>
    <w:rsid w:val="2E3217BF"/>
    <w:rsid w:val="2E44559E"/>
    <w:rsid w:val="2F065532"/>
    <w:rsid w:val="311834AF"/>
    <w:rsid w:val="313C59EB"/>
    <w:rsid w:val="318469E5"/>
    <w:rsid w:val="3194337D"/>
    <w:rsid w:val="32D86110"/>
    <w:rsid w:val="33B201E6"/>
    <w:rsid w:val="3421711A"/>
    <w:rsid w:val="344069F0"/>
    <w:rsid w:val="352C5D76"/>
    <w:rsid w:val="35A46254"/>
    <w:rsid w:val="35D22DC1"/>
    <w:rsid w:val="364A2958"/>
    <w:rsid w:val="3737378F"/>
    <w:rsid w:val="3806606D"/>
    <w:rsid w:val="397701BE"/>
    <w:rsid w:val="398737A9"/>
    <w:rsid w:val="3B546CEC"/>
    <w:rsid w:val="3EA21DFC"/>
    <w:rsid w:val="3F1D4981"/>
    <w:rsid w:val="3F8769CB"/>
    <w:rsid w:val="3FEE25A6"/>
    <w:rsid w:val="4050500F"/>
    <w:rsid w:val="41356554"/>
    <w:rsid w:val="41366ED0"/>
    <w:rsid w:val="41623985"/>
    <w:rsid w:val="4420119C"/>
    <w:rsid w:val="45570BED"/>
    <w:rsid w:val="4836735B"/>
    <w:rsid w:val="484D14FE"/>
    <w:rsid w:val="48D85C25"/>
    <w:rsid w:val="49A95790"/>
    <w:rsid w:val="4A6022F2"/>
    <w:rsid w:val="4B1955F9"/>
    <w:rsid w:val="4C1C5576"/>
    <w:rsid w:val="4C3E6663"/>
    <w:rsid w:val="4C8F480C"/>
    <w:rsid w:val="4C9A1B59"/>
    <w:rsid w:val="4CD46C76"/>
    <w:rsid w:val="4CD9638C"/>
    <w:rsid w:val="4D442BFB"/>
    <w:rsid w:val="4D781BD4"/>
    <w:rsid w:val="4DA009DA"/>
    <w:rsid w:val="4DA97E72"/>
    <w:rsid w:val="4DB9683E"/>
    <w:rsid w:val="4F3D41BA"/>
    <w:rsid w:val="50502E0F"/>
    <w:rsid w:val="50BE5FC4"/>
    <w:rsid w:val="51794369"/>
    <w:rsid w:val="51B2246F"/>
    <w:rsid w:val="539906F6"/>
    <w:rsid w:val="54EA55DA"/>
    <w:rsid w:val="55B300C2"/>
    <w:rsid w:val="55D712FC"/>
    <w:rsid w:val="55F5799E"/>
    <w:rsid w:val="565457D1"/>
    <w:rsid w:val="56A51D9D"/>
    <w:rsid w:val="57783371"/>
    <w:rsid w:val="589150FF"/>
    <w:rsid w:val="591470C9"/>
    <w:rsid w:val="5AF065DC"/>
    <w:rsid w:val="5C797243"/>
    <w:rsid w:val="5D1A4465"/>
    <w:rsid w:val="5DCD43FF"/>
    <w:rsid w:val="5E6468CB"/>
    <w:rsid w:val="5E761C8C"/>
    <w:rsid w:val="5ECE3876"/>
    <w:rsid w:val="5FC9113A"/>
    <w:rsid w:val="5FFD63C3"/>
    <w:rsid w:val="62DE3608"/>
    <w:rsid w:val="635822A8"/>
    <w:rsid w:val="647F0E1D"/>
    <w:rsid w:val="64CA4726"/>
    <w:rsid w:val="65706B30"/>
    <w:rsid w:val="67EF0C5A"/>
    <w:rsid w:val="69025553"/>
    <w:rsid w:val="6A513DD5"/>
    <w:rsid w:val="6BF540D9"/>
    <w:rsid w:val="6C6E6699"/>
    <w:rsid w:val="6CA20189"/>
    <w:rsid w:val="6DD0797D"/>
    <w:rsid w:val="6E09389B"/>
    <w:rsid w:val="6E1A0EFE"/>
    <w:rsid w:val="6F666C59"/>
    <w:rsid w:val="6FC37F06"/>
    <w:rsid w:val="70AC7790"/>
    <w:rsid w:val="71754026"/>
    <w:rsid w:val="73A11102"/>
    <w:rsid w:val="746A1E3C"/>
    <w:rsid w:val="74B5471E"/>
    <w:rsid w:val="7693433A"/>
    <w:rsid w:val="77752FD1"/>
    <w:rsid w:val="77E41C8F"/>
    <w:rsid w:val="77FF632E"/>
    <w:rsid w:val="787616FD"/>
    <w:rsid w:val="793D18CD"/>
    <w:rsid w:val="7B036868"/>
    <w:rsid w:val="7B14665D"/>
    <w:rsid w:val="7CA915F3"/>
    <w:rsid w:val="7D843D95"/>
    <w:rsid w:val="7E6E2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99"/>
    <w:pPr>
      <w:jc w:val="left"/>
    </w:pPr>
  </w:style>
  <w:style w:type="paragraph" w:styleId="3">
    <w:name w:val="Plain Text"/>
    <w:basedOn w:val="1"/>
    <w:next w:val="1"/>
    <w:link w:val="15"/>
    <w:qFormat/>
    <w:uiPriority w:val="99"/>
    <w:rPr>
      <w:rFonts w:ascii="宋体" w:hAnsi="Courier New"/>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semiHidden/>
    <w:qFormat/>
    <w:uiPriority w:val="99"/>
    <w:rPr>
      <w:sz w:val="21"/>
      <w:szCs w:val="21"/>
    </w:rPr>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2">
    <w:name w:val="批注文字 字符"/>
    <w:basedOn w:val="9"/>
    <w:qFormat/>
    <w:uiPriority w:val="99"/>
    <w:rPr>
      <w:rFonts w:ascii="Times New Roman" w:hAnsi="Times New Roman" w:eastAsia="宋体" w:cs="Times New Roman"/>
      <w:szCs w:val="21"/>
    </w:rPr>
  </w:style>
  <w:style w:type="character" w:customStyle="1" w:styleId="13">
    <w:name w:val="批注文字 字符1"/>
    <w:link w:val="2"/>
    <w:semiHidden/>
    <w:qFormat/>
    <w:uiPriority w:val="99"/>
    <w:rPr>
      <w:rFonts w:ascii="Times New Roman" w:hAnsi="Times New Roman" w:eastAsia="宋体" w:cs="Times New Roman"/>
      <w:szCs w:val="21"/>
    </w:rPr>
  </w:style>
  <w:style w:type="character" w:customStyle="1" w:styleId="14">
    <w:name w:val="批注主题 字符"/>
    <w:basedOn w:val="13"/>
    <w:link w:val="6"/>
    <w:semiHidden/>
    <w:qFormat/>
    <w:uiPriority w:val="99"/>
    <w:rPr>
      <w:rFonts w:ascii="Times New Roman" w:hAnsi="Times New Roman" w:eastAsia="宋体" w:cs="Times New Roman"/>
      <w:b/>
      <w:bCs/>
      <w:szCs w:val="21"/>
    </w:rPr>
  </w:style>
  <w:style w:type="character" w:customStyle="1" w:styleId="15">
    <w:name w:val="纯文本 字符"/>
    <w:basedOn w:val="9"/>
    <w:link w:val="3"/>
    <w:qFormat/>
    <w:uiPriority w:val="99"/>
    <w:rPr>
      <w:rFonts w:ascii="宋体" w:hAnsi="Courier New" w:eastAsia="宋体" w:cs="Times New Roman"/>
      <w:szCs w:val="21"/>
    </w:rPr>
  </w:style>
  <w:style w:type="paragraph" w:customStyle="1" w:styleId="16">
    <w:name w:val="表格文字"/>
    <w:basedOn w:val="1"/>
    <w:qFormat/>
    <w:uiPriority w:val="0"/>
    <w:pPr>
      <w:spacing w:before="25" w:after="25"/>
      <w:jc w:val="left"/>
    </w:pPr>
    <w:rPr>
      <w:rFonts w:ascii="Calibri" w:hAnsi="Calibri"/>
      <w:bCs/>
      <w:spacing w:val="10"/>
      <w:kern w:val="0"/>
      <w:sz w:val="24"/>
      <w:szCs w:val="20"/>
    </w:rPr>
  </w:style>
  <w:style w:type="character" w:customStyle="1" w:styleId="17">
    <w:name w:val="fontstyle01"/>
    <w:qFormat/>
    <w:uiPriority w:val="0"/>
    <w:rPr>
      <w:rFonts w:hint="eastAsia" w:ascii="宋体" w:hAnsi="宋体" w:eastAsia="宋体"/>
      <w:color w:val="000000"/>
      <w:sz w:val="24"/>
      <w:szCs w:val="24"/>
    </w:rPr>
  </w:style>
  <w:style w:type="character" w:customStyle="1" w:styleId="18">
    <w:name w:val="页眉 字符"/>
    <w:basedOn w:val="9"/>
    <w:link w:val="5"/>
    <w:qFormat/>
    <w:uiPriority w:val="99"/>
    <w:rPr>
      <w:rFonts w:ascii="Times New Roman" w:hAnsi="Times New Roman" w:eastAsia="宋体" w:cs="Times New Roman"/>
      <w:sz w:val="18"/>
      <w:szCs w:val="18"/>
    </w:rPr>
  </w:style>
  <w:style w:type="character" w:customStyle="1" w:styleId="19">
    <w:name w:val="页脚 字符"/>
    <w:basedOn w:val="9"/>
    <w:link w:val="4"/>
    <w:qFormat/>
    <w:uiPriority w:val="99"/>
    <w:rPr>
      <w:rFonts w:ascii="Times New Roman" w:hAnsi="Times New Roman" w:eastAsia="宋体" w:cs="Times New Roman"/>
      <w:sz w:val="18"/>
      <w:szCs w:val="18"/>
    </w:rPr>
  </w:style>
  <w:style w:type="character" w:styleId="20">
    <w:name w:val="Placeholder Text"/>
    <w:basedOn w:val="9"/>
    <w:semiHidden/>
    <w:qFormat/>
    <w:uiPriority w:val="99"/>
    <w:rPr>
      <w:color w:val="808080"/>
    </w:rPr>
  </w:style>
  <w:style w:type="paragraph" w:customStyle="1" w:styleId="21">
    <w:name w:val="样式1"/>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D32AFAC4-F775-4A19-8224-BF45E683C7C0}"/>
      </w:docPartPr>
      <w:docPartBody>
        <w:p w14:paraId="31D9254B">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5A"/>
    <w:rsid w:val="00013D5D"/>
    <w:rsid w:val="00102898"/>
    <w:rsid w:val="001B2DBA"/>
    <w:rsid w:val="0048475D"/>
    <w:rsid w:val="007311C2"/>
    <w:rsid w:val="0080285A"/>
    <w:rsid w:val="00F2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60F420097394E1B8F5C294379C713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D4063EF51294538A22B0E574C99417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1827</Words>
  <Characters>1909</Characters>
  <Lines>26</Lines>
  <Paragraphs>7</Paragraphs>
  <TotalTime>4</TotalTime>
  <ScaleCrop>false</ScaleCrop>
  <LinksUpToDate>false</LinksUpToDate>
  <CharactersWithSpaces>1991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2021-01-18T01:58:00Z</dcterms:created>
  <dc:creator>c k</dc:creator>
  <cp:lastModifiedBy>小女韡Asdet</cp:lastModifiedBy>
  <cp:lastPrinted>2021-01-18T07:59:00Z</cp:lastPrinted>
  <dcterms:modified xsi:type="dcterms:W3CDTF">2025-10-28T01:00:03Z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B1C8ADB6A08C49D88EF48001F8D355A1_13</vt:lpwstr>
  </property>
  <property fmtid="{D5CDD505-2E9C-101B-9397-08002B2CF9AE}" pid="4" name="KSOTemplateDocerSaveRecord">
    <vt:lpwstr>eyJoZGlkIjoiYmI0NjY0OGE4NzcwZTFjZDNlMzIzY2FjMTJmYzQxMzYiLCJ1c2VySWQiOiI1Njc0MDg4NDQifQ==</vt:lpwstr>
  </property>
</Properties>
</file>