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B170">
      <w:pPr>
        <w:pStyle w:val="14"/>
        <w:ind w:left="-708" w:leftChars="-337"/>
        <w:rPr>
          <w:rFonts w:hint="default" w:eastAsia="宋体" w:cs="宋体"/>
          <w:b/>
          <w:bCs/>
          <w:sz w:val="28"/>
          <w:szCs w:val="28"/>
          <w:lang w:val="en-US" w:eastAsia="zh-CN"/>
        </w:rPr>
      </w:pPr>
      <w:r>
        <w:rPr>
          <w:rFonts w:hint="eastAsia" w:cs="宋体"/>
          <w:b/>
          <w:bCs/>
          <w:sz w:val="28"/>
          <w:szCs w:val="28"/>
          <w:lang w:val="en-US" w:eastAsia="zh-CN"/>
        </w:rPr>
        <w:t xml:space="preserve">                             采购需求文件</w:t>
      </w:r>
    </w:p>
    <w:p w14:paraId="6F8F6ACF">
      <w:pPr>
        <w:pStyle w:val="14"/>
        <w:spacing w:line="360" w:lineRule="auto"/>
        <w:ind w:left="0" w:leftChars="0" w:firstLine="480" w:firstLineChars="200"/>
        <w:rPr>
          <w:rFonts w:hint="default" w:ascii="宋体" w:hAnsi="宋体"/>
          <w:b w:val="0"/>
          <w:bCs/>
          <w:color w:val="auto"/>
          <w:lang w:val="en-US" w:eastAsia="zh-CN"/>
        </w:rPr>
      </w:pPr>
      <w:r>
        <w:rPr>
          <w:rFonts w:hint="eastAsia" w:ascii="宋体" w:hAnsi="宋体"/>
          <w:b w:val="0"/>
          <w:bCs/>
          <w:color w:val="auto"/>
        </w:rPr>
        <w:t>技术</w:t>
      </w:r>
      <w:r>
        <w:rPr>
          <w:rFonts w:hint="eastAsia" w:ascii="宋体" w:hAnsi="宋体"/>
          <w:b w:val="0"/>
          <w:bCs/>
          <w:color w:val="auto"/>
          <w:lang w:eastAsia="zh-CN"/>
        </w:rPr>
        <w:t>参数</w:t>
      </w:r>
      <w:r>
        <w:rPr>
          <w:rFonts w:hint="eastAsia" w:ascii="宋体" w:hAnsi="宋体"/>
          <w:b w:val="0"/>
          <w:bCs/>
          <w:color w:val="auto"/>
        </w:rPr>
        <w:t>要求</w:t>
      </w:r>
      <w:r>
        <w:rPr>
          <w:rFonts w:hint="eastAsia" w:ascii="宋体" w:hAnsi="宋体"/>
          <w:b w:val="0"/>
          <w:bCs/>
          <w:color w:val="auto"/>
          <w:lang w:eastAsia="zh-CN"/>
        </w:rPr>
        <w:t>及商务要求的所有条款</w:t>
      </w:r>
      <w:r>
        <w:rPr>
          <w:rFonts w:hint="eastAsia" w:ascii="宋体" w:hAnsi="宋体"/>
          <w:b w:val="0"/>
          <w:bCs/>
          <w:color w:val="auto"/>
        </w:rPr>
        <w:t>均为实质性条款，必须满足或者优于，否则其</w:t>
      </w:r>
      <w:r>
        <w:rPr>
          <w:rFonts w:hint="eastAsia" w:ascii="宋体" w:hAnsi="宋体"/>
          <w:b w:val="0"/>
          <w:bCs/>
          <w:color w:val="auto"/>
          <w:lang w:eastAsia="zh-CN"/>
        </w:rPr>
        <w:t>投标报价文件</w:t>
      </w:r>
      <w:r>
        <w:rPr>
          <w:rFonts w:hint="eastAsia" w:ascii="宋体" w:hAnsi="宋体"/>
          <w:b w:val="0"/>
          <w:bCs/>
          <w:color w:val="auto"/>
        </w:rPr>
        <w:t>作否决处理。</w:t>
      </w:r>
    </w:p>
    <w:p w14:paraId="78387114">
      <w:pPr>
        <w:pStyle w:val="14"/>
        <w:ind w:left="0" w:leftChars="0"/>
        <w:rPr>
          <w:rFonts w:cs="宋体"/>
          <w:b/>
          <w:bCs/>
          <w:sz w:val="28"/>
          <w:szCs w:val="28"/>
        </w:rPr>
      </w:pPr>
      <w:r>
        <w:rPr>
          <w:rFonts w:hint="eastAsia" w:cs="宋体"/>
          <w:b/>
          <w:bCs/>
          <w:sz w:val="28"/>
          <w:szCs w:val="28"/>
        </w:rPr>
        <w:t>一、采购清单、技术规格参数、质量标准和要求</w:t>
      </w:r>
    </w:p>
    <w:p w14:paraId="29FB495E">
      <w:pPr>
        <w:pStyle w:val="14"/>
        <w:ind w:left="0" w:leftChars="0"/>
        <w:rPr>
          <w:rFonts w:hint="default" w:eastAsia="宋体"/>
          <w:b/>
          <w:bCs/>
          <w:lang w:val="en-US" w:eastAsia="zh-CN"/>
        </w:rPr>
      </w:pPr>
      <w:r>
        <w:rPr>
          <w:rFonts w:hint="eastAsia" w:cs="宋体"/>
          <w:b/>
          <w:bCs/>
        </w:rPr>
        <w:t>（一）采购清单</w:t>
      </w:r>
      <w:r>
        <w:rPr>
          <w:b/>
          <w:bCs/>
        </w:rPr>
        <w:t> </w:t>
      </w:r>
    </w:p>
    <w:p w14:paraId="5AD80A9A">
      <w:pPr>
        <w:pStyle w:val="14"/>
        <w:ind w:left="-708" w:leftChars="-337"/>
        <w:rPr>
          <w:rFonts w:hint="eastAsia"/>
          <w:b/>
          <w:bCs/>
          <w:color w:val="0000FF"/>
          <w:sz w:val="18"/>
          <w:szCs w:val="18"/>
          <w:lang w:val="en-US" w:eastAsia="zh-CN"/>
        </w:rPr>
      </w:pPr>
      <w:r>
        <w:rPr>
          <w:rFonts w:hint="eastAsia"/>
          <w:b/>
          <w:bCs/>
          <w:lang w:val="en-US" w:eastAsia="zh-CN"/>
        </w:rPr>
        <w:t xml:space="preserve">     </w:t>
      </w:r>
    </w:p>
    <w:tbl>
      <w:tblPr>
        <w:tblStyle w:val="10"/>
        <w:tblW w:w="9588" w:type="dxa"/>
        <w:tblInd w:w="325" w:type="dxa"/>
        <w:tblLayout w:type="fixed"/>
        <w:tblCellMar>
          <w:top w:w="0" w:type="dxa"/>
          <w:left w:w="108" w:type="dxa"/>
          <w:bottom w:w="0" w:type="dxa"/>
          <w:right w:w="108" w:type="dxa"/>
        </w:tblCellMar>
      </w:tblPr>
      <w:tblGrid>
        <w:gridCol w:w="825"/>
        <w:gridCol w:w="1438"/>
        <w:gridCol w:w="2100"/>
        <w:gridCol w:w="1425"/>
        <w:gridCol w:w="2012"/>
        <w:gridCol w:w="1788"/>
      </w:tblGrid>
      <w:tr w14:paraId="22920799">
        <w:tblPrEx>
          <w:tblCellMar>
            <w:top w:w="0" w:type="dxa"/>
            <w:left w:w="108" w:type="dxa"/>
            <w:bottom w:w="0" w:type="dxa"/>
            <w:right w:w="108" w:type="dxa"/>
          </w:tblCellMar>
        </w:tblPrEx>
        <w:trPr>
          <w:trHeight w:val="187"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3275F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55AC5FAB">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分标项</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0796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D2CA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524A7F3A">
            <w:pPr>
              <w:widowControl/>
              <w:jc w:val="center"/>
              <w:textAlignment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采购单价</w:t>
            </w:r>
            <w:r>
              <w:rPr>
                <w:rFonts w:hint="eastAsia" w:ascii="宋体" w:hAnsi="宋体" w:cs="宋体"/>
                <w:color w:val="000000"/>
                <w:kern w:val="0"/>
                <w:sz w:val="24"/>
                <w:szCs w:val="24"/>
                <w:lang w:val="en-US" w:eastAsia="zh-CN"/>
              </w:rPr>
              <w:t>上限价</w:t>
            </w:r>
            <w:r>
              <w:rPr>
                <w:rFonts w:hint="eastAsia" w:ascii="宋体" w:hAnsi="宋体" w:cs="宋体"/>
                <w:color w:val="000000"/>
                <w:kern w:val="0"/>
                <w:sz w:val="24"/>
                <w:szCs w:val="24"/>
                <w:lang w:eastAsia="zh-CN"/>
              </w:rPr>
              <w:t>（元）</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7B7897">
            <w:pPr>
              <w:widowControl/>
              <w:jc w:val="center"/>
              <w:textAlignment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采购总价</w:t>
            </w:r>
            <w:r>
              <w:rPr>
                <w:rFonts w:hint="eastAsia" w:ascii="宋体" w:hAnsi="宋体" w:cs="宋体"/>
                <w:color w:val="000000"/>
                <w:kern w:val="0"/>
                <w:sz w:val="24"/>
                <w:szCs w:val="24"/>
                <w:lang w:val="en-US" w:eastAsia="zh-CN"/>
              </w:rPr>
              <w:t>上</w:t>
            </w:r>
            <w:r>
              <w:rPr>
                <w:rFonts w:hint="eastAsia" w:ascii="宋体" w:hAnsi="宋体" w:cs="宋体"/>
                <w:color w:val="000000"/>
                <w:kern w:val="0"/>
                <w:sz w:val="24"/>
                <w:szCs w:val="24"/>
                <w:lang w:eastAsia="zh-CN"/>
              </w:rPr>
              <w:t>限价（元）</w:t>
            </w:r>
          </w:p>
        </w:tc>
      </w:tr>
      <w:tr w14:paraId="6476643B">
        <w:tblPrEx>
          <w:tblCellMar>
            <w:top w:w="0" w:type="dxa"/>
            <w:left w:w="108" w:type="dxa"/>
            <w:bottom w:w="0" w:type="dxa"/>
            <w:right w:w="108" w:type="dxa"/>
          </w:tblCellMar>
        </w:tblPrEx>
        <w:trPr>
          <w:trHeight w:val="372"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CEE4A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B13652D">
            <w:pPr>
              <w:widowControl/>
              <w:jc w:val="center"/>
              <w:textAlignment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1分标</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6B32DC">
            <w:pPr>
              <w:jc w:val="center"/>
              <w:rPr>
                <w:rFonts w:hint="default" w:ascii="宋体" w:hAnsi="宋体" w:eastAsia="宋体" w:cs="宋体"/>
                <w:b w:val="0"/>
                <w:bCs w:val="0"/>
                <w:color w:val="000000"/>
                <w:sz w:val="24"/>
                <w:szCs w:val="24"/>
                <w:lang w:val="en-US" w:eastAsia="zh-CN"/>
              </w:rPr>
            </w:pPr>
            <w:r>
              <w:rPr>
                <w:rFonts w:hint="eastAsia" w:ascii="宋体" w:hAnsi="宋体" w:cs="宋体"/>
                <w:color w:val="000000"/>
                <w:sz w:val="24"/>
                <w:szCs w:val="24"/>
                <w:lang w:eastAsia="zh-CN"/>
              </w:rPr>
              <w:t>亚低温治疗仪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DA1EEA">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1台</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4830A4CB">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32000.00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16841E4">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32000.00</w:t>
            </w:r>
          </w:p>
        </w:tc>
      </w:tr>
      <w:tr w14:paraId="4C9BF1B5">
        <w:tblPrEx>
          <w:tblCellMar>
            <w:top w:w="0" w:type="dxa"/>
            <w:left w:w="108" w:type="dxa"/>
            <w:bottom w:w="0" w:type="dxa"/>
            <w:right w:w="108" w:type="dxa"/>
          </w:tblCellMar>
        </w:tblPrEx>
        <w:trPr>
          <w:trHeight w:val="372"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67DC68">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6F68CC7">
            <w:pPr>
              <w:widowControl/>
              <w:jc w:val="center"/>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2分标</w:t>
            </w:r>
            <w:bookmarkStart w:id="4" w:name="_GoBack"/>
            <w:bookmarkEnd w:id="4"/>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183CA5C">
            <w:pPr>
              <w:jc w:val="center"/>
              <w:rPr>
                <w:rFonts w:hint="eastAsia" w:ascii="宋体" w:hAnsi="宋体" w:eastAsia="宋体" w:cs="宋体"/>
                <w:color w:val="auto"/>
                <w:kern w:val="2"/>
                <w:sz w:val="24"/>
                <w:szCs w:val="24"/>
                <w:lang w:val="en-US" w:eastAsia="zh-CN" w:bidi="ar-SA"/>
              </w:rPr>
            </w:pPr>
            <w:r>
              <w:rPr>
                <w:rFonts w:hint="eastAsia" w:ascii="宋体" w:hAnsi="宋体"/>
                <w:sz w:val="24"/>
                <w:szCs w:val="24"/>
              </w:rPr>
              <w:t>医用控温仪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CD8C66">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2台</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0F6158DA">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45000.00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EE553D5">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90000.00</w:t>
            </w:r>
          </w:p>
        </w:tc>
      </w:tr>
    </w:tbl>
    <w:p w14:paraId="66AFBCF6">
      <w:pPr>
        <w:widowControl/>
        <w:numPr>
          <w:ilvl w:val="0"/>
          <w:numId w:val="0"/>
        </w:numPr>
        <w:spacing w:line="240" w:lineRule="auto"/>
        <w:jc w:val="left"/>
        <w:rPr>
          <w:rFonts w:hint="eastAsia" w:cs="宋体"/>
          <w:b/>
          <w:bCs/>
          <w:color w:val="000000"/>
          <w:kern w:val="0"/>
          <w:sz w:val="24"/>
          <w:szCs w:val="24"/>
          <w:lang w:val="en-US" w:eastAsia="zh-CN" w:bidi="ar-SA"/>
        </w:rPr>
      </w:pPr>
    </w:p>
    <w:p w14:paraId="6824A9AA">
      <w:pPr>
        <w:widowControl/>
        <w:numPr>
          <w:ilvl w:val="0"/>
          <w:numId w:val="0"/>
        </w:numPr>
        <w:spacing w:line="360" w:lineRule="auto"/>
        <w:jc w:val="left"/>
        <w:rPr>
          <w:rFonts w:hint="default" w:ascii="Times New Roman" w:hAnsi="Times New Roman" w:eastAsia="宋体" w:cs="宋体"/>
          <w:b/>
          <w:bCs/>
          <w:color w:val="000000"/>
          <w:kern w:val="0"/>
          <w:sz w:val="24"/>
          <w:szCs w:val="24"/>
          <w:lang w:val="en-US" w:eastAsia="zh-CN" w:bidi="ar-SA"/>
        </w:rPr>
      </w:pPr>
      <w:r>
        <w:rPr>
          <w:rFonts w:hint="eastAsia" w:cs="宋体"/>
          <w:b/>
          <w:bCs/>
          <w:color w:val="000000"/>
          <w:kern w:val="0"/>
          <w:sz w:val="24"/>
          <w:szCs w:val="24"/>
          <w:lang w:val="en-US" w:eastAsia="zh-CN" w:bidi="ar-SA"/>
        </w:rPr>
        <w:t>（二）</w:t>
      </w:r>
      <w:r>
        <w:rPr>
          <w:rFonts w:hint="eastAsia" w:ascii="Times New Roman" w:hAnsi="Times New Roman" w:eastAsia="宋体" w:cs="宋体"/>
          <w:b/>
          <w:bCs/>
          <w:color w:val="000000"/>
          <w:kern w:val="0"/>
          <w:sz w:val="24"/>
          <w:szCs w:val="24"/>
          <w:lang w:val="en-US" w:eastAsia="zh-CN" w:bidi="ar-SA"/>
        </w:rPr>
        <w:t>技术规格参数</w:t>
      </w:r>
    </w:p>
    <w:p w14:paraId="733B16DD">
      <w:pPr>
        <w:pStyle w:val="14"/>
        <w:spacing w:line="360" w:lineRule="auto"/>
        <w:ind w:left="-708" w:leftChars="-337" w:firstLine="720" w:firstLineChars="300"/>
        <w:rPr>
          <w:rFonts w:hint="default"/>
          <w:lang w:val="en-US" w:eastAsia="zh-CN"/>
        </w:rPr>
      </w:pPr>
      <w:r>
        <w:rPr>
          <w:rFonts w:hint="eastAsia"/>
          <w:lang w:val="en-US" w:eastAsia="zh-CN"/>
        </w:rPr>
        <w:t>1分标：</w:t>
      </w:r>
      <w:r>
        <w:rPr>
          <w:rFonts w:hint="eastAsia" w:ascii="宋体" w:hAnsi="宋体" w:cs="宋体"/>
          <w:color w:val="000000"/>
          <w:sz w:val="24"/>
          <w:szCs w:val="24"/>
          <w:lang w:eastAsia="zh-CN"/>
        </w:rPr>
        <w:t>采购</w:t>
      </w:r>
      <w:r>
        <w:rPr>
          <w:rFonts w:hint="eastAsia" w:ascii="宋体" w:hAnsi="宋体" w:cs="宋体"/>
          <w:color w:val="000000"/>
          <w:sz w:val="24"/>
          <w:szCs w:val="24"/>
          <w:lang w:val="en-US" w:eastAsia="zh-CN"/>
        </w:rPr>
        <w:t>预算：32000.00元。</w:t>
      </w:r>
    </w:p>
    <w:tbl>
      <w:tblPr>
        <w:tblStyle w:val="10"/>
        <w:tblW w:w="9705" w:type="dxa"/>
        <w:tblInd w:w="0" w:type="dxa"/>
        <w:tblLayout w:type="fixed"/>
        <w:tblCellMar>
          <w:top w:w="0" w:type="dxa"/>
          <w:left w:w="108" w:type="dxa"/>
          <w:bottom w:w="0" w:type="dxa"/>
          <w:right w:w="108" w:type="dxa"/>
        </w:tblCellMar>
      </w:tblPr>
      <w:tblGrid>
        <w:gridCol w:w="473"/>
        <w:gridCol w:w="655"/>
        <w:gridCol w:w="710"/>
        <w:gridCol w:w="7867"/>
      </w:tblGrid>
      <w:tr w14:paraId="2B2BDD1A">
        <w:tblPrEx>
          <w:tblCellMar>
            <w:top w:w="0" w:type="dxa"/>
            <w:left w:w="108" w:type="dxa"/>
            <w:bottom w:w="0" w:type="dxa"/>
            <w:right w:w="108" w:type="dxa"/>
          </w:tblCellMar>
        </w:tblPrEx>
        <w:trPr>
          <w:trHeight w:val="713"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0E0BC872">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C8D9E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7042766">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数量</w:t>
            </w:r>
          </w:p>
        </w:tc>
        <w:tc>
          <w:tcPr>
            <w:tcW w:w="7867" w:type="dxa"/>
            <w:tcBorders>
              <w:top w:val="single" w:color="000000" w:sz="4" w:space="0"/>
              <w:left w:val="single" w:color="000000" w:sz="4" w:space="0"/>
              <w:bottom w:val="single" w:color="000000" w:sz="4" w:space="0"/>
              <w:right w:val="single" w:color="000000" w:sz="4" w:space="0"/>
            </w:tcBorders>
            <w:noWrap w:val="0"/>
            <w:vAlign w:val="center"/>
          </w:tcPr>
          <w:p w14:paraId="29C98D16">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技术参数要求</w:t>
            </w:r>
          </w:p>
        </w:tc>
      </w:tr>
      <w:tr w14:paraId="69DC1779">
        <w:tblPrEx>
          <w:tblCellMar>
            <w:top w:w="0" w:type="dxa"/>
            <w:left w:w="108" w:type="dxa"/>
            <w:bottom w:w="0" w:type="dxa"/>
            <w:right w:w="108" w:type="dxa"/>
          </w:tblCellMar>
        </w:tblPrEx>
        <w:trPr>
          <w:trHeight w:val="90"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713F76A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357CAEC7">
            <w:pPr>
              <w:pStyle w:val="19"/>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亚低温治疗仪</w:t>
            </w:r>
          </w:p>
          <w:p w14:paraId="1E24FA2F">
            <w:pPr>
              <w:pStyle w:val="19"/>
              <w:jc w:val="center"/>
              <w:rPr>
                <w:rFonts w:hint="eastAsia" w:ascii="宋体" w:hAnsi="宋体" w:eastAsia="宋体" w:cs="宋体"/>
                <w:sz w:val="21"/>
                <w:szCs w:val="21"/>
                <w:lang w:val="en-US" w:eastAsia="zh-CN"/>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9F77E1">
            <w:pPr>
              <w:pStyle w:val="19"/>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1台</w:t>
            </w:r>
          </w:p>
        </w:tc>
        <w:tc>
          <w:tcPr>
            <w:tcW w:w="7867" w:type="dxa"/>
            <w:tcBorders>
              <w:top w:val="single" w:color="000000" w:sz="4" w:space="0"/>
              <w:left w:val="single" w:color="000000" w:sz="4" w:space="0"/>
              <w:bottom w:val="single" w:color="000000" w:sz="4" w:space="0"/>
              <w:right w:val="single" w:color="000000" w:sz="4" w:space="0"/>
            </w:tcBorders>
            <w:noWrap w:val="0"/>
            <w:vAlign w:val="center"/>
          </w:tcPr>
          <w:p w14:paraId="1F88A5FF">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1.水温控制范围：4-25℃；</w:t>
            </w:r>
          </w:p>
          <w:p w14:paraId="0F1C840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2.空载平均降温速度：≥1℃/min；</w:t>
            </w:r>
          </w:p>
          <w:p w14:paraId="6BCB6C6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3.水箱设计：采用外盘管式，制冷稳定不结冰，无需使用酒精等防冻液；容量 ≥4L，至少满足两毯两帽同时使用；</w:t>
            </w:r>
          </w:p>
          <w:p w14:paraId="7DBE7996">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4.体温监测：具有体表温度和体腔温度两种专用探头，目标体温设置范围： 30-40℃,测量精度±0.2℃以内；</w:t>
            </w:r>
          </w:p>
          <w:p w14:paraId="5F7D36F5">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5.体温传感器为医用级温度传感器，能通过细胞毒性试验、皮肤刺激试验和皮肤致敏试验等多项生物相容性检测(须提供相关生物相容性检测报告)；</w:t>
            </w:r>
          </w:p>
          <w:p w14:paraId="36543C7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6.体温监测报警：双路体温监测报警均可同时独立设置体温下限和(或)体温上限，体温超限时声光报警并停止输出，满足闭环控制；在特殊情况下也可关闭体温监测，实现开环控制；</w:t>
            </w:r>
          </w:p>
          <w:p w14:paraId="6EEAE735">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7.输出控制方式：双路二组输出，左右分别控制，毯/帽可单独使用或两个同 时使用；</w:t>
            </w:r>
          </w:p>
          <w:p w14:paraId="0ABE288D">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8.制冷方式：采用压缩机式制冷技术；</w:t>
            </w:r>
          </w:p>
          <w:p w14:paraId="18FD200A">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9.定时范围：1-99小时或长期运行，可自动计时(包括倒计时)；</w:t>
            </w:r>
          </w:p>
          <w:p w14:paraId="25659F8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10.≥8寸操作界面，内嵌6寸高亮度液晶中文及图标显示，实时显示水温、体温及工作时间；</w:t>
            </w:r>
          </w:p>
          <w:p w14:paraId="07C33C23">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11.内置不少于10个常用固化程序，满足常用临床需求，一键调用，方便紧急时使用，也可由用户自行设置水温、体温上下限与定时时间；</w:t>
            </w:r>
          </w:p>
          <w:p w14:paraId="58FA1A2E">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12.具备断电保护功能，断电时再通电开机后，仪器自动运行断电前的程序；</w:t>
            </w:r>
          </w:p>
          <w:p w14:paraId="1FCB31AB">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13.毯/帽设计：TPU 材质毯/帽采用蜂窝设计；控温帽为贴敷式设计，低温时柔软，贴近患者皮肤，体感舒适；</w:t>
            </w:r>
          </w:p>
          <w:p w14:paraId="4DE51BC8">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14.采用双向快速液压接头，两端均带止回，具有双密封圈设计；</w:t>
            </w:r>
          </w:p>
          <w:p w14:paraId="688FFA7E">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15.无需特殊工具即可直接往水箱内注水，具备水位观察窗，且具有水位标尺；</w:t>
            </w:r>
          </w:p>
          <w:p w14:paraId="70780E89">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16.排水系统设计：大口径排水口(内径≥10mm) 采用旋钮开关设计；</w:t>
            </w:r>
          </w:p>
          <w:p w14:paraId="4C8FF42F">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17.显示屏具有水位状态指示，缺水或溢水时水位状态闪烁显示；</w:t>
            </w:r>
          </w:p>
          <w:p w14:paraId="57EA80B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18.故障智能诊断：具有代码指示故障，有水温超限报警、体温超限报警、缺水报警、双水温检测差异报警、体温传感器脱落报警和逆温波动报警等声光报警；</w:t>
            </w:r>
          </w:p>
          <w:p w14:paraId="0408A980">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19.外壳采用优质钣金一次成型，并做防锈喷漆处理；</w:t>
            </w:r>
          </w:p>
          <w:p w14:paraId="349DB202">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20.配备管路附件挂篮和毯帽附件挂篮，固定在仪器上；</w:t>
            </w:r>
          </w:p>
          <w:p w14:paraId="75B89C73">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21.具有流量控制设计，可设置目标水温时的流量占空比输出从而减缓用冷， 占空比设计25%、50%、75%和100%可调，接近的范围可通过系统内部参数进行设置，适合新生儿或老人等特殊体质的需要；</w:t>
            </w:r>
          </w:p>
          <w:p w14:paraId="537EDB8F">
            <w:pPr>
              <w:pStyle w:val="19"/>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22.使用期限：≥10年(提供注册检验报告)；</w:t>
            </w:r>
          </w:p>
          <w:p w14:paraId="58EAC2D9">
            <w:pPr>
              <w:pStyle w:val="19"/>
              <w:keepNext w:val="0"/>
              <w:keepLines w:val="0"/>
              <w:pageBreakBefore w:val="0"/>
              <w:widowControl w:val="0"/>
              <w:kinsoku/>
              <w:wordWrap/>
              <w:overflowPunct/>
              <w:topLinePunct w:val="0"/>
              <w:autoSpaceDE/>
              <w:autoSpaceDN/>
              <w:bidi w:val="0"/>
              <w:adjustRightInd/>
              <w:snapToGrid/>
              <w:spacing w:before="0" w:after="0" w:line="460" w:lineRule="exact"/>
              <w:jc w:val="both"/>
              <w:textAlignment w:val="auto"/>
              <w:rPr>
                <w:rFonts w:hint="eastAsia" w:eastAsia="宋体"/>
                <w:lang w:val="en-US" w:eastAsia="zh-CN"/>
              </w:rPr>
            </w:pPr>
            <w:r>
              <w:rPr>
                <w:rFonts w:hint="eastAsia" w:ascii="宋体" w:hAnsi="宋体" w:eastAsia="宋体" w:cs="宋体"/>
                <w:sz w:val="21"/>
                <w:szCs w:val="21"/>
                <w:lang w:val="en-US" w:eastAsia="zh-CN"/>
              </w:rPr>
              <w:t>23.符合人体工程学设计，主机高度≥0.9米。</w:t>
            </w:r>
          </w:p>
        </w:tc>
      </w:tr>
    </w:tbl>
    <w:p w14:paraId="41565788">
      <w:pPr>
        <w:pStyle w:val="14"/>
        <w:ind w:left="-708" w:leftChars="-337" w:firstLine="480" w:firstLineChars="200"/>
        <w:rPr>
          <w:rFonts w:hint="eastAsia"/>
          <w:lang w:val="en-US" w:eastAsia="zh-CN"/>
        </w:rPr>
      </w:pPr>
    </w:p>
    <w:p w14:paraId="589EC215">
      <w:pPr>
        <w:spacing w:line="400" w:lineRule="exact"/>
        <w:ind w:left="424" w:leftChars="202" w:firstLine="2"/>
        <w:rPr>
          <w:rFonts w:hint="eastAsia" w:ascii="宋体" w:hAnsi="宋体" w:eastAsia="宋体" w:cs="宋体"/>
          <w:sz w:val="24"/>
          <w:szCs w:val="24"/>
        </w:rPr>
      </w:pPr>
      <w:r>
        <w:rPr>
          <w:rFonts w:hint="eastAsia" w:ascii="宋体" w:hAnsi="宋体" w:eastAsia="宋体" w:cs="宋体"/>
          <w:sz w:val="24"/>
          <w:szCs w:val="24"/>
          <w:lang w:val="en-US" w:eastAsia="zh-CN"/>
        </w:rPr>
        <w:t>2分标：采购预算：</w:t>
      </w:r>
      <w:r>
        <w:rPr>
          <w:rFonts w:hint="eastAsia" w:ascii="宋体" w:hAnsi="宋体" w:eastAsia="宋体" w:cs="宋体"/>
          <w:sz w:val="24"/>
          <w:szCs w:val="24"/>
        </w:rPr>
        <w:t>90000.00</w:t>
      </w:r>
    </w:p>
    <w:p w14:paraId="6623431C">
      <w:pPr>
        <w:pStyle w:val="14"/>
        <w:ind w:left="-708" w:leftChars="-337" w:firstLine="480" w:firstLineChars="200"/>
        <w:rPr>
          <w:rFonts w:hint="default"/>
          <w:lang w:val="en-US" w:eastAsia="zh-CN"/>
        </w:rPr>
      </w:pPr>
    </w:p>
    <w:tbl>
      <w:tblPr>
        <w:tblStyle w:val="10"/>
        <w:tblW w:w="9592" w:type="dxa"/>
        <w:tblInd w:w="113" w:type="dxa"/>
        <w:tblLayout w:type="fixed"/>
        <w:tblCellMar>
          <w:top w:w="0" w:type="dxa"/>
          <w:left w:w="108" w:type="dxa"/>
          <w:bottom w:w="0" w:type="dxa"/>
          <w:right w:w="108" w:type="dxa"/>
        </w:tblCellMar>
      </w:tblPr>
      <w:tblGrid>
        <w:gridCol w:w="600"/>
        <w:gridCol w:w="575"/>
        <w:gridCol w:w="537"/>
        <w:gridCol w:w="7880"/>
      </w:tblGrid>
      <w:tr w14:paraId="57FB6284">
        <w:tblPrEx>
          <w:tblCellMar>
            <w:top w:w="0" w:type="dxa"/>
            <w:left w:w="108" w:type="dxa"/>
            <w:bottom w:w="0" w:type="dxa"/>
            <w:right w:w="108" w:type="dxa"/>
          </w:tblCellMar>
        </w:tblPrEx>
        <w:trPr>
          <w:trHeight w:val="713"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E47E7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C6058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名称</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454FBF6C">
            <w:pPr>
              <w:widowControl/>
              <w:jc w:val="both"/>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数量</w:t>
            </w:r>
          </w:p>
        </w:tc>
        <w:tc>
          <w:tcPr>
            <w:tcW w:w="7880" w:type="dxa"/>
            <w:tcBorders>
              <w:top w:val="single" w:color="000000" w:sz="4" w:space="0"/>
              <w:left w:val="single" w:color="000000" w:sz="4" w:space="0"/>
              <w:bottom w:val="single" w:color="000000" w:sz="4" w:space="0"/>
              <w:right w:val="single" w:color="000000" w:sz="4" w:space="0"/>
            </w:tcBorders>
            <w:noWrap w:val="0"/>
            <w:vAlign w:val="center"/>
          </w:tcPr>
          <w:p w14:paraId="46C445E7">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技术参数要求</w:t>
            </w:r>
          </w:p>
        </w:tc>
      </w:tr>
      <w:tr w14:paraId="41711A6C">
        <w:tblPrEx>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62455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6813D01">
            <w:pPr>
              <w:pStyle w:val="19"/>
              <w:jc w:val="center"/>
              <w:rPr>
                <w:rFonts w:hint="eastAsia" w:ascii="宋体" w:hAnsi="宋体" w:eastAsia="宋体" w:cs="宋体"/>
                <w:sz w:val="21"/>
                <w:szCs w:val="21"/>
                <w:lang w:val="en-US" w:eastAsia="zh-CN"/>
              </w:rPr>
            </w:pPr>
            <w:r>
              <w:rPr>
                <w:rFonts w:hint="eastAsia" w:ascii="宋体" w:hAnsi="宋体" w:eastAsia="宋体" w:cs="宋体"/>
                <w:sz w:val="21"/>
                <w:szCs w:val="21"/>
              </w:rPr>
              <w:t>医用控温仪</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063BFBC5">
            <w:pPr>
              <w:pStyle w:val="1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2台</w:t>
            </w:r>
          </w:p>
        </w:tc>
        <w:tc>
          <w:tcPr>
            <w:tcW w:w="7880" w:type="dxa"/>
            <w:tcBorders>
              <w:top w:val="single" w:color="000000" w:sz="4" w:space="0"/>
              <w:left w:val="single" w:color="000000" w:sz="4" w:space="0"/>
              <w:bottom w:val="single" w:color="000000" w:sz="4" w:space="0"/>
              <w:right w:val="single" w:color="000000" w:sz="4" w:space="0"/>
            </w:tcBorders>
            <w:noWrap w:val="0"/>
            <w:vAlign w:val="center"/>
          </w:tcPr>
          <w:p w14:paraId="3AA4C9F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1.水温控制范围：4-40℃；</w:t>
            </w:r>
          </w:p>
          <w:p w14:paraId="3D63DED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2.升温/降温双重功能；具备升温（26-40℃）与降温（4-25℃）双重功能；</w:t>
            </w:r>
          </w:p>
          <w:p w14:paraId="6D3A4B2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3.具有机械开关，可物理关闭制热系统的设计，确保单冷状态的可靠执行；</w:t>
            </w:r>
          </w:p>
          <w:p w14:paraId="7FC0EA6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4.空载平均降温速度与升温速度：平均降温速度≥1.3℃/min；平均升温速度≥0.8℃/min；</w:t>
            </w:r>
          </w:p>
          <w:p w14:paraId="7C10877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5.水箱设计；采用外盘管式，制冷稳定不结冰，无需使用酒精等防冻液；容量≥4L，至少满足两毯两帽同时使用；</w:t>
            </w:r>
          </w:p>
          <w:p w14:paraId="0377884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6.体温监测；具有体表温度和体腔温度两种专用探头，目标体温设置范围：降温30-40℃，升温30-37℃，测量精度±0.2℃以内；</w:t>
            </w:r>
          </w:p>
          <w:p w14:paraId="7A50F0E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7.体温传感器为医用级温度传感器，通过细胞毒性试验、皮肤刺激试验和皮肤致敏试验等多项生物相容性检测（提供相关生物相容性国家认可的第三方检测机构出具的检测报告）；</w:t>
            </w:r>
          </w:p>
          <w:p w14:paraId="2F51BC5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8.体温监测报警；双路体温监测报警均可同时独立设置体温下限和（或）体温上限，体温超限时声光报警并停止输出，满足闭环控制；在特殊情况下也可关闭体温监测，实现开环控制；</w:t>
            </w:r>
          </w:p>
          <w:p w14:paraId="1250F3C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9.</w:t>
            </w:r>
            <w:bookmarkStart w:id="0" w:name="OLE_LINK4"/>
            <w:r>
              <w:rPr>
                <w:rFonts w:hint="eastAsia" w:ascii="宋体" w:hAnsi="宋体" w:eastAsia="宋体" w:cs="宋体"/>
                <w:sz w:val="21"/>
                <w:szCs w:val="21"/>
              </w:rPr>
              <w:t>输出控制方式；双路二组输出，左右分别控制，毯/帽可单独使用或两个同时使用</w:t>
            </w:r>
            <w:bookmarkEnd w:id="0"/>
            <w:r>
              <w:rPr>
                <w:rFonts w:hint="eastAsia" w:ascii="宋体" w:hAnsi="宋体" w:eastAsia="宋体" w:cs="宋体"/>
                <w:sz w:val="21"/>
                <w:szCs w:val="21"/>
              </w:rPr>
              <w:t>；</w:t>
            </w:r>
          </w:p>
          <w:p w14:paraId="58E8DD4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10.制冷方式；采用压缩机式制冷技术；</w:t>
            </w:r>
          </w:p>
          <w:p w14:paraId="2742CD7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11.定时范围；1-99小时或长期运行，可自动计时（包括倒计时）；</w:t>
            </w:r>
          </w:p>
          <w:p w14:paraId="5A561D2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12.人机交互方式；≥8寸操作界面，内嵌≥6寸高亮度液晶中文及图标显示，实时显示水温、体温及工作时间，配合按键实现人机交互；</w:t>
            </w:r>
          </w:p>
          <w:p w14:paraId="2F22BFA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13.固化程序；内置≥10个常用固化程序，满足常用临床需求，一键调用也可用户自行设置水温、体温上下限与定时时间（提供产品公开发行彩页或产品说明书）；</w:t>
            </w:r>
          </w:p>
          <w:p w14:paraId="4D8499B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14.断电保护功能；具备断电保护功能，断电时再通电开机后，仪器自动运行断电前的程序</w:t>
            </w:r>
          </w:p>
          <w:p w14:paraId="54B32AC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15.噪声控制：最大工作噪声≤55dB；</w:t>
            </w:r>
          </w:p>
          <w:p w14:paraId="17AA8C8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16.</w:t>
            </w:r>
            <w:bookmarkStart w:id="1" w:name="OLE_LINK2"/>
            <w:bookmarkStart w:id="2" w:name="OLE_LINK1"/>
            <w:r>
              <w:rPr>
                <w:rFonts w:hint="eastAsia" w:ascii="宋体" w:hAnsi="宋体" w:eastAsia="宋体" w:cs="宋体"/>
                <w:sz w:val="21"/>
                <w:szCs w:val="21"/>
              </w:rPr>
              <w:t>毯/帽</w:t>
            </w:r>
            <w:bookmarkEnd w:id="1"/>
            <w:bookmarkEnd w:id="2"/>
            <w:r>
              <w:rPr>
                <w:rFonts w:hint="eastAsia" w:ascii="宋体" w:hAnsi="宋体" w:eastAsia="宋体" w:cs="宋体"/>
                <w:sz w:val="21"/>
                <w:szCs w:val="21"/>
              </w:rPr>
              <w:t>设计；TPU材质毯/帽采用蜂窝设计，保证液体流动性，降温快且均匀；控温帽为贴敷式设计，低温时柔软；</w:t>
            </w:r>
          </w:p>
          <w:p w14:paraId="4701BE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17.快速接头设计；采用双向快速液压接头，两端均带止回，具有双密封圈设计，插拔方便，无液体喷溅；</w:t>
            </w:r>
          </w:p>
          <w:p w14:paraId="5658546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18.水箱设计；快捷注水口设计，无需特殊工具即可直接往水箱内注水，外侧有水位观察窗，且具有水位标尺；</w:t>
            </w:r>
          </w:p>
          <w:p w14:paraId="5BA24C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19.显示屏具有五种水位状态指示，缺水或溢水时水位状态闪烁显示；</w:t>
            </w:r>
          </w:p>
          <w:p w14:paraId="63C9F7C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20.故障智能诊断；具有代码指示故障，有水温超限报警、体温超限报警、缺水报警、双水温检测差异报警、体温传感器脱落报警和逆温波动报警等声光报警；</w:t>
            </w:r>
          </w:p>
          <w:p w14:paraId="66422D1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21.设计使用期限：≥10年（提供产品产品说明书使用年限）</w:t>
            </w:r>
          </w:p>
          <w:p w14:paraId="22F0287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22.存储便捷性；仪器同时配备管路附件挂篮和毯帽附件挂篮，固定在仪器上便于仪器附件的收纳管理</w:t>
            </w:r>
          </w:p>
          <w:p w14:paraId="7DDD6D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23.具有流量控制设计，可设置目标水温时的流量占空比输出从而减缓用冷，占空比设计25%、50%、75%和100%可调，接近的范围可通过系统内部参数进行设置，</w:t>
            </w:r>
            <w:bookmarkStart w:id="3" w:name="OLE_LINK3"/>
            <w:r>
              <w:rPr>
                <w:rFonts w:hint="eastAsia" w:ascii="宋体" w:hAnsi="宋体" w:eastAsia="宋体" w:cs="宋体"/>
                <w:sz w:val="21"/>
                <w:szCs w:val="21"/>
              </w:rPr>
              <w:t>适合新生儿或老人等特殊体质的需要</w:t>
            </w:r>
            <w:bookmarkEnd w:id="3"/>
            <w:r>
              <w:rPr>
                <w:rFonts w:hint="eastAsia" w:ascii="宋体" w:hAnsi="宋体" w:eastAsia="宋体" w:cs="宋体"/>
                <w:sz w:val="21"/>
                <w:szCs w:val="21"/>
              </w:rPr>
              <w:t xml:space="preserve">（提供产品公开发行彩页或产品说明书） </w:t>
            </w:r>
          </w:p>
        </w:tc>
      </w:tr>
    </w:tbl>
    <w:p w14:paraId="7D483199">
      <w:pPr>
        <w:widowControl/>
        <w:numPr>
          <w:ilvl w:val="0"/>
          <w:numId w:val="0"/>
        </w:numPr>
        <w:spacing w:line="360" w:lineRule="auto"/>
        <w:jc w:val="left"/>
        <w:rPr>
          <w:rFonts w:hint="eastAsia" w:cs="宋体"/>
          <w:b/>
          <w:bCs/>
          <w:color w:val="000000"/>
          <w:kern w:val="0"/>
          <w:sz w:val="24"/>
          <w:szCs w:val="24"/>
          <w:lang w:val="en-US" w:eastAsia="zh-CN"/>
        </w:rPr>
      </w:pPr>
    </w:p>
    <w:p w14:paraId="0F509C52">
      <w:pPr>
        <w:keepNext w:val="0"/>
        <w:keepLines w:val="0"/>
        <w:pageBreakBefore w:val="0"/>
        <w:kinsoku/>
        <w:wordWrap/>
        <w:overflowPunct/>
        <w:topLinePunct w:val="0"/>
        <w:bidi w:val="0"/>
        <w:snapToGrid/>
        <w:spacing w:line="460" w:lineRule="exact"/>
        <w:ind w:firstLine="354" w:firstLineChars="147"/>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（三）项目产品基本要求（适用分标 1、分标 2）</w:t>
      </w:r>
    </w:p>
    <w:p w14:paraId="6F4FDB2A">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以上产品必须是具备合法资质的制造商生产的</w:t>
      </w:r>
      <w:r>
        <w:rPr>
          <w:rFonts w:hint="eastAsia" w:ascii="宋体" w:hAnsi="宋体" w:eastAsia="宋体" w:cs="宋体"/>
          <w:b w:val="0"/>
          <w:bCs w:val="0"/>
          <w:color w:val="auto"/>
          <w:sz w:val="24"/>
          <w:szCs w:val="24"/>
        </w:rPr>
        <w:t>全新正品，</w:t>
      </w:r>
      <w:r>
        <w:rPr>
          <w:rFonts w:hint="eastAsia" w:ascii="宋体" w:hAnsi="宋体" w:eastAsia="宋体" w:cs="宋体"/>
          <w:color w:val="auto"/>
          <w:sz w:val="24"/>
          <w:szCs w:val="24"/>
        </w:rPr>
        <w:t>并满足招标采购文件的要求，若产品在运输或安装过程中损坏或擦伤须无偿调换相同产品。</w:t>
      </w:r>
    </w:p>
    <w:p w14:paraId="6FA50D4B">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所投产品参数应同等或优于以上各项参数要求，产品、辅材及生产工艺符合国家相关规范。</w:t>
      </w:r>
    </w:p>
    <w:p w14:paraId="74EDC63F">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应保证所提供的货物或其任何一部分均不会侵犯任何第三方的专利权、商标权等，如在使用过程中出现的一切经济和法律责任均由</w:t>
      </w:r>
      <w:r>
        <w:rPr>
          <w:rFonts w:hint="eastAsia" w:ascii="宋体" w:hAnsi="宋体" w:eastAsia="宋体" w:cs="宋体"/>
          <w:color w:val="auto"/>
          <w:sz w:val="24"/>
          <w:szCs w:val="24"/>
          <w:lang w:eastAsia="zh-CN"/>
        </w:rPr>
        <w:t>竞标人</w:t>
      </w:r>
      <w:r>
        <w:rPr>
          <w:rFonts w:hint="eastAsia" w:ascii="宋体" w:hAnsi="宋体" w:eastAsia="宋体" w:cs="宋体"/>
          <w:color w:val="auto"/>
          <w:sz w:val="24"/>
          <w:szCs w:val="24"/>
        </w:rPr>
        <w:t>负责。</w:t>
      </w:r>
    </w:p>
    <w:p w14:paraId="068B6BB7">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标总价必须包含货物及货物运抵指定交货地点的各种费用和安装调校、售后服务、税金、验收检验及其它所有费用的总和，如另有要求请在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中注明。</w:t>
      </w:r>
    </w:p>
    <w:p w14:paraId="658C761E">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.竞标人</w:t>
      </w:r>
      <w:r>
        <w:rPr>
          <w:rFonts w:hint="eastAsia" w:ascii="宋体" w:hAnsi="宋体" w:eastAsia="宋体" w:cs="宋体"/>
          <w:sz w:val="24"/>
          <w:szCs w:val="24"/>
        </w:rPr>
        <w:t>在竞价文件中必须提交设备配置清单，如设备有配套耗材及定期更换的配件请投标时与设备一起报价</w:t>
      </w:r>
      <w:r>
        <w:rPr>
          <w:rFonts w:hint="eastAsia" w:ascii="宋体" w:hAnsi="宋体" w:eastAsia="宋体" w:cs="宋体"/>
          <w:color w:val="auto"/>
          <w:sz w:val="24"/>
          <w:szCs w:val="24"/>
        </w:rPr>
        <w:t>。</w:t>
      </w:r>
    </w:p>
    <w:p w14:paraId="086A65AF">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6.竞标人所投产品必须</w:t>
      </w:r>
      <w:r>
        <w:rPr>
          <w:rFonts w:hint="eastAsia" w:ascii="宋体" w:hAnsi="宋体" w:eastAsia="宋体" w:cs="宋体"/>
          <w:color w:val="auto"/>
          <w:sz w:val="24"/>
          <w:szCs w:val="24"/>
        </w:rPr>
        <w:t>提供产品“三包”服务；定期安排相关人员回访进行质量跟踪；保证提供临床应用和售后技术服务支持方式；</w:t>
      </w:r>
      <w:r>
        <w:rPr>
          <w:rFonts w:hint="eastAsia" w:ascii="宋体" w:hAnsi="宋体" w:eastAsia="宋体" w:cs="宋体"/>
          <w:color w:val="auto"/>
          <w:sz w:val="24"/>
          <w:szCs w:val="24"/>
          <w:highlight w:val="none"/>
        </w:rPr>
        <w:t>保修期后提供终身维修服务及配件供应</w:t>
      </w:r>
      <w:r>
        <w:rPr>
          <w:rFonts w:hint="eastAsia" w:ascii="宋体" w:hAnsi="宋体" w:eastAsia="宋体" w:cs="宋体"/>
          <w:color w:val="auto"/>
          <w:sz w:val="24"/>
          <w:szCs w:val="24"/>
        </w:rPr>
        <w:t>；其他售后服务按厂家承诺实行。</w:t>
      </w:r>
    </w:p>
    <w:p w14:paraId="743B8B0A">
      <w:pPr>
        <w:keepNext w:val="0"/>
        <w:keepLines w:val="0"/>
        <w:pageBreakBefore w:val="0"/>
        <w:kinsoku/>
        <w:wordWrap/>
        <w:overflowPunct/>
        <w:topLinePunct w:val="0"/>
        <w:bidi w:val="0"/>
        <w:snapToGrid/>
        <w:spacing w:line="460" w:lineRule="exact"/>
        <w:ind w:firstLine="354" w:firstLineChars="147"/>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（四）商务要求（适用分标 1、分标 2）</w:t>
      </w:r>
    </w:p>
    <w:p w14:paraId="735D1795">
      <w:pPr>
        <w:pStyle w:val="14"/>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1.竞标产品资格要求</w:t>
      </w:r>
    </w:p>
    <w:p w14:paraId="035689BC">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（1）本项目支持创新产品、节能优化产品、环境标识产品、中小企业发展等政府采购政策。</w:t>
      </w:r>
    </w:p>
    <w:p w14:paraId="01C09932">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竞标人</w:t>
      </w:r>
      <w:r>
        <w:rPr>
          <w:rFonts w:hint="eastAsia" w:ascii="宋体" w:hAnsi="宋体" w:eastAsia="宋体" w:cs="宋体"/>
          <w:sz w:val="24"/>
          <w:szCs w:val="24"/>
        </w:rPr>
        <w:t>所投产品要求包含以下相关证件：</w:t>
      </w:r>
      <w:r>
        <w:rPr>
          <w:rFonts w:hint="eastAsia" w:ascii="宋体" w:hAnsi="宋体" w:eastAsia="宋体" w:cs="宋体"/>
          <w:sz w:val="24"/>
          <w:szCs w:val="24"/>
          <w:lang w:val="en-US" w:eastAsia="zh-CN"/>
        </w:rPr>
        <w:t>竞</w:t>
      </w:r>
      <w:r>
        <w:rPr>
          <w:rFonts w:hint="eastAsia" w:ascii="宋体" w:hAnsi="宋体" w:eastAsia="宋体" w:cs="宋体"/>
          <w:sz w:val="24"/>
          <w:szCs w:val="24"/>
          <w:highlight w:val="none"/>
        </w:rPr>
        <w:t>标公司的《医疗器械经营许可证》、生产厂家的《医疗器械生产许可证》、</w:t>
      </w:r>
      <w:r>
        <w:rPr>
          <w:rFonts w:hint="eastAsia" w:ascii="宋体" w:hAnsi="宋体" w:eastAsia="宋体" w:cs="宋体"/>
          <w:sz w:val="24"/>
          <w:szCs w:val="24"/>
          <w:highlight w:val="none"/>
          <w:lang w:eastAsia="zh-CN"/>
        </w:rPr>
        <w:t>设备</w:t>
      </w:r>
      <w:r>
        <w:rPr>
          <w:rFonts w:hint="eastAsia" w:ascii="宋体" w:hAnsi="宋体" w:eastAsia="宋体" w:cs="宋体"/>
          <w:sz w:val="24"/>
          <w:szCs w:val="24"/>
          <w:highlight w:val="none"/>
        </w:rPr>
        <w:t>的《中华人民共和国医疗器械注册证》</w:t>
      </w:r>
    </w:p>
    <w:p w14:paraId="05197C36">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（3）本项目不接受进口产品。</w:t>
      </w:r>
    </w:p>
    <w:p w14:paraId="4982D32B">
      <w:pPr>
        <w:pStyle w:val="14"/>
        <w:keepNext w:val="0"/>
        <w:keepLines w:val="0"/>
        <w:pageBreakBefore w:val="0"/>
        <w:kinsoku/>
        <w:wordWrap/>
        <w:overflowPunct/>
        <w:topLinePunct w:val="0"/>
        <w:bidi w:val="0"/>
        <w:snapToGrid/>
        <w:spacing w:line="46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售后服务和</w:t>
      </w:r>
      <w:r>
        <w:rPr>
          <w:rFonts w:hint="eastAsia" w:ascii="宋体" w:hAnsi="宋体" w:eastAsia="宋体" w:cs="宋体"/>
          <w:b/>
          <w:bCs/>
          <w:sz w:val="24"/>
          <w:szCs w:val="24"/>
          <w:lang w:val="en-US" w:eastAsia="zh-CN"/>
        </w:rPr>
        <w:t>资质</w:t>
      </w:r>
    </w:p>
    <w:p w14:paraId="6BD0E8EF">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）售后资质要求：厂家须设有24小时免费服务电话，成交供应商应提供</w:t>
      </w:r>
      <w:r>
        <w:rPr>
          <w:rFonts w:hint="eastAsia" w:ascii="宋体" w:hAnsi="宋体" w:eastAsia="宋体" w:cs="宋体"/>
          <w:sz w:val="24"/>
          <w:szCs w:val="24"/>
          <w:lang w:eastAsia="zh-CN"/>
        </w:rPr>
        <w:t>针对本项目的</w:t>
      </w:r>
      <w:r>
        <w:rPr>
          <w:rFonts w:hint="eastAsia" w:ascii="宋体" w:hAnsi="宋体" w:eastAsia="宋体" w:cs="宋体"/>
          <w:sz w:val="24"/>
          <w:szCs w:val="24"/>
        </w:rPr>
        <w:t>维保人员名单、联系电话等</w:t>
      </w:r>
      <w:r>
        <w:rPr>
          <w:rFonts w:hint="eastAsia" w:ascii="宋体" w:hAnsi="宋体" w:eastAsia="宋体" w:cs="宋体"/>
          <w:sz w:val="24"/>
          <w:szCs w:val="24"/>
          <w:lang w:eastAsia="zh-CN"/>
        </w:rPr>
        <w:t>。</w:t>
      </w:r>
    </w:p>
    <w:p w14:paraId="02A150DB">
      <w:pPr>
        <w:pStyle w:val="14"/>
        <w:keepNext w:val="0"/>
        <w:keepLines w:val="0"/>
        <w:pageBreakBefore w:val="0"/>
        <w:kinsoku/>
        <w:wordWrap/>
        <w:overflowPunct/>
        <w:topLinePunct w:val="0"/>
        <w:bidi w:val="0"/>
        <w:snapToGrid/>
        <w:spacing w:line="46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维修备件必须是原厂备件。</w:t>
      </w:r>
    </w:p>
    <w:p w14:paraId="7E0DE451">
      <w:pPr>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质保期：设备安装验收合格使用后，质保期不少于</w:t>
      </w:r>
      <w:r>
        <w:rPr>
          <w:rFonts w:hint="eastAsia" w:ascii="宋体" w:hAnsi="宋体" w:eastAsia="宋体" w:cs="宋体"/>
          <w:b/>
          <w:bCs/>
          <w:sz w:val="24"/>
          <w:szCs w:val="24"/>
          <w:u w:val="single"/>
        </w:rPr>
        <w:t>3年</w:t>
      </w:r>
      <w:r>
        <w:rPr>
          <w:rFonts w:hint="eastAsia" w:ascii="宋体" w:hAnsi="宋体" w:eastAsia="宋体" w:cs="宋体"/>
          <w:sz w:val="24"/>
          <w:szCs w:val="24"/>
        </w:rPr>
        <w:t>（国家法律法规、规章、规范性文件或相关技术标准、规范有更长质保期规定的，从其规定）</w:t>
      </w:r>
      <w:r>
        <w:rPr>
          <w:rFonts w:hint="eastAsia" w:ascii="宋体" w:hAnsi="宋体" w:eastAsia="宋体" w:cs="宋体"/>
          <w:b/>
          <w:sz w:val="24"/>
          <w:szCs w:val="24"/>
        </w:rPr>
        <w:t>。</w:t>
      </w:r>
      <w:r>
        <w:rPr>
          <w:rFonts w:hint="eastAsia" w:ascii="宋体" w:hAnsi="宋体" w:eastAsia="宋体" w:cs="宋体"/>
          <w:sz w:val="24"/>
          <w:szCs w:val="24"/>
        </w:rPr>
        <w:t>质保期内免费维修、免费更换零部件等服务内容：质保期内中标人负责维修的零件、材料、人工等所有费用；人为故意或重大过失或不可抗拒因素导致损坏的中标人有偿负责恢复。在质保期内免费维修，质保期外终生有偿（材料费、实际发生的差旅费、人工费）维修。若质保期届满后存在质保期内未解决的技术问题、未完成的任务，中标人应当按照合同约定继续履行至问题解决、任务完成为止。</w:t>
      </w:r>
    </w:p>
    <w:p w14:paraId="487F7D9F">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79C3DAEF">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（5）</w:t>
      </w:r>
      <w:r>
        <w:rPr>
          <w:rFonts w:hint="eastAsia" w:ascii="宋体" w:hAnsi="宋体" w:eastAsia="宋体" w:cs="宋体"/>
          <w:kern w:val="0"/>
          <w:sz w:val="24"/>
          <w:szCs w:val="24"/>
        </w:rPr>
        <w:t>签订合同后，</w:t>
      </w:r>
      <w:r>
        <w:rPr>
          <w:rFonts w:hint="eastAsia" w:ascii="宋体" w:hAnsi="宋体" w:eastAsia="宋体" w:cs="宋体"/>
          <w:color w:val="auto"/>
          <w:kern w:val="0"/>
          <w:sz w:val="24"/>
          <w:szCs w:val="24"/>
          <w:u w:val="single"/>
          <w:lang w:val="en-US" w:eastAsia="zh-CN"/>
        </w:rPr>
        <w:t>30</w:t>
      </w:r>
      <w:r>
        <w:rPr>
          <w:rFonts w:hint="eastAsia" w:ascii="宋体" w:hAnsi="宋体" w:eastAsia="宋体" w:cs="宋体"/>
          <w:kern w:val="0"/>
          <w:sz w:val="24"/>
          <w:szCs w:val="24"/>
        </w:rPr>
        <w:t>天内仪器设备安装调试结束并交付使用。</w:t>
      </w:r>
      <w:r>
        <w:rPr>
          <w:rFonts w:hint="eastAsia" w:ascii="宋体" w:hAnsi="宋体" w:eastAsia="宋体" w:cs="宋体"/>
          <w:kern w:val="0"/>
          <w:sz w:val="24"/>
          <w:szCs w:val="24"/>
          <w:lang w:eastAsia="zh-CN"/>
        </w:rPr>
        <w:t>竞标人</w:t>
      </w:r>
      <w:r>
        <w:rPr>
          <w:rFonts w:hint="eastAsia" w:ascii="宋体" w:hAnsi="宋体" w:eastAsia="宋体" w:cs="宋体"/>
          <w:kern w:val="0"/>
          <w:sz w:val="24"/>
          <w:szCs w:val="24"/>
        </w:rPr>
        <w:t>予以特别注意：如出现未能到期供货的情况，采购人有权单方终止合同的执行，所有的经济损失由逾期供货商单方承担。</w:t>
      </w:r>
    </w:p>
    <w:p w14:paraId="721B44C7">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交货地点为：</w:t>
      </w:r>
      <w:r>
        <w:rPr>
          <w:rFonts w:hint="eastAsia" w:ascii="宋体" w:hAnsi="宋体" w:eastAsia="宋体" w:cs="宋体"/>
          <w:kern w:val="0"/>
          <w:sz w:val="24"/>
          <w:szCs w:val="24"/>
          <w:highlight w:val="none"/>
        </w:rPr>
        <w:t xml:space="preserve">广西壮族自治区桂东人民医院   </w:t>
      </w:r>
      <w:r>
        <w:rPr>
          <w:rFonts w:hint="eastAsia" w:ascii="宋体" w:hAnsi="宋体" w:eastAsia="宋体" w:cs="宋体"/>
          <w:kern w:val="0"/>
          <w:sz w:val="24"/>
          <w:szCs w:val="24"/>
        </w:rPr>
        <w:t xml:space="preserve"> </w:t>
      </w:r>
    </w:p>
    <w:p w14:paraId="4CA93108">
      <w:pPr>
        <w:pStyle w:val="14"/>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（7）付款条件（进度和方式）：</w:t>
      </w:r>
    </w:p>
    <w:p w14:paraId="202C29F0">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kern w:val="0"/>
          <w:sz w:val="24"/>
          <w:szCs w:val="24"/>
        </w:rPr>
        <w:t>第一期：支付合同总金额的90%</w:t>
      </w:r>
      <w:r>
        <w:rPr>
          <w:rFonts w:hint="eastAsia" w:ascii="宋体" w:hAnsi="宋体" w:eastAsia="宋体" w:cs="宋体"/>
          <w:b w:val="0"/>
          <w:bCs w:val="0"/>
          <w:kern w:val="0"/>
          <w:sz w:val="24"/>
          <w:szCs w:val="24"/>
          <w:lang w:val="en-US" w:eastAsia="zh-CN"/>
        </w:rPr>
        <w:t>；</w:t>
      </w:r>
      <w:r>
        <w:rPr>
          <w:rFonts w:hint="eastAsia" w:ascii="宋体" w:hAnsi="宋体" w:eastAsia="宋体" w:cs="宋体"/>
          <w:b w:val="0"/>
          <w:bCs w:val="0"/>
          <w:color w:val="000000"/>
          <w:sz w:val="24"/>
          <w:szCs w:val="24"/>
        </w:rPr>
        <w:t>在安装调试并双方签署验收合格证后，采购人收到中标人的请款材料及发票10个工作日内，将款项支付到合同约定的中标方账户。</w:t>
      </w:r>
    </w:p>
    <w:p w14:paraId="13FE80BB">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第二期：</w:t>
      </w:r>
      <w:r>
        <w:rPr>
          <w:rFonts w:hint="eastAsia" w:ascii="宋体" w:hAnsi="宋体" w:eastAsia="宋体" w:cs="宋体"/>
          <w:b w:val="0"/>
          <w:bCs w:val="0"/>
          <w:color w:val="000000"/>
          <w:sz w:val="24"/>
          <w:szCs w:val="24"/>
        </w:rPr>
        <w:t>在验收合格第 12个月后，采购人收到中标人的请款材料及发票10个工作日内，将款项支付到合同约定的中标方账户</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eastAsia="zh-CN"/>
        </w:rPr>
        <w:t>以上</w:t>
      </w:r>
      <w:r>
        <w:rPr>
          <w:rFonts w:hint="eastAsia" w:ascii="宋体" w:hAnsi="宋体" w:eastAsia="宋体" w:cs="宋体"/>
          <w:b w:val="0"/>
          <w:bCs w:val="0"/>
          <w:kern w:val="0"/>
          <w:sz w:val="24"/>
          <w:szCs w:val="24"/>
        </w:rPr>
        <w:t>不计利息）。</w:t>
      </w:r>
    </w:p>
    <w:p w14:paraId="7933BD50">
      <w:pPr>
        <w:keepNext w:val="0"/>
        <w:keepLines w:val="0"/>
        <w:pageBreakBefore w:val="0"/>
        <w:widowControl/>
        <w:kinsoku/>
        <w:wordWrap/>
        <w:overflowPunct/>
        <w:topLinePunct w:val="0"/>
        <w:bidi w:val="0"/>
        <w:snapToGrid/>
        <w:spacing w:line="460" w:lineRule="exact"/>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如验收不合格以及发现伪劣产品等，</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将视情形采取退货、拒付款、终止合同、索赔等措施，直至通过有关部门，依法维权。</w:t>
      </w:r>
    </w:p>
    <w:p w14:paraId="38645EE4">
      <w:pPr>
        <w:keepNext w:val="0"/>
        <w:keepLines w:val="0"/>
        <w:pageBreakBefore w:val="0"/>
        <w:widowControl/>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、合同签订</w:t>
      </w:r>
    </w:p>
    <w:p w14:paraId="1D314BBB">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人和</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人应当自公示结束后</w:t>
      </w:r>
      <w:r>
        <w:rPr>
          <w:rFonts w:hint="eastAsia" w:ascii="宋体" w:hAnsi="宋体" w:eastAsia="宋体" w:cs="宋体"/>
          <w:color w:val="auto"/>
          <w:kern w:val="0"/>
          <w:sz w:val="24"/>
          <w:szCs w:val="24"/>
          <w:u w:val="single"/>
          <w:lang w:eastAsia="zh-CN"/>
        </w:rPr>
        <w:t>2</w:t>
      </w:r>
      <w:r>
        <w:rPr>
          <w:rFonts w:hint="eastAsia" w:ascii="宋体" w:hAnsi="宋体" w:eastAsia="宋体" w:cs="宋体"/>
          <w:color w:val="auto"/>
          <w:kern w:val="0"/>
          <w:sz w:val="24"/>
          <w:szCs w:val="24"/>
          <w:u w:val="single"/>
          <w:lang w:val="en-US" w:eastAsia="zh-CN"/>
        </w:rPr>
        <w:t>5</w:t>
      </w:r>
      <w:r>
        <w:rPr>
          <w:rFonts w:hint="eastAsia" w:ascii="宋体" w:hAnsi="宋体" w:eastAsia="宋体" w:cs="宋体"/>
          <w:kern w:val="0"/>
          <w:sz w:val="24"/>
          <w:szCs w:val="24"/>
          <w:lang w:val="en-US" w:eastAsia="zh-CN"/>
        </w:rPr>
        <w:t>日</w:t>
      </w:r>
      <w:r>
        <w:rPr>
          <w:rFonts w:hint="eastAsia" w:ascii="宋体" w:hAnsi="宋体" w:eastAsia="宋体" w:cs="宋体"/>
          <w:kern w:val="0"/>
          <w:sz w:val="24"/>
          <w:szCs w:val="24"/>
        </w:rPr>
        <w:t>内签订采购合同。</w:t>
      </w:r>
    </w:p>
    <w:p w14:paraId="5DF43006">
      <w:pPr>
        <w:keepNext w:val="0"/>
        <w:keepLines w:val="0"/>
        <w:pageBreakBefore w:val="0"/>
        <w:widowControl/>
        <w:numPr>
          <w:ilvl w:val="0"/>
          <w:numId w:val="0"/>
        </w:numPr>
        <w:kinsoku/>
        <w:wordWrap/>
        <w:overflowPunct/>
        <w:topLinePunct w:val="0"/>
        <w:bidi w:val="0"/>
        <w:snapToGrid/>
        <w:spacing w:line="460" w:lineRule="exact"/>
        <w:ind w:left="60" w:leftChars="0"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三、</w:t>
      </w:r>
      <w:r>
        <w:rPr>
          <w:rFonts w:hint="eastAsia" w:ascii="宋体" w:hAnsi="宋体" w:eastAsia="宋体" w:cs="宋体"/>
          <w:b/>
          <w:bCs/>
          <w:kern w:val="0"/>
          <w:sz w:val="24"/>
          <w:szCs w:val="24"/>
        </w:rPr>
        <w:t>其他</w:t>
      </w:r>
    </w:p>
    <w:p w14:paraId="796045FE">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供应商可选择单个分标或</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rPr>
        <w:t>个分标同时进行</w:t>
      </w:r>
      <w:r>
        <w:rPr>
          <w:rFonts w:hint="eastAsia" w:ascii="宋体" w:hAnsi="宋体" w:eastAsia="宋体" w:cs="宋体"/>
          <w:kern w:val="0"/>
          <w:sz w:val="24"/>
          <w:szCs w:val="24"/>
          <w:lang w:val="en-US" w:eastAsia="zh-CN"/>
        </w:rPr>
        <w:t>竞</w:t>
      </w:r>
      <w:r>
        <w:rPr>
          <w:rFonts w:hint="eastAsia" w:ascii="宋体" w:hAnsi="宋体" w:eastAsia="宋体" w:cs="宋体"/>
          <w:kern w:val="0"/>
          <w:sz w:val="24"/>
          <w:szCs w:val="24"/>
        </w:rPr>
        <w:t>标，供应商应对本项目以分标为单位的所有服务内容进行唯一完整投标报价。</w:t>
      </w:r>
    </w:p>
    <w:p w14:paraId="29499443">
      <w:pPr>
        <w:keepNext w:val="0"/>
        <w:keepLines w:val="0"/>
        <w:pageBreakBefore w:val="0"/>
        <w:widowControl/>
        <w:kinsoku/>
        <w:wordWrap/>
        <w:overflowPunct/>
        <w:topLinePunct w:val="0"/>
        <w:bidi w:val="0"/>
        <w:snapToGrid/>
        <w:spacing w:line="460" w:lineRule="exact"/>
        <w:ind w:left="0" w:leftChars="0"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、特别说明</w:t>
      </w:r>
    </w:p>
    <w:p w14:paraId="13B45921">
      <w:pPr>
        <w:keepNext w:val="0"/>
        <w:keepLines w:val="0"/>
        <w:pageBreakBefore w:val="0"/>
        <w:widowControl/>
        <w:kinsoku/>
        <w:wordWrap/>
        <w:overflowPunct/>
        <w:topLinePunct w:val="0"/>
        <w:bidi w:val="0"/>
        <w:snapToGrid/>
        <w:spacing w:line="46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竞争性谈判文件</w:t>
      </w:r>
      <w:r>
        <w:rPr>
          <w:rFonts w:hint="eastAsia" w:ascii="宋体" w:hAnsi="宋体" w:eastAsia="宋体" w:cs="宋体"/>
          <w:kern w:val="0"/>
          <w:sz w:val="24"/>
          <w:szCs w:val="24"/>
        </w:rPr>
        <w:t>中对部分采购设备技术参数要求不详细，请各</w:t>
      </w:r>
      <w:r>
        <w:rPr>
          <w:rFonts w:hint="eastAsia" w:ascii="宋体" w:hAnsi="宋体" w:eastAsia="宋体" w:cs="宋体"/>
          <w:kern w:val="0"/>
          <w:sz w:val="24"/>
          <w:szCs w:val="24"/>
          <w:lang w:eastAsia="zh-CN"/>
        </w:rPr>
        <w:t>竞标人</w:t>
      </w:r>
      <w:r>
        <w:rPr>
          <w:rFonts w:hint="eastAsia" w:ascii="宋体" w:hAnsi="宋体" w:eastAsia="宋体" w:cs="宋体"/>
          <w:kern w:val="0"/>
          <w:sz w:val="24"/>
          <w:szCs w:val="24"/>
        </w:rPr>
        <w:t>在投标时补充说明。如</w:t>
      </w:r>
      <w:r>
        <w:rPr>
          <w:rFonts w:hint="eastAsia" w:ascii="宋体" w:hAnsi="宋体" w:eastAsia="宋体" w:cs="宋体"/>
          <w:kern w:val="0"/>
          <w:sz w:val="24"/>
          <w:szCs w:val="24"/>
          <w:lang w:eastAsia="zh-CN"/>
        </w:rPr>
        <w:t xml:space="preserve">竞标人 </w:t>
      </w:r>
      <w:r>
        <w:rPr>
          <w:rFonts w:hint="eastAsia" w:ascii="宋体" w:hAnsi="宋体" w:eastAsia="宋体" w:cs="宋体"/>
          <w:kern w:val="0"/>
          <w:sz w:val="24"/>
          <w:szCs w:val="24"/>
        </w:rPr>
        <w:t>不作补充说明，广西壮族自治区桂东人民医院招标管理办公室将从有利于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的角度出发，认定其所报配置为可能存在情况的最高标准。</w:t>
      </w:r>
    </w:p>
    <w:p w14:paraId="6C272030">
      <w:pPr>
        <w:widowControl/>
        <w:jc w:val="center"/>
        <w:rPr>
          <w:b/>
          <w:bCs/>
          <w:kern w:val="0"/>
        </w:rPr>
      </w:pPr>
      <w:r>
        <w:rPr>
          <w:rFonts w:hint="eastAsia" w:cs="宋体"/>
          <w:b/>
          <w:bCs/>
          <w:kern w:val="0"/>
          <w:sz w:val="38"/>
          <w:szCs w:val="38"/>
        </w:rPr>
        <w:t>评标方法与评分标准</w:t>
      </w:r>
    </w:p>
    <w:p w14:paraId="01CAC10B">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2CA5B4DE">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询价 </w:t>
      </w:r>
      <w:r>
        <w:rPr>
          <w:rFonts w:hint="eastAsia" w:cs="宋体"/>
          <w:kern w:val="0"/>
          <w:sz w:val="24"/>
          <w:szCs w:val="24"/>
        </w:rPr>
        <w:t>确定中标候选人。</w:t>
      </w:r>
    </w:p>
    <w:p w14:paraId="17318D4C">
      <w:pPr>
        <w:pStyle w:val="2"/>
        <w:rPr>
          <w:rFonts w:hint="eastAsia"/>
        </w:rPr>
      </w:pPr>
    </w:p>
    <w:sectPr>
      <w:headerReference r:id="rId3" w:type="default"/>
      <w:footerReference r:id="rId4" w:type="default"/>
      <w:pgSz w:w="11906" w:h="16838"/>
      <w:pgMar w:top="1440" w:right="1800"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AD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CCA8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CCCA8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338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2509"/>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675EC4"/>
    <w:rsid w:val="03B56736"/>
    <w:rsid w:val="03D8291E"/>
    <w:rsid w:val="04AB3B8E"/>
    <w:rsid w:val="04CC1D57"/>
    <w:rsid w:val="04D60F6D"/>
    <w:rsid w:val="04EF3743"/>
    <w:rsid w:val="052C5176"/>
    <w:rsid w:val="06B86A37"/>
    <w:rsid w:val="076C2F7E"/>
    <w:rsid w:val="077F1D90"/>
    <w:rsid w:val="079A08EA"/>
    <w:rsid w:val="0A795D65"/>
    <w:rsid w:val="0BE43E2A"/>
    <w:rsid w:val="0C755F49"/>
    <w:rsid w:val="0CC05EEA"/>
    <w:rsid w:val="0E6A2D0C"/>
    <w:rsid w:val="0F902CCD"/>
    <w:rsid w:val="0FC14BAE"/>
    <w:rsid w:val="10C97A40"/>
    <w:rsid w:val="122B15C9"/>
    <w:rsid w:val="12A05ABE"/>
    <w:rsid w:val="12C97D37"/>
    <w:rsid w:val="12EB3CF0"/>
    <w:rsid w:val="144533BC"/>
    <w:rsid w:val="166F4544"/>
    <w:rsid w:val="167454D7"/>
    <w:rsid w:val="16BE59A3"/>
    <w:rsid w:val="18D56FD4"/>
    <w:rsid w:val="19622F5E"/>
    <w:rsid w:val="19D15A86"/>
    <w:rsid w:val="1AC56B29"/>
    <w:rsid w:val="1B252495"/>
    <w:rsid w:val="1CDD0B4D"/>
    <w:rsid w:val="1D9376EB"/>
    <w:rsid w:val="1F3F5AEF"/>
    <w:rsid w:val="1F9E1039"/>
    <w:rsid w:val="1FC55FF4"/>
    <w:rsid w:val="2040567B"/>
    <w:rsid w:val="214B2529"/>
    <w:rsid w:val="21557A06"/>
    <w:rsid w:val="21B710F4"/>
    <w:rsid w:val="2218153E"/>
    <w:rsid w:val="2554310B"/>
    <w:rsid w:val="25732682"/>
    <w:rsid w:val="25773183"/>
    <w:rsid w:val="26431704"/>
    <w:rsid w:val="26CD4569"/>
    <w:rsid w:val="27BF157B"/>
    <w:rsid w:val="27D01D3D"/>
    <w:rsid w:val="28110468"/>
    <w:rsid w:val="284B72B3"/>
    <w:rsid w:val="284D302B"/>
    <w:rsid w:val="28D64DCE"/>
    <w:rsid w:val="293A4A87"/>
    <w:rsid w:val="29461546"/>
    <w:rsid w:val="295061F9"/>
    <w:rsid w:val="2CA70AD9"/>
    <w:rsid w:val="2E44559E"/>
    <w:rsid w:val="2E534ACF"/>
    <w:rsid w:val="30935850"/>
    <w:rsid w:val="311834AF"/>
    <w:rsid w:val="318469E5"/>
    <w:rsid w:val="3194337D"/>
    <w:rsid w:val="338729B4"/>
    <w:rsid w:val="3460122F"/>
    <w:rsid w:val="347E631A"/>
    <w:rsid w:val="35337105"/>
    <w:rsid w:val="35B91D00"/>
    <w:rsid w:val="36160F00"/>
    <w:rsid w:val="36581519"/>
    <w:rsid w:val="3684230E"/>
    <w:rsid w:val="36F748BD"/>
    <w:rsid w:val="37296A11"/>
    <w:rsid w:val="372A1E73"/>
    <w:rsid w:val="3737378F"/>
    <w:rsid w:val="37AD13F0"/>
    <w:rsid w:val="3806606D"/>
    <w:rsid w:val="397701BE"/>
    <w:rsid w:val="3B0774FE"/>
    <w:rsid w:val="3B546CEC"/>
    <w:rsid w:val="3C536A3E"/>
    <w:rsid w:val="3C920BB5"/>
    <w:rsid w:val="3D9F0CFD"/>
    <w:rsid w:val="3E3C34CE"/>
    <w:rsid w:val="3F43263A"/>
    <w:rsid w:val="3F8769CB"/>
    <w:rsid w:val="40055B41"/>
    <w:rsid w:val="40AE0DB3"/>
    <w:rsid w:val="41366ED0"/>
    <w:rsid w:val="4174214E"/>
    <w:rsid w:val="419A0B8C"/>
    <w:rsid w:val="443859E1"/>
    <w:rsid w:val="462C5579"/>
    <w:rsid w:val="475278BE"/>
    <w:rsid w:val="480E5EDB"/>
    <w:rsid w:val="482D3E87"/>
    <w:rsid w:val="4876582E"/>
    <w:rsid w:val="48D85C25"/>
    <w:rsid w:val="49A62143"/>
    <w:rsid w:val="49BC1967"/>
    <w:rsid w:val="4B753505"/>
    <w:rsid w:val="4C1C5576"/>
    <w:rsid w:val="4C675BBA"/>
    <w:rsid w:val="4CBE11B0"/>
    <w:rsid w:val="4D442BFB"/>
    <w:rsid w:val="4D781BD4"/>
    <w:rsid w:val="4DA009DA"/>
    <w:rsid w:val="4DA97E72"/>
    <w:rsid w:val="4DB9683E"/>
    <w:rsid w:val="50502E0F"/>
    <w:rsid w:val="505226DD"/>
    <w:rsid w:val="50D650BC"/>
    <w:rsid w:val="51794369"/>
    <w:rsid w:val="51B2246F"/>
    <w:rsid w:val="51E7154B"/>
    <w:rsid w:val="5244074B"/>
    <w:rsid w:val="532C190B"/>
    <w:rsid w:val="53764710"/>
    <w:rsid w:val="539906F6"/>
    <w:rsid w:val="55D43B94"/>
    <w:rsid w:val="57B95737"/>
    <w:rsid w:val="58382E23"/>
    <w:rsid w:val="586631C9"/>
    <w:rsid w:val="586F6884"/>
    <w:rsid w:val="589150FF"/>
    <w:rsid w:val="59D2668C"/>
    <w:rsid w:val="5A2701FB"/>
    <w:rsid w:val="5A643739"/>
    <w:rsid w:val="5BAF4E87"/>
    <w:rsid w:val="5C1F025F"/>
    <w:rsid w:val="5D1A4465"/>
    <w:rsid w:val="5E8C5954"/>
    <w:rsid w:val="5F546472"/>
    <w:rsid w:val="5F96537D"/>
    <w:rsid w:val="5FFD63C3"/>
    <w:rsid w:val="60187E0A"/>
    <w:rsid w:val="609B59DA"/>
    <w:rsid w:val="621041A6"/>
    <w:rsid w:val="63367C3C"/>
    <w:rsid w:val="64472F94"/>
    <w:rsid w:val="64E41E18"/>
    <w:rsid w:val="64EC4A56"/>
    <w:rsid w:val="65706B30"/>
    <w:rsid w:val="67A535E2"/>
    <w:rsid w:val="67EF0C5A"/>
    <w:rsid w:val="69531548"/>
    <w:rsid w:val="69C86AD4"/>
    <w:rsid w:val="69DA4731"/>
    <w:rsid w:val="6A513DD5"/>
    <w:rsid w:val="6B96396E"/>
    <w:rsid w:val="6BF540D9"/>
    <w:rsid w:val="6C2C6080"/>
    <w:rsid w:val="6C496C32"/>
    <w:rsid w:val="6C4B4758"/>
    <w:rsid w:val="6DD0797D"/>
    <w:rsid w:val="6DDB1B0C"/>
    <w:rsid w:val="6E1A0EFE"/>
    <w:rsid w:val="6F5778B8"/>
    <w:rsid w:val="70473489"/>
    <w:rsid w:val="707A0DD5"/>
    <w:rsid w:val="71257C6E"/>
    <w:rsid w:val="71600CA6"/>
    <w:rsid w:val="71754026"/>
    <w:rsid w:val="73AA445A"/>
    <w:rsid w:val="74314E96"/>
    <w:rsid w:val="74AA048A"/>
    <w:rsid w:val="74B5471E"/>
    <w:rsid w:val="74FB2A94"/>
    <w:rsid w:val="75422A7C"/>
    <w:rsid w:val="77B21B30"/>
    <w:rsid w:val="77D9530E"/>
    <w:rsid w:val="77E41C8F"/>
    <w:rsid w:val="77FF632E"/>
    <w:rsid w:val="78210A63"/>
    <w:rsid w:val="79E81839"/>
    <w:rsid w:val="79E87A8A"/>
    <w:rsid w:val="7B036868"/>
    <w:rsid w:val="7BDC53CD"/>
    <w:rsid w:val="7C1726A4"/>
    <w:rsid w:val="7C4116D4"/>
    <w:rsid w:val="7CA915F3"/>
    <w:rsid w:val="7CBA5FD5"/>
    <w:rsid w:val="7D6F2271"/>
    <w:rsid w:val="7D787377"/>
    <w:rsid w:val="7D8D1A62"/>
    <w:rsid w:val="7E355268"/>
    <w:rsid w:val="7E411335"/>
    <w:rsid w:val="7EE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spacing w:after="120"/>
    </w:pPr>
  </w:style>
  <w:style w:type="paragraph" w:styleId="4">
    <w:name w:val="annotation text"/>
    <w:basedOn w:val="1"/>
    <w:link w:val="16"/>
    <w:qFormat/>
    <w:uiPriority w:val="99"/>
    <w:pPr>
      <w:jc w:val="left"/>
    </w:pPr>
  </w:style>
  <w:style w:type="paragraph" w:styleId="5">
    <w:name w:val="Plain Text"/>
    <w:basedOn w:val="1"/>
    <w:link w:val="18"/>
    <w:qFormat/>
    <w:uiPriority w:val="99"/>
    <w:rPr>
      <w:rFonts w:ascii="宋体" w:hAnsi="Courier New"/>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4"/>
    <w:next w:val="4"/>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字符1"/>
    <w:link w:val="4"/>
    <w:semiHidden/>
    <w:qFormat/>
    <w:uiPriority w:val="99"/>
    <w:rPr>
      <w:rFonts w:ascii="Times New Roman" w:hAnsi="Times New Roman" w:eastAsia="宋体" w:cs="Times New Roman"/>
      <w:szCs w:val="21"/>
    </w:rPr>
  </w:style>
  <w:style w:type="character" w:customStyle="1" w:styleId="17">
    <w:name w:val="批注主题 字符"/>
    <w:basedOn w:val="16"/>
    <w:link w:val="9"/>
    <w:semiHidden/>
    <w:qFormat/>
    <w:uiPriority w:val="99"/>
    <w:rPr>
      <w:rFonts w:ascii="Times New Roman" w:hAnsi="Times New Roman" w:eastAsia="宋体" w:cs="Times New Roman"/>
      <w:b/>
      <w:bCs/>
      <w:szCs w:val="21"/>
    </w:rPr>
  </w:style>
  <w:style w:type="character" w:customStyle="1" w:styleId="18">
    <w:name w:val="纯文本 字符"/>
    <w:basedOn w:val="12"/>
    <w:link w:val="5"/>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2"/>
    <w:link w:val="7"/>
    <w:qFormat/>
    <w:uiPriority w:val="99"/>
    <w:rPr>
      <w:rFonts w:ascii="Times New Roman" w:hAnsi="Times New Roman" w:eastAsia="宋体" w:cs="Times New Roman"/>
      <w:sz w:val="18"/>
      <w:szCs w:val="18"/>
    </w:rPr>
  </w:style>
  <w:style w:type="character" w:customStyle="1" w:styleId="22">
    <w:name w:val="页脚 字符"/>
    <w:basedOn w:val="12"/>
    <w:link w:val="6"/>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font21"/>
    <w:basedOn w:val="12"/>
    <w:qFormat/>
    <w:uiPriority w:val="0"/>
    <w:rPr>
      <w:rFonts w:hint="default" w:ascii="Calibri" w:hAnsi="Calibri" w:cs="Calibri"/>
      <w:color w:val="000000"/>
      <w:sz w:val="24"/>
      <w:szCs w:val="24"/>
      <w:u w:val="none"/>
    </w:rPr>
  </w:style>
  <w:style w:type="character" w:customStyle="1" w:styleId="26">
    <w:name w:val="font41"/>
    <w:basedOn w:val="12"/>
    <w:qFormat/>
    <w:uiPriority w:val="0"/>
    <w:rPr>
      <w:rFonts w:ascii="宋体-简" w:hAnsi="宋体-简" w:eastAsia="宋体-简" w:cs="宋体-简"/>
      <w:color w:val="000000"/>
      <w:sz w:val="24"/>
      <w:szCs w:val="24"/>
      <w:u w:val="none"/>
    </w:rPr>
  </w:style>
  <w:style w:type="character" w:customStyle="1" w:styleId="27">
    <w:name w:val="font51"/>
    <w:basedOn w:val="12"/>
    <w:qFormat/>
    <w:uiPriority w:val="0"/>
    <w:rPr>
      <w:rFonts w:hint="default" w:ascii="宋体-简" w:hAnsi="宋体-简" w:eastAsia="宋体-简" w:cs="宋体-简"/>
      <w:color w:val="000000"/>
      <w:sz w:val="24"/>
      <w:szCs w:val="24"/>
      <w:u w:val="none"/>
    </w:rPr>
  </w:style>
  <w:style w:type="character" w:customStyle="1" w:styleId="28">
    <w:name w:val="font11"/>
    <w:basedOn w:val="12"/>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3733</Words>
  <Characters>3951</Characters>
  <Lines>26</Lines>
  <Paragraphs>7</Paragraphs>
  <TotalTime>0</TotalTime>
  <ScaleCrop>false</ScaleCrop>
  <LinksUpToDate>false</LinksUpToDate>
  <CharactersWithSpaces>4005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2025-11-18T08:51:04Z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B1C8ADB6A08C49D88EF48001F8D355A1_13</vt:lpwstr>
  </property>
  <property fmtid="{D5CDD505-2E9C-101B-9397-08002B2CF9AE}" pid="4" name="KSOTemplateDocerSaveRecord">
    <vt:lpwstr>eyJoZGlkIjoiYmIzOTBlNTU2NGZiNjNmMTk2MTU3MmYyODNjZjEwOTgiLCJ1c2VySWQiOiI0MzU5NDIxNTAifQ==</vt:lpwstr>
  </property>
</Properties>
</file>