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3CF75">
      <w:pPr>
        <w:widowControl/>
        <w:numPr>
          <w:ilvl w:val="0"/>
          <w:numId w:val="0"/>
        </w:numPr>
        <w:jc w:val="center"/>
        <w:rPr>
          <w:rFonts w:hint="eastAsia" w:ascii="Times New Roman" w:hAnsi="Times New Roman" w:eastAsia="宋体" w:cs="Times New Roman"/>
          <w:color w:val="auto"/>
          <w:lang w:val="en-US" w:eastAsia="zh-CN"/>
        </w:rPr>
      </w:pPr>
      <w:r>
        <w:rPr>
          <w:rFonts w:hint="eastAsia" w:cs="宋体"/>
          <w:b/>
          <w:bCs/>
          <w:kern w:val="0"/>
          <w:sz w:val="38"/>
          <w:szCs w:val="38"/>
        </w:rPr>
        <w:t>项目需求和质量标准</w:t>
      </w:r>
    </w:p>
    <w:p w14:paraId="12F560FB">
      <w:pPr>
        <w:pStyle w:val="12"/>
        <w:spacing w:line="240" w:lineRule="auto"/>
        <w:ind w:left="-708" w:leftChars="-337" w:firstLine="482" w:firstLineChars="200"/>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 xml:space="preserve">（一）采购要求   </w:t>
      </w:r>
    </w:p>
    <w:p w14:paraId="5A3C3E1C">
      <w:pPr>
        <w:pStyle w:val="12"/>
        <w:ind w:left="-708" w:leftChars="-337" w:firstLine="720" w:firstLineChars="3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 生物显微镜 1台（包含显微镜主机 、荧光附件 、荧光摄像头）。</w:t>
      </w:r>
    </w:p>
    <w:p w14:paraId="271E2E58">
      <w:pPr>
        <w:pStyle w:val="12"/>
        <w:spacing w:line="240" w:lineRule="auto"/>
        <w:ind w:left="-708" w:leftChars="-337" w:firstLine="482" w:firstLineChars="200"/>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 xml:space="preserve">（二）技术规格参数 </w:t>
      </w:r>
    </w:p>
    <w:p w14:paraId="63B7A7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1、目镜：大视野 WF10X,FN:20mm，2个</w:t>
      </w:r>
    </w:p>
    <w:p w14:paraId="506BD2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2、物镜：</w:t>
      </w:r>
    </w:p>
    <w:p w14:paraId="221948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2.1无限远平场消色差 4X/0.10</w:t>
      </w:r>
    </w:p>
    <w:p w14:paraId="03D825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2.2无限远平场消色差 10X/0.25</w:t>
      </w:r>
    </w:p>
    <w:p w14:paraId="22DCC0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2.3无限远平场消色差 40X/0.65</w:t>
      </w:r>
    </w:p>
    <w:p w14:paraId="3766F2D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2.4无限远平场消色差 100X/1.25</w:t>
      </w:r>
    </w:p>
    <w:p w14:paraId="4521EA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3、目镜筒:三目镜 倾斜30度, 瞳间距：48-75mm</w:t>
      </w:r>
    </w:p>
    <w:p w14:paraId="7D8EF3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4、调焦机构：粗微动同轴调焦,带锁紧和限位装置,微动格值:2µm.</w:t>
      </w:r>
    </w:p>
    <w:p w14:paraId="510F56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5、物镜转换器：四孔转换器</w:t>
      </w:r>
    </w:p>
    <w:p w14:paraId="46399F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6、载物台：双层机械移动式(尺寸:175mmX145mm,移动范围: 75mmX50mm)</w:t>
      </w:r>
    </w:p>
    <w:p w14:paraId="562C7E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7、荧光模组：3W LED激发光源 紫外（UV） EF 330-380nm；BF420nm</w:t>
      </w:r>
    </w:p>
    <w:p w14:paraId="0679ED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8、CCD接口：0.5XC型接口，连接显微镜摄像头</w:t>
      </w:r>
    </w:p>
    <w:p w14:paraId="567D18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bidi="ar-SA"/>
        </w:rPr>
        <w:t>9</w:t>
      </w:r>
      <w:r>
        <w:rPr>
          <w:rFonts w:hint="eastAsia" w:ascii="Times New Roman" w:hAnsi="Times New Roman" w:eastAsia="宋体" w:cs="Times New Roman"/>
          <w:color w:val="auto"/>
          <w:kern w:val="0"/>
          <w:sz w:val="24"/>
          <w:szCs w:val="24"/>
          <w:lang w:val="en-US" w:eastAsia="zh-CN" w:bidi="ar-SA"/>
        </w:rPr>
        <w:t>、显微镜摄像头：有效像素≥600W、USB3.0输出</w:t>
      </w:r>
    </w:p>
    <w:p w14:paraId="147D56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w:t>
      </w:r>
      <w:r>
        <w:rPr>
          <w:rFonts w:hint="eastAsia" w:cs="Times New Roman"/>
          <w:color w:val="auto"/>
          <w:kern w:val="0"/>
          <w:sz w:val="24"/>
          <w:szCs w:val="24"/>
          <w:lang w:val="en-US" w:eastAsia="zh-CN" w:bidi="ar-SA"/>
        </w:rPr>
        <w:t>0</w:t>
      </w:r>
      <w:r>
        <w:rPr>
          <w:rFonts w:hint="eastAsia" w:ascii="Times New Roman" w:hAnsi="Times New Roman" w:eastAsia="宋体" w:cs="Times New Roman"/>
          <w:color w:val="auto"/>
          <w:kern w:val="0"/>
          <w:sz w:val="24"/>
          <w:szCs w:val="24"/>
          <w:lang w:val="en-US" w:eastAsia="zh-CN" w:bidi="ar-SA"/>
        </w:rPr>
        <w:t>、系统支持 ：Windows10、Windows11操作系统</w:t>
      </w:r>
    </w:p>
    <w:p w14:paraId="016B70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w:t>
      </w:r>
      <w:r>
        <w:rPr>
          <w:rFonts w:hint="eastAsia" w:cs="Times New Roman"/>
          <w:color w:val="auto"/>
          <w:kern w:val="0"/>
          <w:sz w:val="24"/>
          <w:szCs w:val="24"/>
          <w:lang w:val="en-US" w:eastAsia="zh-CN" w:bidi="ar-SA"/>
        </w:rPr>
        <w:t>1</w:t>
      </w:r>
      <w:r>
        <w:rPr>
          <w:rFonts w:hint="eastAsia" w:ascii="Times New Roman" w:hAnsi="Times New Roman" w:eastAsia="宋体" w:cs="Times New Roman"/>
          <w:color w:val="auto"/>
          <w:kern w:val="0"/>
          <w:sz w:val="24"/>
          <w:szCs w:val="24"/>
          <w:lang w:val="en-US" w:eastAsia="zh-CN" w:bidi="ar-SA"/>
        </w:rPr>
        <w:t>、含图文报告系统</w:t>
      </w:r>
    </w:p>
    <w:p w14:paraId="5C65DC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w:t>
      </w:r>
      <w:r>
        <w:rPr>
          <w:rFonts w:hint="eastAsia" w:cs="Times New Roman"/>
          <w:color w:val="auto"/>
          <w:kern w:val="0"/>
          <w:sz w:val="24"/>
          <w:szCs w:val="24"/>
          <w:lang w:val="en-US" w:eastAsia="zh-CN" w:bidi="ar-SA"/>
        </w:rPr>
        <w:t>2</w:t>
      </w:r>
      <w:r>
        <w:rPr>
          <w:rFonts w:hint="eastAsia" w:ascii="Times New Roman" w:hAnsi="Times New Roman" w:eastAsia="宋体" w:cs="Times New Roman"/>
          <w:color w:val="auto"/>
          <w:kern w:val="0"/>
          <w:sz w:val="24"/>
          <w:szCs w:val="24"/>
          <w:lang w:val="en-US" w:eastAsia="zh-CN" w:bidi="ar-SA"/>
        </w:rPr>
        <w:t>、提供配套试剂最低价格。</w:t>
      </w:r>
    </w:p>
    <w:p w14:paraId="031AB961">
      <w:pPr>
        <w:pStyle w:val="12"/>
        <w:spacing w:line="240" w:lineRule="auto"/>
        <w:ind w:left="-708" w:leftChars="-337" w:firstLine="482" w:firstLineChars="200"/>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（三）项目产品基本要求</w:t>
      </w:r>
    </w:p>
    <w:p w14:paraId="7F9E0445">
      <w:pPr>
        <w:pStyle w:val="12"/>
        <w:ind w:left="-708" w:leftChars="-337" w:firstLine="480" w:firstLineChars="200"/>
        <w:rPr>
          <w:color w:val="auto"/>
        </w:rPr>
      </w:pPr>
      <w:r>
        <w:rPr>
          <w:rFonts w:hint="eastAsia"/>
          <w:color w:val="auto"/>
        </w:rPr>
        <w:t>1、以上产品必须是具备合法资质的制造商生产的</w:t>
      </w:r>
      <w:r>
        <w:rPr>
          <w:rFonts w:hint="eastAsia"/>
          <w:b/>
          <w:bCs/>
          <w:color w:val="auto"/>
        </w:rPr>
        <w:t>全新正品</w:t>
      </w:r>
      <w:r>
        <w:rPr>
          <w:rFonts w:hint="eastAsia"/>
          <w:color w:val="auto"/>
        </w:rPr>
        <w:t>，</w:t>
      </w:r>
      <w:r>
        <w:rPr>
          <w:rFonts w:hint="eastAsia"/>
          <w:b/>
          <w:bCs/>
          <w:color w:val="auto"/>
          <w:lang w:eastAsia="zh-CN"/>
        </w:rPr>
        <w:t>近半年生产</w:t>
      </w:r>
      <w:r>
        <w:rPr>
          <w:rFonts w:hint="eastAsia"/>
          <w:color w:val="auto"/>
          <w:lang w:eastAsia="zh-CN"/>
        </w:rPr>
        <w:t>，</w:t>
      </w:r>
      <w:r>
        <w:rPr>
          <w:rFonts w:hint="eastAsia"/>
          <w:color w:val="auto"/>
        </w:rPr>
        <w:t>并满足招标采购文件的要求，若产品在运输或安装过程中损坏或擦伤须无偿调换相同产品。</w:t>
      </w:r>
    </w:p>
    <w:p w14:paraId="724C088B">
      <w:pPr>
        <w:pStyle w:val="12"/>
        <w:ind w:left="-708" w:leftChars="-337" w:firstLine="480" w:firstLineChars="200"/>
        <w:rPr>
          <w:color w:val="auto"/>
        </w:rPr>
      </w:pPr>
      <w:r>
        <w:rPr>
          <w:rFonts w:hint="eastAsia"/>
          <w:color w:val="auto"/>
        </w:rPr>
        <w:t>2、投标人所投产品参数应同等或优于以上各项参数要求，产品、辅材及生产工艺符合国家相关规范。</w:t>
      </w:r>
    </w:p>
    <w:p w14:paraId="62ED69AC">
      <w:pPr>
        <w:pStyle w:val="12"/>
        <w:ind w:left="-708" w:leftChars="-337" w:firstLine="480" w:firstLineChars="200"/>
        <w:rPr>
          <w:color w:val="auto"/>
        </w:rPr>
      </w:pPr>
      <w:r>
        <w:rPr>
          <w:rFonts w:hint="eastAsia"/>
          <w:color w:val="auto"/>
        </w:rPr>
        <w:t>3、投标人应保证所提供的货物或其任何一部分均不会侵犯任何第三方的专利权、商标权等，如在使用过程中出现的一切经济和法律责任均由投标人负责。</w:t>
      </w:r>
    </w:p>
    <w:p w14:paraId="6C89FF25">
      <w:pPr>
        <w:pStyle w:val="12"/>
        <w:ind w:left="-708" w:leftChars="-337" w:firstLine="480" w:firstLineChars="200"/>
        <w:rPr>
          <w:color w:val="auto"/>
        </w:rPr>
      </w:pPr>
      <w:r>
        <w:rPr>
          <w:rFonts w:hint="eastAsia"/>
          <w:color w:val="auto"/>
        </w:rPr>
        <w:t>4、投标总价必须包含货物及货物运抵指定交货地点的各种费用和安装调校、售后服务、税金、验收检验及其它所有费用的总和，如另有要求请在投标文件中注明。</w:t>
      </w:r>
    </w:p>
    <w:p w14:paraId="544401A4">
      <w:pPr>
        <w:pStyle w:val="12"/>
        <w:ind w:left="-708" w:leftChars="-337" w:firstLine="480" w:firstLineChars="200"/>
        <w:rPr>
          <w:rFonts w:hint="eastAsia"/>
          <w:color w:val="auto"/>
        </w:rPr>
      </w:pPr>
      <w:r>
        <w:rPr>
          <w:rFonts w:hint="eastAsia"/>
          <w:color w:val="auto"/>
        </w:rPr>
        <w:t>5、</w:t>
      </w:r>
      <w:r>
        <w:rPr>
          <w:rFonts w:hint="eastAsia"/>
          <w:color w:val="auto"/>
          <w:lang w:val="en-US" w:eastAsia="zh-CN"/>
        </w:rPr>
        <w:t>投标</w:t>
      </w:r>
      <w:r>
        <w:rPr>
          <w:rFonts w:hint="eastAsia"/>
        </w:rPr>
        <w:t>人在竞价文件中必须提交设备配置清单，如设备有配套耗材及定期更换的配件请投标时与设备一起报价</w:t>
      </w:r>
      <w:r>
        <w:rPr>
          <w:rFonts w:hint="eastAsia"/>
          <w:color w:val="auto"/>
        </w:rPr>
        <w:t>。</w:t>
      </w:r>
    </w:p>
    <w:p w14:paraId="08DCA6C9">
      <w:pPr>
        <w:pStyle w:val="12"/>
        <w:ind w:left="-708" w:leftChars="-337" w:firstLine="480" w:firstLineChars="200"/>
        <w:rPr>
          <w:rFonts w:hint="eastAsia"/>
          <w:color w:val="auto"/>
        </w:rPr>
      </w:pPr>
      <w:r>
        <w:rPr>
          <w:rFonts w:hint="eastAsia"/>
          <w:color w:val="auto"/>
          <w:lang w:val="en-US" w:eastAsia="zh-CN"/>
        </w:rPr>
        <w:t>6、投标人所投产品必须</w:t>
      </w:r>
      <w:r>
        <w:rPr>
          <w:rFonts w:hint="eastAsia"/>
          <w:color w:val="auto"/>
        </w:rPr>
        <w:t>提供产品“三包”服务；定期安排相关人员回访进行质量跟踪；保证提供临床应用和售后技术服务支持方式；</w:t>
      </w:r>
      <w:r>
        <w:rPr>
          <w:rFonts w:hint="eastAsia"/>
          <w:color w:val="auto"/>
          <w:highlight w:val="yellow"/>
        </w:rPr>
        <w:t>保修期后提供终身维修服务及配件供应</w:t>
      </w:r>
      <w:r>
        <w:rPr>
          <w:rFonts w:hint="eastAsia"/>
          <w:color w:val="auto"/>
        </w:rPr>
        <w:t>；其他售后服务按厂家承诺实行。</w:t>
      </w:r>
    </w:p>
    <w:p w14:paraId="09AB4046">
      <w:pPr>
        <w:pStyle w:val="12"/>
        <w:ind w:left="-708" w:leftChars="-337" w:firstLine="482" w:firstLineChars="200"/>
        <w:rPr>
          <w:rFonts w:hint="eastAsia" w:cs="宋体"/>
          <w:b/>
          <w:bCs/>
        </w:rPr>
      </w:pPr>
      <w:r>
        <w:rPr>
          <w:rFonts w:hint="eastAsia" w:cs="宋体"/>
          <w:b/>
          <w:bCs/>
        </w:rPr>
        <w:t>（四）商务要求</w:t>
      </w:r>
    </w:p>
    <w:p w14:paraId="6B26C896">
      <w:pPr>
        <w:pStyle w:val="12"/>
        <w:ind w:left="-708" w:leftChars="-337" w:firstLine="241" w:firstLineChars="100"/>
        <w:rPr>
          <w:rFonts w:hint="default" w:eastAsia="宋体" w:cs="宋体"/>
          <w:b w:val="0"/>
          <w:bCs w:val="0"/>
          <w:lang w:val="en-US" w:eastAsia="zh-CN"/>
        </w:rPr>
      </w:pPr>
      <w:r>
        <w:rPr>
          <w:rFonts w:hint="eastAsia" w:cs="宋体"/>
          <w:b/>
          <w:bCs/>
          <w:lang w:val="en-US" w:eastAsia="zh-CN"/>
        </w:rPr>
        <w:t>1、投标人资格要求</w:t>
      </w:r>
    </w:p>
    <w:p w14:paraId="4EEB128D">
      <w:pPr>
        <w:pStyle w:val="12"/>
        <w:ind w:left="-708" w:leftChars="-337" w:firstLine="480" w:firstLineChars="200"/>
        <w:rPr>
          <w:rFonts w:cs="宋体"/>
        </w:rPr>
      </w:pPr>
      <w:r>
        <w:rPr>
          <w:rFonts w:hint="eastAsia" w:cs="宋体"/>
        </w:rPr>
        <w:t>1</w:t>
      </w:r>
      <w:r>
        <w:rPr>
          <w:rFonts w:hint="eastAsia" w:cs="宋体"/>
          <w:lang w:eastAsia="zh-CN"/>
        </w:rPr>
        <w:t>）</w:t>
      </w:r>
      <w:r>
        <w:rPr>
          <w:rFonts w:hint="eastAsia" w:cs="宋体"/>
        </w:rPr>
        <w:t>投标人为独立法人，并具备统一社会信用代码。</w:t>
      </w:r>
    </w:p>
    <w:p w14:paraId="5E38F82D">
      <w:pPr>
        <w:pStyle w:val="12"/>
        <w:ind w:left="-708" w:leftChars="-337" w:firstLine="480" w:firstLineChars="200"/>
        <w:rPr>
          <w:rFonts w:cs="宋体"/>
        </w:rPr>
      </w:pPr>
      <w:r>
        <w:rPr>
          <w:rFonts w:hint="eastAsia" w:cs="宋体"/>
        </w:rPr>
        <w:t>2</w:t>
      </w:r>
      <w:r>
        <w:rPr>
          <w:rFonts w:hint="eastAsia" w:cs="宋体"/>
          <w:lang w:eastAsia="zh-CN"/>
        </w:rPr>
        <w:t>）</w:t>
      </w:r>
      <w:r>
        <w:rPr>
          <w:rFonts w:hint="eastAsia" w:cs="宋体"/>
        </w:rPr>
        <w:t>被列入失信被执行人、重大税收违法案件当事人名单、政府采购严重违法失信行为记录名单及其他不符合《中华人民共和国政府采购法》第二十二条规定条件的供应商，将被拒绝其参与本次招投标活动。（在“信用中国”网站（www.creditchina.gov.cn）或“中国政府采购网”（www.ccgp.gov.cn）查询相关供应商主体信用记录。）</w:t>
      </w:r>
    </w:p>
    <w:p w14:paraId="0ED2B9C1">
      <w:pPr>
        <w:pStyle w:val="12"/>
        <w:ind w:left="-708" w:leftChars="-337" w:firstLine="480" w:firstLineChars="200"/>
        <w:rPr>
          <w:rFonts w:hint="eastAsia" w:cs="宋体"/>
        </w:rPr>
      </w:pPr>
      <w:r>
        <w:rPr>
          <w:rFonts w:hint="eastAsia" w:cs="宋体"/>
        </w:rPr>
        <w:t>3</w:t>
      </w:r>
      <w:r>
        <w:rPr>
          <w:rFonts w:hint="eastAsia" w:cs="宋体"/>
          <w:lang w:eastAsia="zh-CN"/>
        </w:rPr>
        <w:t>）</w:t>
      </w:r>
      <w:r>
        <w:rPr>
          <w:rFonts w:hint="eastAsia" w:cs="宋体"/>
        </w:rPr>
        <w:t>被列入我院投标人黑名单（在我院招投标活动中存在2次违规行为）未满3年的投标人将被拒绝其参与本次招投标活动。</w:t>
      </w:r>
    </w:p>
    <w:p w14:paraId="0F6BFE13">
      <w:pPr>
        <w:pStyle w:val="12"/>
        <w:ind w:left="-708" w:leftChars="-337" w:firstLine="480" w:firstLineChars="200"/>
        <w:rPr>
          <w:rFonts w:hint="eastAsia" w:cs="宋体"/>
          <w:color w:val="auto"/>
        </w:rPr>
      </w:pPr>
      <w:r>
        <w:rPr>
          <w:rFonts w:hint="eastAsia" w:cs="宋体"/>
          <w:lang w:val="en-US" w:eastAsia="zh-CN"/>
        </w:rPr>
        <w:t>4）</w:t>
      </w:r>
      <w:r>
        <w:rPr>
          <w:rFonts w:hint="eastAsia" w:cs="宋体"/>
          <w:color w:val="auto"/>
        </w:rPr>
        <w:t>本项目不接收联合体投标。</w:t>
      </w:r>
    </w:p>
    <w:p w14:paraId="636F4B1C">
      <w:pPr>
        <w:pStyle w:val="12"/>
        <w:ind w:left="-708" w:leftChars="-337" w:firstLine="241" w:firstLineChars="100"/>
        <w:rPr>
          <w:rFonts w:hint="default" w:cs="宋体"/>
          <w:b/>
          <w:bCs/>
          <w:lang w:val="en-US" w:eastAsia="zh-CN"/>
        </w:rPr>
      </w:pPr>
      <w:r>
        <w:rPr>
          <w:rFonts w:hint="eastAsia" w:cs="宋体"/>
          <w:b/>
          <w:bCs/>
          <w:lang w:val="en-US" w:eastAsia="zh-CN"/>
        </w:rPr>
        <w:t>2、投标产品资格要求</w:t>
      </w:r>
    </w:p>
    <w:p w14:paraId="26B5E0B8">
      <w:pPr>
        <w:pStyle w:val="12"/>
        <w:ind w:left="-708" w:leftChars="-337" w:firstLine="480" w:firstLineChars="200"/>
        <w:rPr>
          <w:rFonts w:hint="default" w:cs="宋体"/>
          <w:lang w:val="en-US" w:eastAsia="zh-CN"/>
        </w:rPr>
      </w:pPr>
      <w:r>
        <w:rPr>
          <w:rFonts w:hint="eastAsia" w:cs="宋体"/>
          <w:lang w:val="en-US" w:eastAsia="zh-CN"/>
        </w:rPr>
        <w:t>1）本项目支持创新产品、节能优化产品、环境标识产品、中小企业发展等政府采购政策。</w:t>
      </w:r>
    </w:p>
    <w:p w14:paraId="34FB1FD6">
      <w:pPr>
        <w:pStyle w:val="12"/>
        <w:ind w:left="-708" w:leftChars="-337" w:firstLine="480" w:firstLineChars="200"/>
        <w:rPr>
          <w:rFonts w:hint="eastAsia"/>
        </w:rPr>
      </w:pPr>
      <w:r>
        <w:rPr>
          <w:rFonts w:hint="eastAsia"/>
          <w:lang w:val="en-US" w:eastAsia="zh-CN"/>
        </w:rPr>
        <w:t>2）</w:t>
      </w:r>
      <w:r>
        <w:rPr>
          <w:rFonts w:hint="eastAsia"/>
        </w:rPr>
        <w:t>投标人所投产品要求包含以下相关证件：</w:t>
      </w:r>
      <w:r>
        <w:rPr>
          <w:rFonts w:hint="eastAsia"/>
          <w:highlight w:val="yellow"/>
        </w:rPr>
        <w:t>投标公司的《医疗器械经营许可证》、生产厂家的《医疗器械生产许可证》（国外产品可不提供）、器械的《中华人民共和国医疗器械注册证》</w:t>
      </w:r>
    </w:p>
    <w:p w14:paraId="26F6C95F">
      <w:pPr>
        <w:pStyle w:val="12"/>
        <w:ind w:left="-708" w:leftChars="-337" w:firstLine="241" w:firstLineChars="100"/>
        <w:rPr>
          <w:rFonts w:hint="eastAsia"/>
        </w:rPr>
      </w:pPr>
      <w:r>
        <w:rPr>
          <w:rFonts w:hint="eastAsia"/>
          <w:b/>
          <w:bCs/>
        </w:rPr>
        <w:t>3、售后服务和</w:t>
      </w:r>
      <w:r>
        <w:rPr>
          <w:rFonts w:hint="eastAsia"/>
          <w:b/>
          <w:bCs/>
          <w:lang w:val="en-US" w:eastAsia="zh-CN"/>
        </w:rPr>
        <w:t>资质</w:t>
      </w:r>
    </w:p>
    <w:p w14:paraId="6A4B446E">
      <w:pPr>
        <w:pStyle w:val="12"/>
        <w:ind w:left="-708" w:leftChars="-337" w:firstLine="480" w:firstLineChars="200"/>
        <w:rPr>
          <w:rFonts w:hint="eastAsia" w:eastAsia="宋体"/>
          <w:lang w:val="en-US" w:eastAsia="zh-CN"/>
        </w:rPr>
      </w:pPr>
      <w:r>
        <w:rPr>
          <w:rFonts w:hint="eastAsia"/>
          <w:lang w:val="en-US" w:eastAsia="zh-CN"/>
        </w:rPr>
        <w:t>1</w:t>
      </w:r>
      <w:r>
        <w:rPr>
          <w:rFonts w:hint="eastAsia"/>
        </w:rPr>
        <w:t>）售后资质要求：</w:t>
      </w:r>
      <w:r>
        <w:rPr>
          <w:rFonts w:hint="eastAsia" w:ascii="宋体" w:hAnsi="宋体"/>
        </w:rPr>
        <w:t>厂家须设有24小时免费服务电话，成交供应商应提供常驻广西维保人员名单、联系电话等</w:t>
      </w:r>
      <w:r>
        <w:rPr>
          <w:rFonts w:hint="eastAsia" w:ascii="宋体" w:hAnsi="宋体"/>
          <w:lang w:eastAsia="zh-CN"/>
        </w:rPr>
        <w:t>。</w:t>
      </w:r>
    </w:p>
    <w:p w14:paraId="49C351C2">
      <w:pPr>
        <w:pStyle w:val="12"/>
        <w:ind w:left="-708" w:leftChars="-337" w:firstLine="480" w:firstLineChars="200"/>
        <w:rPr>
          <w:rFonts w:hint="eastAsia"/>
        </w:rPr>
      </w:pPr>
      <w:r>
        <w:rPr>
          <w:rFonts w:hint="eastAsia"/>
          <w:lang w:val="en-US" w:eastAsia="zh-CN"/>
        </w:rPr>
        <w:t>2）</w:t>
      </w:r>
      <w:r>
        <w:rPr>
          <w:rFonts w:hint="eastAsia"/>
        </w:rPr>
        <w:t>维修备件必须是原厂备件。</w:t>
      </w:r>
    </w:p>
    <w:p w14:paraId="3309615C">
      <w:pPr>
        <w:pStyle w:val="12"/>
        <w:ind w:left="-708" w:leftChars="-337" w:firstLine="480" w:firstLineChars="200"/>
        <w:rPr>
          <w:rFonts w:hint="eastAsia"/>
        </w:rPr>
      </w:pPr>
      <w:r>
        <w:rPr>
          <w:rFonts w:hint="eastAsia"/>
          <w:lang w:val="en-US" w:eastAsia="zh-CN"/>
        </w:rPr>
        <w:t>3）</w:t>
      </w:r>
      <w:r>
        <w:rPr>
          <w:rFonts w:hint="eastAsia"/>
        </w:rPr>
        <w:t>质保期：设备安装完毕通过验收投入使用之日起不少于</w:t>
      </w:r>
      <w:r>
        <w:rPr>
          <w:rFonts w:hint="eastAsia"/>
          <w:color w:val="FF0000"/>
          <w:highlight w:val="yellow"/>
          <w:lang w:val="en-US" w:eastAsia="zh-CN"/>
        </w:rPr>
        <w:t>5</w:t>
      </w:r>
      <w:r>
        <w:rPr>
          <w:rFonts w:hint="eastAsia"/>
        </w:rPr>
        <w:t>年。</w:t>
      </w:r>
    </w:p>
    <w:p w14:paraId="36E10A0B">
      <w:pPr>
        <w:pStyle w:val="12"/>
        <w:ind w:left="-708" w:leftChars="-337" w:firstLine="480" w:firstLineChars="200"/>
        <w:rPr>
          <w:rFonts w:hint="eastAsia"/>
        </w:rPr>
      </w:pPr>
      <w:r>
        <w:rPr>
          <w:rFonts w:hint="eastAsia"/>
          <w:lang w:val="en-US" w:eastAsia="zh-CN"/>
        </w:rPr>
        <w:t>4）</w:t>
      </w:r>
      <w:r>
        <w:rPr>
          <w:rFonts w:hint="eastAsia"/>
        </w:rPr>
        <w:t>故障处理：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w:t>
      </w:r>
    </w:p>
    <w:p w14:paraId="3DD97080">
      <w:pPr>
        <w:pStyle w:val="12"/>
        <w:ind w:left="-708" w:leftChars="-337" w:firstLine="480" w:firstLineChars="200"/>
        <w:rPr>
          <w:rFonts w:hint="eastAsia" w:cs="宋体"/>
          <w:kern w:val="0"/>
          <w:sz w:val="24"/>
          <w:szCs w:val="24"/>
        </w:rPr>
      </w:pPr>
      <w:r>
        <w:rPr>
          <w:rFonts w:hint="eastAsia"/>
          <w:lang w:val="en-US" w:eastAsia="zh-CN"/>
        </w:rPr>
        <w:t>5）</w:t>
      </w:r>
      <w:r>
        <w:rPr>
          <w:rFonts w:hint="eastAsia" w:cs="宋体"/>
          <w:kern w:val="0"/>
          <w:sz w:val="24"/>
          <w:szCs w:val="24"/>
        </w:rPr>
        <w:t>签订合同后，</w:t>
      </w:r>
      <w:r>
        <w:rPr>
          <w:rFonts w:hint="eastAsia"/>
          <w:color w:val="FF0000"/>
          <w:kern w:val="0"/>
          <w:sz w:val="24"/>
          <w:szCs w:val="24"/>
          <w:u w:val="single"/>
          <w:lang w:val="en-US" w:eastAsia="zh-CN"/>
        </w:rPr>
        <w:t>15</w:t>
      </w:r>
      <w:r>
        <w:rPr>
          <w:rFonts w:hint="eastAsia" w:cs="宋体"/>
          <w:kern w:val="0"/>
          <w:sz w:val="24"/>
          <w:szCs w:val="24"/>
        </w:rPr>
        <w:t>天内仪器设备安装调试结束并交付使用。投标人予以特别注意：如出现未能到期供货的情况，采购人有权单方终止合同的执行，所有的经济损失由逾期供货商单方承担。</w:t>
      </w:r>
    </w:p>
    <w:p w14:paraId="02636F2B">
      <w:pPr>
        <w:pStyle w:val="12"/>
        <w:ind w:left="-708" w:leftChars="-337" w:firstLine="480" w:firstLineChars="200"/>
        <w:rPr>
          <w:kern w:val="0"/>
          <w:sz w:val="24"/>
          <w:szCs w:val="24"/>
        </w:rPr>
      </w:pPr>
      <w:r>
        <w:rPr>
          <w:rFonts w:hint="eastAsia" w:cs="宋体"/>
          <w:kern w:val="0"/>
          <w:sz w:val="24"/>
          <w:szCs w:val="24"/>
          <w:lang w:val="en-US" w:eastAsia="zh-CN"/>
        </w:rPr>
        <w:t>6）</w:t>
      </w:r>
      <w:r>
        <w:rPr>
          <w:rFonts w:hint="eastAsia" w:cs="宋体"/>
          <w:kern w:val="0"/>
          <w:sz w:val="24"/>
          <w:szCs w:val="24"/>
        </w:rPr>
        <w:t>交货地点为：</w:t>
      </w:r>
      <w:r>
        <w:rPr>
          <w:rFonts w:hint="eastAsia" w:cs="宋体"/>
          <w:kern w:val="0"/>
          <w:sz w:val="24"/>
          <w:szCs w:val="24"/>
          <w:highlight w:val="yellow"/>
        </w:rPr>
        <w:t>广西壮族自治区桂东人民医院</w:t>
      </w:r>
      <w:r>
        <w:rPr>
          <w:kern w:val="0"/>
          <w:sz w:val="24"/>
          <w:szCs w:val="24"/>
        </w:rPr>
        <w:t xml:space="preserve">   </w:t>
      </w:r>
    </w:p>
    <w:p w14:paraId="4F80D858">
      <w:pPr>
        <w:pStyle w:val="12"/>
        <w:ind w:left="-708" w:leftChars="-337"/>
        <w:rPr>
          <w:kern w:val="0"/>
          <w:sz w:val="24"/>
          <w:szCs w:val="24"/>
        </w:rPr>
      </w:pPr>
      <w:r>
        <w:rPr>
          <w:kern w:val="0"/>
          <w:sz w:val="24"/>
          <w:szCs w:val="24"/>
        </w:rPr>
        <w:t xml:space="preserve">  </w:t>
      </w:r>
    </w:p>
    <w:p w14:paraId="0FA158CE">
      <w:pPr>
        <w:pStyle w:val="12"/>
        <w:ind w:left="-708" w:leftChars="-337" w:firstLine="482" w:firstLineChars="200"/>
        <w:rPr>
          <w:rFonts w:hint="eastAsia"/>
          <w:b/>
          <w:bCs/>
          <w:kern w:val="0"/>
          <w:sz w:val="24"/>
          <w:szCs w:val="24"/>
          <w:lang w:val="en-US" w:eastAsia="zh-CN"/>
        </w:rPr>
      </w:pPr>
      <w:r>
        <w:rPr>
          <w:rFonts w:hint="eastAsia"/>
          <w:b/>
          <w:bCs/>
          <w:kern w:val="0"/>
          <w:sz w:val="24"/>
          <w:szCs w:val="24"/>
          <w:lang w:val="en-US" w:eastAsia="zh-CN"/>
        </w:rPr>
        <w:t>7）</w:t>
      </w:r>
      <w:r>
        <w:rPr>
          <w:rFonts w:hint="eastAsia"/>
          <w:b w:val="0"/>
          <w:bCs w:val="0"/>
          <w:kern w:val="0"/>
          <w:sz w:val="24"/>
          <w:szCs w:val="24"/>
          <w:lang w:val="en-US" w:eastAsia="zh-CN"/>
        </w:rPr>
        <w:t>付款条件（进度和方式）：</w:t>
      </w:r>
    </w:p>
    <w:p w14:paraId="3B1B75E6">
      <w:pPr>
        <w:widowControl/>
        <w:spacing w:line="400" w:lineRule="exact"/>
        <w:ind w:left="-710" w:leftChars="-338" w:firstLine="480" w:firstLineChars="200"/>
        <w:jc w:val="left"/>
        <w:rPr>
          <w:rFonts w:hint="eastAsia" w:cs="宋体"/>
          <w:kern w:val="0"/>
          <w:sz w:val="24"/>
          <w:szCs w:val="24"/>
          <w:lang w:eastAsia="zh-CN"/>
        </w:rPr>
      </w:pPr>
      <w:r>
        <w:rPr>
          <w:rFonts w:hint="eastAsia" w:cs="宋体"/>
          <w:kern w:val="0"/>
          <w:sz w:val="24"/>
          <w:szCs w:val="24"/>
          <w:lang w:eastAsia="zh-CN"/>
        </w:rPr>
        <w:t>分期付款：</w:t>
      </w:r>
      <w:r>
        <w:rPr>
          <w:rFonts w:hint="eastAsia" w:cs="宋体"/>
          <w:kern w:val="0"/>
          <w:sz w:val="24"/>
          <w:szCs w:val="24"/>
        </w:rPr>
        <w:t>签订合同后，全部货物到达指定地点、安装调试并验收合格后，凭双方签署验收合格书，</w:t>
      </w:r>
      <w:r>
        <w:rPr>
          <w:rFonts w:hint="eastAsia" w:cs="宋体"/>
          <w:kern w:val="0"/>
          <w:sz w:val="24"/>
          <w:szCs w:val="24"/>
          <w:lang w:eastAsia="zh-CN"/>
        </w:rPr>
        <w:t>甲方按照政府规定时间内支付，</w:t>
      </w:r>
      <w:r>
        <w:rPr>
          <w:rFonts w:hint="eastAsia" w:cs="宋体"/>
          <w:kern w:val="0"/>
          <w:sz w:val="24"/>
          <w:szCs w:val="24"/>
        </w:rPr>
        <w:t>第一期：甲方支付合同总金额的90%</w:t>
      </w:r>
      <w:r>
        <w:rPr>
          <w:rFonts w:hint="eastAsia" w:cs="宋体"/>
          <w:kern w:val="0"/>
          <w:sz w:val="24"/>
          <w:szCs w:val="24"/>
          <w:lang w:val="en-US" w:eastAsia="zh-CN"/>
        </w:rPr>
        <w:t xml:space="preserve"> ；</w:t>
      </w:r>
      <w:r>
        <w:rPr>
          <w:rFonts w:hint="eastAsia" w:cs="宋体"/>
          <w:kern w:val="0"/>
          <w:sz w:val="24"/>
          <w:szCs w:val="24"/>
        </w:rPr>
        <w:t>第二期：交付后十二个月，经乙方书面申请，甲方支付合同总金额的 10%（不计利息）。</w:t>
      </w:r>
    </w:p>
    <w:p w14:paraId="32DF01DC">
      <w:pPr>
        <w:widowControl/>
        <w:spacing w:line="400" w:lineRule="exact"/>
        <w:ind w:left="-710" w:leftChars="-338" w:firstLine="480" w:firstLineChars="200"/>
        <w:jc w:val="left"/>
        <w:rPr>
          <w:rFonts w:cs="宋体"/>
          <w:kern w:val="0"/>
          <w:sz w:val="24"/>
          <w:szCs w:val="24"/>
        </w:rPr>
      </w:pPr>
      <w:r>
        <w:rPr>
          <w:rFonts w:hint="eastAsia" w:cs="宋体"/>
          <w:kern w:val="0"/>
          <w:sz w:val="24"/>
          <w:szCs w:val="24"/>
        </w:rPr>
        <w:t>如验收不合格以及发现伪劣产品等，招标人将视情形采取退货、拒付款、终止合同、索赔等措施，直至通过有关部门，依法维权。</w:t>
      </w:r>
    </w:p>
    <w:p w14:paraId="76A501D3">
      <w:pPr>
        <w:widowControl/>
        <w:numPr>
          <w:ilvl w:val="0"/>
          <w:numId w:val="0"/>
        </w:numPr>
        <w:spacing w:line="360" w:lineRule="auto"/>
        <w:ind w:left="-650" w:leftChars="0" w:firstLine="562" w:firstLineChars="200"/>
        <w:jc w:val="left"/>
        <w:rPr>
          <w:rFonts w:hint="eastAsia" w:cs="宋体"/>
          <w:b/>
          <w:bCs/>
          <w:kern w:val="0"/>
          <w:sz w:val="28"/>
          <w:szCs w:val="28"/>
        </w:rPr>
      </w:pPr>
      <w:r>
        <w:rPr>
          <w:rFonts w:hint="eastAsia" w:cs="宋体"/>
          <w:b/>
          <w:bCs/>
          <w:kern w:val="0"/>
          <w:sz w:val="28"/>
          <w:szCs w:val="28"/>
          <w:lang w:eastAsia="zh-CN"/>
        </w:rPr>
        <w:t>（五）</w:t>
      </w:r>
      <w:r>
        <w:rPr>
          <w:rFonts w:hint="eastAsia" w:cs="宋体"/>
          <w:b/>
          <w:bCs/>
          <w:kern w:val="0"/>
          <w:sz w:val="28"/>
          <w:szCs w:val="28"/>
        </w:rPr>
        <w:t>合同签订</w:t>
      </w:r>
    </w:p>
    <w:p w14:paraId="00236C0C">
      <w:pPr>
        <w:widowControl/>
        <w:numPr>
          <w:ilvl w:val="0"/>
          <w:numId w:val="0"/>
        </w:numPr>
        <w:spacing w:line="360" w:lineRule="auto"/>
        <w:ind w:left="-650" w:leftChars="0" w:firstLine="480" w:firstLineChars="200"/>
        <w:jc w:val="left"/>
        <w:rPr>
          <w:rFonts w:hint="eastAsia" w:cs="宋体"/>
          <w:kern w:val="0"/>
          <w:sz w:val="24"/>
          <w:szCs w:val="24"/>
        </w:rPr>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15:color w:val="FF0000"/>
        </w:sdtPr>
        <w:sdtEndPr>
          <w:rPr>
            <w:rFonts w:hint="eastAsia" w:cs="宋体"/>
            <w:color w:val="FF0000"/>
            <w:kern w:val="0"/>
            <w:sz w:val="24"/>
            <w:szCs w:val="24"/>
            <w:u w:val="single"/>
          </w:rPr>
        </w:sdtEndPr>
        <w:sdtContent>
          <w:r>
            <w:rPr>
              <w:rFonts w:hint="eastAsia" w:cs="宋体"/>
              <w:color w:val="FF0000"/>
              <w:kern w:val="0"/>
              <w:sz w:val="24"/>
              <w:szCs w:val="24"/>
              <w:u w:val="single"/>
              <w:lang w:eastAsia="zh-CN"/>
            </w:rPr>
            <w:t>2</w:t>
          </w:r>
          <w:r>
            <w:rPr>
              <w:rFonts w:hint="eastAsia" w:cs="宋体"/>
              <w:color w:val="FF0000"/>
              <w:kern w:val="0"/>
              <w:sz w:val="24"/>
              <w:szCs w:val="24"/>
              <w:u w:val="single"/>
              <w:lang w:val="en-US" w:eastAsia="zh-CN"/>
            </w:rPr>
            <w:t>5</w:t>
          </w:r>
        </w:sdtContent>
      </w:sdt>
      <w:r>
        <w:rPr>
          <w:rFonts w:hint="eastAsia" w:cs="宋体"/>
          <w:kern w:val="0"/>
          <w:sz w:val="24"/>
          <w:szCs w:val="24"/>
          <w:lang w:val="en-US" w:eastAsia="zh-CN"/>
        </w:rPr>
        <w:t>日</w:t>
      </w:r>
      <w:r>
        <w:rPr>
          <w:rFonts w:hint="eastAsia" w:cs="宋体"/>
          <w:kern w:val="0"/>
          <w:sz w:val="24"/>
          <w:szCs w:val="24"/>
        </w:rPr>
        <w:t>内签订采购合同。</w:t>
      </w:r>
    </w:p>
    <w:p w14:paraId="33003708">
      <w:pPr>
        <w:widowControl/>
        <w:numPr>
          <w:ilvl w:val="0"/>
          <w:numId w:val="0"/>
        </w:numPr>
        <w:spacing w:line="360" w:lineRule="auto"/>
        <w:jc w:val="left"/>
        <w:rPr>
          <w:rFonts w:hint="eastAsia" w:cs="宋体"/>
          <w:b/>
          <w:bCs/>
          <w:kern w:val="0"/>
          <w:sz w:val="28"/>
          <w:szCs w:val="28"/>
          <w:lang w:val="en-US" w:eastAsia="zh-CN"/>
        </w:rPr>
      </w:pPr>
      <w:r>
        <w:rPr>
          <w:rFonts w:hint="eastAsia" w:cs="宋体"/>
          <w:b/>
          <w:bCs/>
          <w:kern w:val="0"/>
          <w:sz w:val="28"/>
          <w:szCs w:val="28"/>
          <w:lang w:eastAsia="zh-CN"/>
        </w:rPr>
        <w:t>（六）</w:t>
      </w:r>
      <w:r>
        <w:rPr>
          <w:rFonts w:hint="eastAsia" w:cs="宋体"/>
          <w:b/>
          <w:bCs/>
          <w:kern w:val="0"/>
          <w:sz w:val="28"/>
          <w:szCs w:val="28"/>
          <w:lang w:val="en-US" w:eastAsia="zh-CN"/>
        </w:rPr>
        <w:t>评分方法</w:t>
      </w:r>
    </w:p>
    <w:p w14:paraId="577C5296">
      <w:pPr>
        <w:widowControl/>
        <w:numPr>
          <w:ilvl w:val="0"/>
          <w:numId w:val="0"/>
        </w:numPr>
        <w:spacing w:line="360" w:lineRule="auto"/>
        <w:ind w:left="-650" w:leftChars="0" w:firstLine="480" w:firstLineChars="200"/>
        <w:jc w:val="left"/>
        <w:rPr>
          <w:rFonts w:hint="eastAsia" w:cs="宋体"/>
          <w:kern w:val="0"/>
          <w:sz w:val="24"/>
          <w:szCs w:val="24"/>
          <w:lang w:val="en-US" w:eastAsia="zh-CN"/>
        </w:rPr>
      </w:pPr>
      <w:r>
        <w:rPr>
          <w:rFonts w:hint="eastAsia" w:cs="宋体"/>
          <w:kern w:val="0"/>
          <w:sz w:val="24"/>
          <w:szCs w:val="24"/>
          <w:lang w:val="en-US" w:eastAsia="zh-CN"/>
        </w:rPr>
        <w:t>本项目采用以下方式进行评分，总得分高者中选。</w:t>
      </w:r>
    </w:p>
    <w:p w14:paraId="2E8D2D19">
      <w:pPr>
        <w:widowControl/>
        <w:numPr>
          <w:ilvl w:val="0"/>
          <w:numId w:val="0"/>
        </w:numPr>
        <w:spacing w:line="360" w:lineRule="auto"/>
        <w:ind w:left="-650" w:leftChars="0" w:firstLine="480" w:firstLineChars="200"/>
        <w:jc w:val="left"/>
        <w:rPr>
          <w:rFonts w:hint="default" w:cs="宋体"/>
          <w:kern w:val="0"/>
          <w:sz w:val="24"/>
          <w:szCs w:val="24"/>
          <w:lang w:val="en-US" w:eastAsia="zh-CN"/>
        </w:rPr>
      </w:pPr>
      <w:r>
        <w:rPr>
          <w:rFonts w:hint="eastAsia" w:cs="宋体"/>
          <w:kern w:val="0"/>
          <w:sz w:val="24"/>
          <w:szCs w:val="24"/>
          <w:lang w:val="en-US" w:eastAsia="zh-CN"/>
        </w:rPr>
        <w:t>总分100分，设备报价分占10%，试剂耗材报价分占90%。</w:t>
      </w:r>
    </w:p>
    <w:p w14:paraId="170B265D">
      <w:pPr>
        <w:widowControl/>
        <w:numPr>
          <w:ilvl w:val="0"/>
          <w:numId w:val="0"/>
        </w:numPr>
        <w:spacing w:line="360" w:lineRule="auto"/>
        <w:ind w:left="-650" w:leftChars="0" w:firstLine="480" w:firstLineChars="200"/>
        <w:jc w:val="left"/>
        <w:rPr>
          <w:rFonts w:hint="eastAsia" w:cs="宋体"/>
          <w:kern w:val="0"/>
          <w:sz w:val="24"/>
          <w:szCs w:val="24"/>
          <w:lang w:val="en-US" w:eastAsia="zh-CN"/>
        </w:rPr>
      </w:pPr>
      <w:r>
        <w:rPr>
          <w:rFonts w:hint="eastAsia" w:cs="宋体"/>
          <w:kern w:val="0"/>
          <w:sz w:val="24"/>
          <w:szCs w:val="24"/>
          <w:lang w:val="en-US" w:eastAsia="zh-CN"/>
        </w:rPr>
        <w:t>计分方式：报价得分=（设备基准价/报价）×设备报价分+（配套试剂</w:t>
      </w:r>
      <w:bookmarkStart w:id="0" w:name="_GoBack"/>
      <w:bookmarkEnd w:id="0"/>
      <w:r>
        <w:rPr>
          <w:rFonts w:hint="eastAsia" w:cs="宋体"/>
          <w:kern w:val="0"/>
          <w:sz w:val="24"/>
          <w:szCs w:val="24"/>
          <w:lang w:val="en-US" w:eastAsia="zh-CN"/>
        </w:rPr>
        <w:t>基准价/报价）×试剂耗材报价分</w:t>
      </w:r>
    </w:p>
    <w:p w14:paraId="6004D7FD">
      <w:pPr>
        <w:widowControl/>
        <w:spacing w:line="360" w:lineRule="auto"/>
        <w:ind w:left="-708" w:leftChars="-338" w:hanging="2"/>
        <w:jc w:val="left"/>
        <w:rPr>
          <w:rFonts w:hint="default" w:eastAsia="宋体"/>
          <w:kern w:val="0"/>
          <w:sz w:val="24"/>
          <w:szCs w:val="24"/>
          <w:lang w:val="en-US" w:eastAsia="zh-CN"/>
        </w:rPr>
      </w:pPr>
      <w:r>
        <w:rPr>
          <w:kern w:val="0"/>
          <w:sz w:val="24"/>
          <w:szCs w:val="24"/>
        </w:rPr>
        <w:t> </w:t>
      </w:r>
      <w:r>
        <w:rPr>
          <w:rFonts w:hint="eastAsia"/>
          <w:kern w:val="0"/>
          <w:sz w:val="24"/>
          <w:szCs w:val="24"/>
          <w:lang w:val="en-US" w:eastAsia="zh-CN"/>
        </w:rPr>
        <w:t xml:space="preserve">     </w:t>
      </w:r>
      <w:r>
        <w:rPr>
          <w:rFonts w:hint="eastAsia" w:cs="宋体"/>
          <w:kern w:val="0"/>
          <w:sz w:val="24"/>
          <w:szCs w:val="24"/>
          <w:lang w:val="en-US" w:eastAsia="zh-CN"/>
        </w:rPr>
        <w:t>报名文件中设备报价最低价为设备基准价，</w:t>
      </w:r>
      <w:r>
        <w:rPr>
          <w:rFonts w:hint="eastAsia"/>
          <w:kern w:val="0"/>
          <w:sz w:val="24"/>
          <w:szCs w:val="24"/>
          <w:lang w:val="en-US" w:eastAsia="zh-CN"/>
        </w:rPr>
        <w:t xml:space="preserve"> </w:t>
      </w:r>
      <w:r>
        <w:rPr>
          <w:rFonts w:hint="eastAsia" w:cs="宋体"/>
          <w:kern w:val="0"/>
          <w:sz w:val="24"/>
          <w:szCs w:val="24"/>
          <w:lang w:val="en-US" w:eastAsia="zh-CN"/>
        </w:rPr>
        <w:t>报名文件中设备报价最低价为设备基准价，</w:t>
      </w:r>
    </w:p>
    <w:p w14:paraId="2739F3D2">
      <w:pPr>
        <w:pStyle w:val="12"/>
        <w:rPr>
          <w:rFonts w:hint="eastAsia" w:eastAsia="宋体"/>
          <w:lang w:eastAsia="zh-CN"/>
        </w:rPr>
      </w:pP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2E3848"/>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CB43E2"/>
    <w:rsid w:val="02615DF0"/>
    <w:rsid w:val="03B56736"/>
    <w:rsid w:val="05491908"/>
    <w:rsid w:val="0A795D65"/>
    <w:rsid w:val="0C0B627E"/>
    <w:rsid w:val="0CC05EEA"/>
    <w:rsid w:val="10C97A40"/>
    <w:rsid w:val="117874EE"/>
    <w:rsid w:val="11DF775E"/>
    <w:rsid w:val="122B15C9"/>
    <w:rsid w:val="12C97D37"/>
    <w:rsid w:val="142B2443"/>
    <w:rsid w:val="156D1C59"/>
    <w:rsid w:val="166F4544"/>
    <w:rsid w:val="169A0651"/>
    <w:rsid w:val="18807179"/>
    <w:rsid w:val="1BB83789"/>
    <w:rsid w:val="1D666444"/>
    <w:rsid w:val="20B96BBD"/>
    <w:rsid w:val="21B710F4"/>
    <w:rsid w:val="2218153E"/>
    <w:rsid w:val="25773183"/>
    <w:rsid w:val="25FB4C92"/>
    <w:rsid w:val="26431704"/>
    <w:rsid w:val="26CD4569"/>
    <w:rsid w:val="27D01D3D"/>
    <w:rsid w:val="28110468"/>
    <w:rsid w:val="293A4A87"/>
    <w:rsid w:val="2B5533BC"/>
    <w:rsid w:val="2E44559E"/>
    <w:rsid w:val="2F407AED"/>
    <w:rsid w:val="2FDE2907"/>
    <w:rsid w:val="311834AF"/>
    <w:rsid w:val="318469E5"/>
    <w:rsid w:val="3194337D"/>
    <w:rsid w:val="36FA437E"/>
    <w:rsid w:val="3737378F"/>
    <w:rsid w:val="3806606D"/>
    <w:rsid w:val="38E83D5A"/>
    <w:rsid w:val="397701BE"/>
    <w:rsid w:val="397D551C"/>
    <w:rsid w:val="3B546CEC"/>
    <w:rsid w:val="3F8769CB"/>
    <w:rsid w:val="41366ED0"/>
    <w:rsid w:val="41AF2CF9"/>
    <w:rsid w:val="466B7818"/>
    <w:rsid w:val="48D85C25"/>
    <w:rsid w:val="4C1C5576"/>
    <w:rsid w:val="4D442BFB"/>
    <w:rsid w:val="4D781BD4"/>
    <w:rsid w:val="4D9258D3"/>
    <w:rsid w:val="4DA009DA"/>
    <w:rsid w:val="4DA97E72"/>
    <w:rsid w:val="4DB9683E"/>
    <w:rsid w:val="4E31559C"/>
    <w:rsid w:val="4FED27B5"/>
    <w:rsid w:val="50502E0F"/>
    <w:rsid w:val="51794369"/>
    <w:rsid w:val="51B2246F"/>
    <w:rsid w:val="539906F6"/>
    <w:rsid w:val="57FC5804"/>
    <w:rsid w:val="589150FF"/>
    <w:rsid w:val="5D1A4465"/>
    <w:rsid w:val="5D4C4020"/>
    <w:rsid w:val="5FFD63C3"/>
    <w:rsid w:val="63DD41EC"/>
    <w:rsid w:val="65706B30"/>
    <w:rsid w:val="67EF0C5A"/>
    <w:rsid w:val="6A513DD5"/>
    <w:rsid w:val="6BF540D9"/>
    <w:rsid w:val="6DD0797D"/>
    <w:rsid w:val="6E1A0EFE"/>
    <w:rsid w:val="71754026"/>
    <w:rsid w:val="71AF2B23"/>
    <w:rsid w:val="726F0F4A"/>
    <w:rsid w:val="72B73B47"/>
    <w:rsid w:val="72E3698D"/>
    <w:rsid w:val="74B5471E"/>
    <w:rsid w:val="76A827A7"/>
    <w:rsid w:val="77E41C8F"/>
    <w:rsid w:val="77FF632E"/>
    <w:rsid w:val="78632A79"/>
    <w:rsid w:val="7B036868"/>
    <w:rsid w:val="7CA91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annotation text"/>
    <w:basedOn w:val="1"/>
    <w:link w:val="14"/>
    <w:qFormat/>
    <w:uiPriority w:val="99"/>
    <w:pPr>
      <w:jc w:val="left"/>
    </w:pPr>
  </w:style>
  <w:style w:type="paragraph" w:styleId="3">
    <w:name w:val="Body Text"/>
    <w:basedOn w:val="1"/>
    <w:semiHidden/>
    <w:qFormat/>
    <w:uiPriority w:val="0"/>
    <w:rPr>
      <w:rFonts w:ascii="宋体" w:hAnsi="宋体" w:eastAsia="宋体" w:cs="宋体"/>
      <w:sz w:val="20"/>
      <w:szCs w:val="20"/>
      <w:lang w:val="en-US" w:eastAsia="en-US" w:bidi="ar-SA"/>
    </w:rPr>
  </w:style>
  <w:style w:type="paragraph" w:styleId="4">
    <w:name w:val="Plain Text"/>
    <w:basedOn w:val="1"/>
    <w:link w:val="16"/>
    <w:qFormat/>
    <w:uiPriority w:val="99"/>
    <w:rPr>
      <w:rFonts w:ascii="宋体" w:hAnsi="Courier New"/>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table" w:styleId="9">
    <w:name w:val="Table Grid"/>
    <w:basedOn w:val="8"/>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semiHidden/>
    <w:qFormat/>
    <w:uiPriority w:val="99"/>
    <w:rPr>
      <w:sz w:val="21"/>
      <w:szCs w:val="21"/>
    </w:rPr>
  </w:style>
  <w:style w:type="paragraph" w:customStyle="1" w:styleId="1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3">
    <w:name w:val="批注文字 字符"/>
    <w:basedOn w:val="10"/>
    <w:qFormat/>
    <w:uiPriority w:val="99"/>
    <w:rPr>
      <w:rFonts w:ascii="Times New Roman" w:hAnsi="Times New Roman" w:eastAsia="宋体" w:cs="Times New Roman"/>
      <w:szCs w:val="21"/>
    </w:rPr>
  </w:style>
  <w:style w:type="character" w:customStyle="1" w:styleId="14">
    <w:name w:val="批注文字 字符1"/>
    <w:link w:val="2"/>
    <w:semiHidden/>
    <w:qFormat/>
    <w:uiPriority w:val="99"/>
    <w:rPr>
      <w:rFonts w:ascii="Times New Roman" w:hAnsi="Times New Roman" w:eastAsia="宋体" w:cs="Times New Roman"/>
      <w:szCs w:val="21"/>
    </w:rPr>
  </w:style>
  <w:style w:type="character" w:customStyle="1" w:styleId="15">
    <w:name w:val="批注主题 字符"/>
    <w:basedOn w:val="14"/>
    <w:link w:val="7"/>
    <w:semiHidden/>
    <w:qFormat/>
    <w:uiPriority w:val="99"/>
    <w:rPr>
      <w:rFonts w:ascii="Times New Roman" w:hAnsi="Times New Roman" w:eastAsia="宋体" w:cs="Times New Roman"/>
      <w:b/>
      <w:bCs/>
      <w:szCs w:val="21"/>
    </w:rPr>
  </w:style>
  <w:style w:type="character" w:customStyle="1" w:styleId="16">
    <w:name w:val="纯文本 字符"/>
    <w:basedOn w:val="10"/>
    <w:link w:val="4"/>
    <w:qFormat/>
    <w:uiPriority w:val="99"/>
    <w:rPr>
      <w:rFonts w:ascii="宋体" w:hAnsi="Courier New" w:eastAsia="宋体" w:cs="Times New Roman"/>
      <w:szCs w:val="21"/>
    </w:rPr>
  </w:style>
  <w:style w:type="paragraph" w:customStyle="1" w:styleId="17">
    <w:name w:val="表格文字"/>
    <w:basedOn w:val="1"/>
    <w:qFormat/>
    <w:uiPriority w:val="0"/>
    <w:pPr>
      <w:spacing w:before="25" w:after="25"/>
      <w:jc w:val="left"/>
    </w:pPr>
    <w:rPr>
      <w:rFonts w:ascii="Calibri" w:hAnsi="Calibri"/>
      <w:bCs/>
      <w:spacing w:val="10"/>
      <w:kern w:val="0"/>
      <w:sz w:val="24"/>
      <w:szCs w:val="20"/>
    </w:rPr>
  </w:style>
  <w:style w:type="character" w:customStyle="1" w:styleId="18">
    <w:name w:val="fontstyle01"/>
    <w:qFormat/>
    <w:uiPriority w:val="0"/>
    <w:rPr>
      <w:rFonts w:hint="eastAsia" w:ascii="宋体" w:hAnsi="宋体" w:eastAsia="宋体"/>
      <w:color w:val="000000"/>
      <w:sz w:val="24"/>
      <w:szCs w:val="24"/>
    </w:rPr>
  </w:style>
  <w:style w:type="character" w:customStyle="1" w:styleId="19">
    <w:name w:val="页眉 字符"/>
    <w:basedOn w:val="10"/>
    <w:link w:val="6"/>
    <w:qFormat/>
    <w:uiPriority w:val="99"/>
    <w:rPr>
      <w:rFonts w:ascii="Times New Roman" w:hAnsi="Times New Roman" w:eastAsia="宋体" w:cs="Times New Roman"/>
      <w:sz w:val="18"/>
      <w:szCs w:val="18"/>
    </w:rPr>
  </w:style>
  <w:style w:type="character" w:customStyle="1" w:styleId="20">
    <w:name w:val="页脚 字符"/>
    <w:basedOn w:val="10"/>
    <w:link w:val="5"/>
    <w:qFormat/>
    <w:uiPriority w:val="99"/>
    <w:rPr>
      <w:rFonts w:ascii="Times New Roman" w:hAnsi="Times New Roman" w:eastAsia="宋体" w:cs="Times New Roman"/>
      <w:sz w:val="18"/>
      <w:szCs w:val="18"/>
    </w:rPr>
  </w:style>
  <w:style w:type="character" w:styleId="21">
    <w:name w:val="Placeholder Text"/>
    <w:basedOn w:val="10"/>
    <w:semiHidden/>
    <w:qFormat/>
    <w:uiPriority w:val="99"/>
    <w:rPr>
      <w:color w:val="808080"/>
    </w:rPr>
  </w:style>
  <w:style w:type="paragraph" w:customStyle="1" w:styleId="22">
    <w:name w:val="样式1"/>
    <w:basedOn w:val="1"/>
    <w:qFormat/>
    <w:uiPriority w:val="0"/>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31D9254B">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1839</Words>
  <Characters>2021</Characters>
  <Lines>26</Lines>
  <Paragraphs>7</Paragraphs>
  <TotalTime>1</TotalTime>
  <ScaleCrop>false</ScaleCrop>
  <LinksUpToDate>false</LinksUpToDate>
  <CharactersWithSpaces>2167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Administrator</cp:lastModifiedBy>
  <cp:lastPrinted>2021-01-18T07:59:00Z</cp:lastPrinted>
  <dcterms:modified xsi:type="dcterms:W3CDTF">2025-12-02T02:01:19Z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E02579C7388E46F2AC533CD3E88ABA98_13</vt:lpwstr>
  </property>
  <property fmtid="{D5CDD505-2E9C-101B-9397-08002B2CF9AE}" pid="4" name="KSOTemplateDocerSaveRecord">
    <vt:lpwstr>eyJoZGlkIjoiOTZkZDVmNzBiZGNiZTJiMTNjOTFhZTJiYjI4ZWQ4OTAifQ==</vt:lpwstr>
  </property>
</Properties>
</file>