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59109">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09BC2287">
      <w:pPr>
        <w:pStyle w:val="20"/>
        <w:ind w:left="-500" w:leftChars="-238" w:firstLine="479" w:firstLineChars="199"/>
        <w:rPr>
          <w:rFonts w:hint="eastAsia"/>
          <w:color w:val="000000" w:themeColor="text1"/>
          <w:sz w:val="24"/>
          <w:szCs w:val="24"/>
          <w:lang w:eastAsia="zh-CN"/>
          <w14:textFill>
            <w14:solidFill>
              <w14:schemeClr w14:val="tx1"/>
            </w14:solidFill>
          </w14:textFill>
        </w:rPr>
      </w:pPr>
      <w:r>
        <w:rPr>
          <w:rFonts w:hint="eastAsia"/>
          <w:b/>
          <w:bCs/>
          <w:color w:val="000000" w:themeColor="text1"/>
          <w:sz w:val="24"/>
          <w:szCs w:val="24"/>
          <w14:textFill>
            <w14:solidFill>
              <w14:schemeClr w14:val="tx1"/>
            </w14:solidFill>
          </w14:textFill>
        </w:rPr>
        <w:t>★ 部分为核心参数</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不满足</w:t>
      </w:r>
      <w:r>
        <w:rPr>
          <w:rFonts w:hint="eastAsia"/>
          <w:color w:val="000000" w:themeColor="text1"/>
          <w:sz w:val="24"/>
          <w:szCs w:val="24"/>
          <w:lang w:eastAsia="zh-CN"/>
          <w14:textFill>
            <w14:solidFill>
              <w14:schemeClr w14:val="tx1"/>
            </w14:solidFill>
          </w14:textFill>
        </w:rPr>
        <w:t>或不应标则投标</w:t>
      </w:r>
      <w:r>
        <w:rPr>
          <w:rFonts w:hint="eastAsia"/>
          <w:color w:val="000000" w:themeColor="text1"/>
          <w:sz w:val="24"/>
          <w:szCs w:val="24"/>
          <w14:textFill>
            <w14:solidFill>
              <w14:schemeClr w14:val="tx1"/>
            </w14:solidFill>
          </w14:textFill>
        </w:rPr>
        <w:t>视为无效投标</w:t>
      </w:r>
      <w:r>
        <w:rPr>
          <w:rFonts w:hint="eastAsia"/>
          <w:color w:val="000000" w:themeColor="text1"/>
          <w:sz w:val="24"/>
          <w:szCs w:val="24"/>
          <w:lang w:eastAsia="zh-CN"/>
          <w14:textFill>
            <w14:solidFill>
              <w14:schemeClr w14:val="tx1"/>
            </w14:solidFill>
          </w14:textFill>
        </w:rPr>
        <w:t>；</w:t>
      </w:r>
    </w:p>
    <w:p w14:paraId="150AEEAA">
      <w:pPr>
        <w:pStyle w:val="20"/>
        <w:ind w:left="-708" w:leftChars="-337"/>
        <w:rPr>
          <w:rFonts w:cs="宋体"/>
          <w:b/>
          <w:bCs/>
          <w:sz w:val="28"/>
          <w:szCs w:val="28"/>
        </w:rPr>
      </w:pPr>
      <w:r>
        <w:rPr>
          <w:rFonts w:hint="eastAsia" w:cs="宋体"/>
          <w:b/>
          <w:bCs/>
          <w:sz w:val="28"/>
          <w:szCs w:val="28"/>
        </w:rPr>
        <w:t>一、采购清单、技术规格参数、质量标准和要求</w:t>
      </w:r>
    </w:p>
    <w:p w14:paraId="342C7149">
      <w:pPr>
        <w:pStyle w:val="20"/>
        <w:ind w:left="-708" w:leftChars="-337"/>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（一）采购清单</w:t>
      </w:r>
      <w:r>
        <w:rPr>
          <w:b/>
          <w:bCs/>
          <w:color w:val="000000" w:themeColor="text1"/>
          <w14:textFill>
            <w14:solidFill>
              <w14:schemeClr w14:val="tx1"/>
            </w14:solidFill>
          </w14:textFill>
        </w:rPr>
        <w:t> </w:t>
      </w:r>
    </w:p>
    <w:p w14:paraId="47BA8714">
      <w:pPr>
        <w:pStyle w:val="20"/>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项目概况：项目总用地而积为703019平方米(约合 10.55 亩),总建筑面积为13665.80平方米，其中，计容建筑面积为9465.80平方米(包括综合养护楼9365平方米，污物暂存75平方米，卫案25.80平方米)，设置养老床位 200张，不计容建筑面积4200平方米(包括地下车库4000平方米，污水处理站200平方米)，地下车库能提供停车位77个，地面提供停车位28个，非机动停车位151个。</w:t>
      </w:r>
    </w:p>
    <w:p w14:paraId="183A1E20">
      <w:pPr>
        <w:pStyle w:val="20"/>
        <w:rPr>
          <w:rFonts w:hint="default"/>
          <w:b w:val="0"/>
          <w:bCs w:val="0"/>
          <w:color w:val="000000" w:themeColor="text1"/>
          <w:sz w:val="24"/>
          <w:szCs w:val="24"/>
          <w:lang w:val="en-US" w:eastAsia="zh-CN"/>
          <w14:textFill>
            <w14:solidFill>
              <w14:schemeClr w14:val="tx1"/>
            </w14:solidFill>
          </w14:textFill>
        </w:rPr>
      </w:pPr>
    </w:p>
    <w:tbl>
      <w:tblPr>
        <w:tblStyle w:val="16"/>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96"/>
        <w:gridCol w:w="1964"/>
        <w:gridCol w:w="1080"/>
        <w:gridCol w:w="1080"/>
        <w:gridCol w:w="1316"/>
        <w:gridCol w:w="1316"/>
        <w:gridCol w:w="1080"/>
      </w:tblGrid>
      <w:tr w14:paraId="05B6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1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F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054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7FAA">
            <w:pPr>
              <w:jc w:val="center"/>
              <w:rPr>
                <w:rFonts w:hint="eastAsia" w:ascii="宋体" w:hAnsi="宋体" w:eastAsia="宋体" w:cs="宋体"/>
                <w:i w:val="0"/>
                <w:iCs w:val="0"/>
                <w:color w:val="000000"/>
                <w:sz w:val="22"/>
                <w:szCs w:val="22"/>
                <w:u w:val="none"/>
              </w:rPr>
            </w:pPr>
          </w:p>
        </w:tc>
        <w:tc>
          <w:tcPr>
            <w:tcW w:w="3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E9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CCE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3C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6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C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1D17">
            <w:pPr>
              <w:jc w:val="center"/>
              <w:rPr>
                <w:rFonts w:hint="eastAsia" w:ascii="宋体" w:hAnsi="宋体" w:eastAsia="宋体" w:cs="宋体"/>
                <w:i w:val="0"/>
                <w:iCs w:val="0"/>
                <w:color w:val="000000"/>
                <w:sz w:val="22"/>
                <w:szCs w:val="22"/>
                <w:u w:val="none"/>
              </w:rPr>
            </w:pPr>
          </w:p>
        </w:tc>
      </w:tr>
      <w:tr w14:paraId="0F14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F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开工放样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F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规划定桩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E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B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1C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65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6417">
            <w:pPr>
              <w:rPr>
                <w:rFonts w:hint="eastAsia" w:ascii="宋体" w:hAnsi="宋体" w:eastAsia="宋体" w:cs="宋体"/>
                <w:i w:val="0"/>
                <w:iCs w:val="0"/>
                <w:color w:val="000000"/>
                <w:sz w:val="22"/>
                <w:szCs w:val="22"/>
                <w:u w:val="none"/>
              </w:rPr>
            </w:pPr>
          </w:p>
        </w:tc>
      </w:tr>
      <w:tr w14:paraId="1DAD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5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781C8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建设工程规划核实测量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B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规划建筑面积测量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8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F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61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D26E">
            <w:pPr>
              <w:rPr>
                <w:rFonts w:hint="eastAsia" w:ascii="宋体" w:hAnsi="宋体" w:eastAsia="宋体" w:cs="宋体"/>
                <w:i w:val="0"/>
                <w:iCs w:val="0"/>
                <w:color w:val="000000"/>
                <w:sz w:val="22"/>
                <w:szCs w:val="22"/>
                <w:u w:val="none"/>
              </w:rPr>
            </w:pPr>
          </w:p>
        </w:tc>
      </w:tr>
      <w:tr w14:paraId="695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0403">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37556B5">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4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验测平面位置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B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8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3B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32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BA48">
            <w:pPr>
              <w:rPr>
                <w:rFonts w:hint="eastAsia" w:ascii="宋体" w:hAnsi="宋体" w:eastAsia="宋体" w:cs="宋体"/>
                <w:i w:val="0"/>
                <w:iCs w:val="0"/>
                <w:color w:val="000000"/>
                <w:sz w:val="22"/>
                <w:szCs w:val="22"/>
                <w:u w:val="none"/>
              </w:rPr>
            </w:pPr>
          </w:p>
        </w:tc>
      </w:tr>
      <w:tr w14:paraId="0EB8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EBE5">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2503DFA">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验测高程、高度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8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F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0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06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F6FD">
            <w:pPr>
              <w:rPr>
                <w:rFonts w:hint="eastAsia" w:ascii="宋体" w:hAnsi="宋体" w:eastAsia="宋体" w:cs="宋体"/>
                <w:i w:val="0"/>
                <w:iCs w:val="0"/>
                <w:color w:val="000000"/>
                <w:sz w:val="22"/>
                <w:szCs w:val="22"/>
                <w:u w:val="none"/>
              </w:rPr>
            </w:pPr>
          </w:p>
        </w:tc>
      </w:tr>
      <w:tr w14:paraId="783F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A01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802D7A1">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nil"/>
              <w:right w:val="single" w:color="000000" w:sz="4" w:space="0"/>
            </w:tcBorders>
            <w:shd w:val="clear" w:color="auto" w:fill="auto"/>
            <w:vAlign w:val="center"/>
          </w:tcPr>
          <w:p w14:paraId="709A7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5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7F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A7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43F9">
            <w:pPr>
              <w:rPr>
                <w:rFonts w:hint="eastAsia" w:ascii="宋体" w:hAnsi="宋体" w:eastAsia="宋体" w:cs="宋体"/>
                <w:i w:val="0"/>
                <w:iCs w:val="0"/>
                <w:color w:val="000000"/>
                <w:sz w:val="22"/>
                <w:szCs w:val="22"/>
                <w:u w:val="none"/>
              </w:rPr>
            </w:pPr>
          </w:p>
        </w:tc>
      </w:tr>
      <w:tr w14:paraId="5CD0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17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不动产测绘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3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B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B8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38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7CC0">
            <w:pPr>
              <w:rPr>
                <w:rFonts w:hint="eastAsia" w:ascii="宋体" w:hAnsi="宋体" w:eastAsia="宋体" w:cs="宋体"/>
                <w:i w:val="0"/>
                <w:iCs w:val="0"/>
                <w:color w:val="000000"/>
                <w:sz w:val="22"/>
                <w:szCs w:val="22"/>
                <w:u w:val="none"/>
              </w:rPr>
            </w:pPr>
          </w:p>
        </w:tc>
      </w:tr>
      <w:tr w14:paraId="0272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B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A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752D">
            <w:pPr>
              <w:rPr>
                <w:rFonts w:hint="eastAsia" w:ascii="宋体" w:hAnsi="宋体" w:eastAsia="宋体" w:cs="宋体"/>
                <w:i w:val="0"/>
                <w:iCs w:val="0"/>
                <w:color w:val="000000"/>
                <w:sz w:val="22"/>
                <w:szCs w:val="22"/>
                <w:u w:val="none"/>
              </w:rPr>
            </w:pPr>
          </w:p>
        </w:tc>
      </w:tr>
    </w:tbl>
    <w:p w14:paraId="6766AF6A">
      <w:pPr>
        <w:pStyle w:val="20"/>
        <w:rPr>
          <w:rFonts w:hint="default" w:eastAsia="宋体"/>
          <w:b/>
          <w:bCs/>
          <w:color w:val="000000" w:themeColor="text1"/>
          <w:lang w:val="en-US" w:eastAsia="zh-CN"/>
          <w14:textFill>
            <w14:solidFill>
              <w14:schemeClr w14:val="tx1"/>
            </w14:solidFill>
          </w14:textFill>
        </w:rPr>
      </w:pPr>
    </w:p>
    <w:p w14:paraId="32301AF9">
      <w:pPr>
        <w:widowControl/>
        <w:numPr>
          <w:ilvl w:val="0"/>
          <w:numId w:val="1"/>
        </w:numPr>
        <w:spacing w:line="360" w:lineRule="auto"/>
        <w:ind w:left="-708" w:leftChars="-337"/>
        <w:jc w:val="left"/>
        <w:rPr>
          <w:rFonts w:hint="default"/>
          <w:color w:val="000000" w:themeColor="text1"/>
          <w:lang w:val="en-US" w:eastAsia="zh-CN"/>
          <w14:textFill>
            <w14:solidFill>
              <w14:schemeClr w14:val="tx1"/>
            </w14:solidFill>
          </w14:textFill>
        </w:rPr>
      </w:pPr>
      <w:r>
        <w:rPr>
          <w:rFonts w:hint="eastAsia" w:cs="宋体"/>
          <w:b/>
          <w:bCs/>
          <w:color w:val="000000" w:themeColor="text1"/>
          <w:kern w:val="0"/>
          <w:sz w:val="24"/>
          <w:szCs w:val="24"/>
          <w:lang w:eastAsia="zh-CN"/>
          <w14:textFill>
            <w14:solidFill>
              <w14:schemeClr w14:val="tx1"/>
            </w14:solidFill>
          </w14:textFill>
        </w:rPr>
        <w:t>服务采购需求</w:t>
      </w:r>
    </w:p>
    <w:p w14:paraId="6DF8A7DE">
      <w:pPr>
        <w:pStyle w:val="20"/>
        <w:keepNext w:val="0"/>
        <w:keepLines w:val="0"/>
        <w:pageBreakBefore w:val="0"/>
        <w:widowControl w:val="0"/>
        <w:kinsoku/>
        <w:wordWrap/>
        <w:overflowPunct/>
        <w:topLinePunct w:val="0"/>
        <w:autoSpaceDE w:val="0"/>
        <w:autoSpaceDN w:val="0"/>
        <w:bidi w:val="0"/>
        <w:adjustRightInd w:val="0"/>
        <w:snapToGrid/>
        <w:ind w:left="-708" w:leftChars="-337"/>
        <w:textAlignment w:val="auto"/>
        <w:rPr>
          <w:rFonts w:hint="eastAsia" w:eastAsia="宋体"/>
          <w:color w:val="FF0000"/>
          <w:sz w:val="24"/>
          <w:szCs w:val="24"/>
          <w:lang w:val="en-US" w:eastAsia="zh-CN"/>
        </w:rPr>
      </w:pPr>
      <w:r>
        <w:rPr>
          <w:rFonts w:hint="eastAsia"/>
          <w:color w:val="FF0000"/>
          <w:sz w:val="24"/>
          <w:szCs w:val="24"/>
          <w:lang w:val="en-US" w:eastAsia="zh-CN"/>
        </w:rPr>
        <w:t xml:space="preserve">   </w:t>
      </w:r>
      <w:r>
        <w:rPr>
          <w:rFonts w:hint="eastAsia"/>
          <w:color w:val="FF0000"/>
          <w:sz w:val="24"/>
          <w:szCs w:val="24"/>
          <w:u w:val="none" w:color="auto"/>
          <w:lang w:val="en-US" w:eastAsia="zh-CN"/>
        </w:rPr>
        <w:t xml:space="preserve"> </w:t>
      </w:r>
      <w:r>
        <w:rPr>
          <w:rFonts w:hint="eastAsia" w:ascii="宋体" w:hAnsi="宋体" w:eastAsia="宋体" w:cs="宋体"/>
          <w:b w:val="0"/>
          <w:bCs w:val="0"/>
          <w:i w:val="0"/>
          <w:iCs w:val="0"/>
          <w:caps w:val="0"/>
          <w:color w:val="auto"/>
          <w:spacing w:val="0"/>
          <w:sz w:val="24"/>
          <w:szCs w:val="24"/>
          <w:highlight w:val="none"/>
          <w:shd w:val="clear" w:fill="FFFFFF"/>
        </w:rPr>
        <w:t>本次采购需求为</w:t>
      </w:r>
      <w:r>
        <w:rPr>
          <w:rFonts w:hint="eastAsia" w:ascii="宋体" w:hAnsi="宋体" w:cs="宋体"/>
          <w:b w:val="0"/>
          <w:bCs w:val="0"/>
          <w:i w:val="0"/>
          <w:iCs w:val="0"/>
          <w:caps w:val="0"/>
          <w:color w:val="auto"/>
          <w:spacing w:val="0"/>
          <w:sz w:val="24"/>
          <w:szCs w:val="24"/>
          <w:highlight w:val="none"/>
          <w:shd w:val="clear" w:fill="FFFFFF"/>
          <w:lang w:eastAsia="zh-CN"/>
        </w:rPr>
        <w:t>贺州市华南民族养护院</w:t>
      </w:r>
      <w:r>
        <w:rPr>
          <w:rFonts w:hint="eastAsia" w:ascii="宋体" w:hAnsi="宋体" w:eastAsia="宋体" w:cs="宋体"/>
          <w:b w:val="0"/>
          <w:bCs w:val="0"/>
          <w:i w:val="0"/>
          <w:iCs w:val="0"/>
          <w:caps w:val="0"/>
          <w:color w:val="auto"/>
          <w:spacing w:val="0"/>
          <w:sz w:val="24"/>
          <w:szCs w:val="24"/>
          <w:highlight w:val="none"/>
          <w:shd w:val="clear" w:fill="FFFFFF"/>
        </w:rPr>
        <w:t>的测绘(多测合一)服务项目，测绘包括:规划定桩、建设工程规划核实测量、不动产测绘等服务工作</w:t>
      </w:r>
      <w:r>
        <w:rPr>
          <w:rFonts w:hint="eastAsia" w:ascii="宋体" w:hAnsi="宋体" w:eastAsia="宋体" w:cs="宋体"/>
          <w:b w:val="0"/>
          <w:bCs w:val="0"/>
          <w:i w:val="0"/>
          <w:iCs w:val="0"/>
          <w:caps w:val="0"/>
          <w:color w:val="auto"/>
          <w:spacing w:val="0"/>
          <w:sz w:val="24"/>
          <w:szCs w:val="24"/>
          <w:highlight w:val="none"/>
          <w:shd w:val="clear" w:fill="FFFFFF"/>
          <w:lang w:eastAsia="zh-CN"/>
        </w:rPr>
        <w:t>。</w:t>
      </w:r>
    </w:p>
    <w:p w14:paraId="5C3CFBFA">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lang w:val="en-US" w:eastAsia="zh-CN"/>
        </w:rPr>
        <w:t>项目产品</w:t>
      </w:r>
      <w:r>
        <w:rPr>
          <w:rFonts w:hint="eastAsia" w:cs="宋体"/>
          <w:b/>
          <w:bCs/>
          <w:color w:val="000000"/>
          <w:kern w:val="0"/>
          <w:sz w:val="24"/>
          <w:szCs w:val="24"/>
        </w:rPr>
        <w:t>基本要求</w:t>
      </w:r>
    </w:p>
    <w:p w14:paraId="596E1EA7">
      <w:pPr>
        <w:pStyle w:val="20"/>
        <w:ind w:left="-708" w:leftChars="-337"/>
        <w:rPr>
          <w:color w:val="auto"/>
        </w:rPr>
      </w:pPr>
      <w:r>
        <w:rPr>
          <w:rFonts w:hint="eastAsia"/>
          <w:color w:val="auto"/>
        </w:rPr>
        <w:t>1、投标人应保证所提供的</w:t>
      </w:r>
      <w:r>
        <w:rPr>
          <w:rFonts w:hint="eastAsia"/>
          <w:color w:val="auto"/>
          <w:lang w:eastAsia="zh-CN"/>
        </w:rPr>
        <w:t>文件、材料</w:t>
      </w:r>
      <w:r>
        <w:rPr>
          <w:rFonts w:hint="eastAsia"/>
          <w:color w:val="auto"/>
        </w:rPr>
        <w:t>或其任何一部分均不会侵犯任何第三方的专利权、商标权等，如在使用过程中出现的一切经济和法律责任均由投标人负责。</w:t>
      </w:r>
    </w:p>
    <w:p w14:paraId="091C4B40">
      <w:pPr>
        <w:pStyle w:val="20"/>
        <w:ind w:left="-708" w:leftChars="-337"/>
        <w:rPr>
          <w:color w:val="auto"/>
        </w:rPr>
      </w:pPr>
      <w:r>
        <w:rPr>
          <w:rFonts w:hint="eastAsia"/>
          <w:color w:val="auto"/>
          <w:lang w:val="en-US" w:eastAsia="zh-CN"/>
        </w:rPr>
        <w:t>2</w:t>
      </w:r>
      <w:r>
        <w:rPr>
          <w:rFonts w:hint="eastAsia"/>
          <w:color w:val="auto"/>
        </w:rPr>
        <w:t>、投标总价必须包含售后服务、税金及其它所有费用的总和，如另有要求请在投标文件中注明。</w:t>
      </w:r>
    </w:p>
    <w:p w14:paraId="4C426F06">
      <w:pPr>
        <w:pStyle w:val="20"/>
        <w:ind w:left="-708" w:leftChars="-337"/>
        <w:rPr>
          <w:rFonts w:hint="eastAsia" w:cs="宋体"/>
          <w:b/>
          <w:bCs/>
        </w:rPr>
      </w:pPr>
      <w:r>
        <w:rPr>
          <w:rFonts w:hint="eastAsia" w:cs="宋体"/>
          <w:b/>
          <w:bCs/>
        </w:rPr>
        <w:t>（四）商务要求</w:t>
      </w:r>
    </w:p>
    <w:p w14:paraId="593F5F39">
      <w:pPr>
        <w:pStyle w:val="20"/>
        <w:ind w:left="-708" w:leftChars="-337"/>
        <w:rPr>
          <w:rFonts w:hint="default" w:eastAsia="宋体" w:cs="宋体"/>
          <w:b w:val="0"/>
          <w:bCs w:val="0"/>
          <w:lang w:val="en-US" w:eastAsia="zh-CN"/>
        </w:rPr>
      </w:pPr>
      <w:r>
        <w:rPr>
          <w:rFonts w:hint="eastAsia" w:cs="宋体"/>
          <w:b/>
          <w:bCs/>
          <w:lang w:val="en-US" w:eastAsia="zh-CN"/>
        </w:rPr>
        <w:t>1、投标人资格要求</w:t>
      </w:r>
    </w:p>
    <w:p w14:paraId="400D06E5">
      <w:pPr>
        <w:pStyle w:val="20"/>
        <w:ind w:left="-708" w:leftChars="-337"/>
        <w:rPr>
          <w:rFonts w:hint="eastAsia" w:eastAsia="宋体" w:cs="宋体"/>
          <w:color w:val="FF0000"/>
          <w:lang w:val="en-US" w:eastAsia="zh-CN"/>
        </w:rPr>
      </w:pPr>
      <w:r>
        <w:rPr>
          <w:rFonts w:hint="eastAsia" w:cs="宋体"/>
          <w:color w:val="FF0000"/>
        </w:rPr>
        <w:t>1</w:t>
      </w:r>
      <w:r>
        <w:rPr>
          <w:rFonts w:hint="eastAsia" w:cs="宋体"/>
          <w:color w:val="FF0000"/>
          <w:lang w:eastAsia="zh-CN"/>
        </w:rPr>
        <w:t>）</w:t>
      </w:r>
      <w:r>
        <w:rPr>
          <w:rFonts w:hint="eastAsia" w:ascii="宋体" w:hAnsi="宋体" w:cs="宋体"/>
          <w:bCs/>
          <w:color w:val="FF0000"/>
          <w:szCs w:val="21"/>
          <w:lang w:bidi="ar"/>
        </w:rPr>
        <w:t>竞争性谈判供应商应为满足《中华人民共和国政府采购法（中华人民共和国主席令第八十六号）》第二十二条规定各项标准的法人、其他组织或者自然人</w:t>
      </w:r>
      <w:r>
        <w:rPr>
          <w:rFonts w:hint="eastAsia" w:ascii="宋体" w:hAnsi="宋体" w:cs="宋体"/>
          <w:bCs/>
          <w:color w:val="FF0000"/>
          <w:szCs w:val="21"/>
          <w:lang w:eastAsia="zh-CN" w:bidi="ar"/>
        </w:rPr>
        <w:t>。</w:t>
      </w:r>
    </w:p>
    <w:p w14:paraId="0ED1ED25">
      <w:pPr>
        <w:pStyle w:val="20"/>
        <w:ind w:left="-708" w:leftChars="-337"/>
        <w:rPr>
          <w:rFonts w:cs="宋体"/>
          <w:color w:val="FF0000"/>
        </w:rPr>
      </w:pPr>
      <w:r>
        <w:rPr>
          <w:rFonts w:hint="eastAsia" w:cs="宋体"/>
          <w:color w:val="FF0000"/>
        </w:rPr>
        <w:t>2</w:t>
      </w:r>
      <w:r>
        <w:rPr>
          <w:rFonts w:hint="eastAsia" w:cs="宋体"/>
          <w:color w:val="FF0000"/>
          <w:lang w:eastAsia="zh-CN"/>
        </w:rPr>
        <w:t>）</w:t>
      </w:r>
      <w:r>
        <w:rPr>
          <w:rFonts w:hint="eastAsia" w:cs="宋体"/>
          <w:color w:val="FF0000"/>
        </w:rPr>
        <w:t>被列入失信被执行人、重大税收违法案件当事人名单、政府采购严重违法失信行为记录名单及其他不符合《中华人民共和国政府采购法》第二十二条规定条件的供应商，将被拒绝其参与本次招投标活动（在“信用中国”网站（www.creditchina.gov.cn）或“中国政府采购网”（www.ccgp.gov.cn）查询相关供应商主体信用记录。）</w:t>
      </w:r>
    </w:p>
    <w:p w14:paraId="06F2FCC3">
      <w:pPr>
        <w:pStyle w:val="20"/>
        <w:ind w:left="-708" w:leftChars="-337"/>
        <w:rPr>
          <w:rFonts w:hint="eastAsia" w:cs="宋体"/>
          <w:color w:val="FF0000"/>
        </w:rPr>
      </w:pPr>
      <w:r>
        <w:rPr>
          <w:rFonts w:hint="eastAsia" w:cs="宋体"/>
          <w:color w:val="FF0000"/>
        </w:rPr>
        <w:t>3</w:t>
      </w:r>
      <w:r>
        <w:rPr>
          <w:rFonts w:hint="eastAsia" w:cs="宋体"/>
          <w:color w:val="FF0000"/>
          <w:lang w:eastAsia="zh-CN"/>
        </w:rPr>
        <w:t>）</w:t>
      </w:r>
      <w:r>
        <w:rPr>
          <w:rFonts w:hint="eastAsia" w:cs="宋体"/>
          <w:color w:val="FF0000"/>
        </w:rPr>
        <w:t>被列入我院投标人黑名单（在我院招投标活动中存在2次违规行为）未满3年的投标人将被拒绝其参与本次招投标活动。</w:t>
      </w:r>
    </w:p>
    <w:p w14:paraId="08479D14">
      <w:pPr>
        <w:pStyle w:val="20"/>
        <w:ind w:left="-708" w:leftChars="-337"/>
        <w:rPr>
          <w:rFonts w:hint="eastAsia" w:cs="宋体"/>
          <w:color w:val="FF0000"/>
        </w:rPr>
      </w:pPr>
      <w:r>
        <w:rPr>
          <w:rFonts w:hint="eastAsia" w:cs="宋体"/>
          <w:color w:val="FF0000"/>
          <w:lang w:val="en-US" w:eastAsia="zh-CN"/>
        </w:rPr>
        <w:t>4）</w:t>
      </w:r>
      <w:r>
        <w:rPr>
          <w:rFonts w:hint="eastAsia" w:cs="宋体"/>
          <w:color w:val="FF0000"/>
        </w:rPr>
        <w:t>本项目不接收联合体投标。</w:t>
      </w:r>
    </w:p>
    <w:p w14:paraId="1C560B59">
      <w:pPr>
        <w:pStyle w:val="20"/>
        <w:ind w:left="-708" w:leftChars="-337"/>
        <w:rPr>
          <w:rFonts w:hint="eastAsia" w:eastAsia="宋体" w:cs="宋体"/>
          <w:color w:val="FF0000"/>
          <w:sz w:val="24"/>
          <w:szCs w:val="24"/>
          <w:lang w:val="en-US" w:eastAsia="zh-CN"/>
        </w:rPr>
      </w:pPr>
      <w:r>
        <w:rPr>
          <w:rFonts w:hint="eastAsia" w:cs="宋体"/>
          <w:color w:val="FF0000"/>
          <w:sz w:val="24"/>
          <w:szCs w:val="24"/>
          <w:lang w:val="en-US" w:eastAsia="zh-CN"/>
        </w:rPr>
        <w:t>5）</w:t>
      </w:r>
      <w:r>
        <w:rPr>
          <w:rFonts w:hint="eastAsia" w:cs="宋体"/>
          <w:color w:val="FF0000"/>
          <w:kern w:val="0"/>
          <w:sz w:val="24"/>
          <w:szCs w:val="24"/>
        </w:rPr>
        <w:t>营业执照的经营范围有工程测量、不动产测绘或测绘服务等测绘业务范围的</w:t>
      </w:r>
      <w:r>
        <w:rPr>
          <w:rFonts w:hint="eastAsia" w:ascii="宋体"/>
          <w:color w:val="FF0000"/>
          <w:sz w:val="24"/>
          <w:szCs w:val="24"/>
          <w:highlight w:val="none"/>
          <w:lang w:val="en-US" w:eastAsia="zh-CN"/>
        </w:rPr>
        <w:t>。</w:t>
      </w:r>
    </w:p>
    <w:p w14:paraId="2918E9A5">
      <w:pPr>
        <w:pStyle w:val="20"/>
        <w:ind w:left="-708" w:leftChars="-337"/>
        <w:rPr>
          <w:rFonts w:hint="eastAsia"/>
          <w:b w:val="0"/>
          <w:bCs w:val="0"/>
          <w:color w:val="FF0000"/>
          <w:spacing w:val="-8"/>
          <w:szCs w:val="21"/>
          <w:highlight w:val="none"/>
          <w:u w:val="single"/>
          <w:lang w:val="en-US" w:eastAsia="zh-CN"/>
        </w:rPr>
      </w:pPr>
      <w:r>
        <w:rPr>
          <w:rFonts w:hint="eastAsia" w:ascii="宋体" w:hAnsi="宋体" w:cs="黑体"/>
          <w:b w:val="0"/>
          <w:bCs w:val="0"/>
          <w:color w:val="FF0000"/>
          <w:szCs w:val="21"/>
          <w:highlight w:val="none"/>
          <w:lang w:val="en-US" w:eastAsia="zh-CN"/>
        </w:rPr>
        <w:t>6)</w:t>
      </w:r>
      <w:bookmarkStart w:id="0" w:name="OLE_LINK3"/>
      <w:r>
        <w:rPr>
          <w:rFonts w:hint="eastAsia" w:ascii="宋体" w:hAnsi="宋体" w:cs="黑体"/>
          <w:b w:val="0"/>
          <w:bCs w:val="0"/>
          <w:color w:val="FF0000"/>
          <w:szCs w:val="21"/>
          <w:highlight w:val="none"/>
        </w:rPr>
        <w:t>是否专</w:t>
      </w:r>
      <w:r>
        <w:rPr>
          <w:rFonts w:hint="eastAsia"/>
          <w:b w:val="0"/>
          <w:bCs w:val="0"/>
          <w:color w:val="FF0000"/>
          <w:spacing w:val="-8"/>
          <w:szCs w:val="21"/>
          <w:highlight w:val="none"/>
        </w:rPr>
        <w:t>门面向“中小企业”开放</w:t>
      </w:r>
      <w:r>
        <w:rPr>
          <w:rFonts w:hint="eastAsia" w:ascii="宋体" w:hAnsi="宋体"/>
          <w:b w:val="0"/>
          <w:bCs w:val="0"/>
          <w:color w:val="FF0000"/>
          <w:szCs w:val="21"/>
          <w:highlight w:val="none"/>
          <w:lang w:eastAsia="zh-CN"/>
        </w:rPr>
        <w:t>竞标</w:t>
      </w:r>
      <w:r>
        <w:rPr>
          <w:rFonts w:hint="eastAsia"/>
          <w:b w:val="0"/>
          <w:bCs w:val="0"/>
          <w:color w:val="FF0000"/>
          <w:spacing w:val="-8"/>
          <w:szCs w:val="21"/>
          <w:highlight w:val="none"/>
        </w:rPr>
        <w:t>：</w:t>
      </w:r>
      <w:r>
        <w:rPr>
          <w:rFonts w:hint="eastAsia"/>
          <w:b w:val="0"/>
          <w:bCs w:val="0"/>
          <w:color w:val="FF0000"/>
          <w:spacing w:val="-8"/>
          <w:szCs w:val="21"/>
          <w:highlight w:val="none"/>
          <w:u w:val="single"/>
          <w:lang w:val="en-US" w:eastAsia="zh-CN"/>
        </w:rPr>
        <w:t xml:space="preserve">     是        </w:t>
      </w:r>
      <w:bookmarkEnd w:id="0"/>
    </w:p>
    <w:p w14:paraId="343BA704">
      <w:pPr>
        <w:pStyle w:val="20"/>
        <w:ind w:left="-708" w:leftChars="-337"/>
        <w:rPr>
          <w:rFonts w:hint="default" w:cs="宋体"/>
          <w:b/>
          <w:bCs/>
          <w:lang w:val="en-US" w:eastAsia="zh-CN"/>
        </w:rPr>
      </w:pPr>
      <w:r>
        <w:rPr>
          <w:rFonts w:hint="eastAsia" w:cs="宋体"/>
          <w:b/>
          <w:bCs/>
          <w:lang w:val="en-US" w:eastAsia="zh-CN"/>
        </w:rPr>
        <w:t>2、投标产品资格要求</w:t>
      </w:r>
    </w:p>
    <w:p w14:paraId="3DE11D56">
      <w:pPr>
        <w:pStyle w:val="20"/>
        <w:ind w:left="-708" w:leftChars="-337"/>
        <w:rPr>
          <w:rFonts w:hint="default" w:cs="宋体"/>
          <w:lang w:val="en-US" w:eastAsia="zh-CN"/>
        </w:rPr>
      </w:pPr>
      <w:r>
        <w:rPr>
          <w:rFonts w:hint="eastAsia" w:cs="宋体"/>
          <w:lang w:val="en-US" w:eastAsia="zh-CN"/>
        </w:rPr>
        <w:t>1）本项目支持创新产品、节能优化产品、环境标识产品、中小企业发展等政府采购政策。</w:t>
      </w:r>
    </w:p>
    <w:p w14:paraId="6819D467">
      <w:pPr>
        <w:pStyle w:val="20"/>
        <w:ind w:left="-708" w:leftChars="-337"/>
        <w:rPr>
          <w:rFonts w:hint="eastAsia" w:eastAsia="宋体"/>
          <w:color w:val="FF0000"/>
          <w:lang w:eastAsia="zh-CN"/>
        </w:rPr>
      </w:pPr>
      <w:r>
        <w:rPr>
          <w:rFonts w:hint="eastAsia"/>
          <w:b/>
          <w:bCs/>
          <w:color w:val="FF0000"/>
        </w:rPr>
        <w:t>3、</w:t>
      </w:r>
      <w:r>
        <w:rPr>
          <w:rFonts w:hint="eastAsia"/>
          <w:b/>
          <w:bCs/>
          <w:color w:val="FF0000"/>
          <w:lang w:eastAsia="zh-CN"/>
        </w:rPr>
        <w:t>服务要求</w:t>
      </w:r>
    </w:p>
    <w:p w14:paraId="18165A5C">
      <w:pPr>
        <w:pStyle w:val="20"/>
        <w:ind w:left="-708" w:leftChars="-337"/>
        <w:rPr>
          <w:rFonts w:hint="eastAsia"/>
          <w:color w:val="FF0000"/>
          <w:kern w:val="0"/>
          <w:sz w:val="24"/>
          <w:szCs w:val="24"/>
          <w:highlight w:val="none"/>
          <w:lang w:val="en-US" w:eastAsia="zh-CN"/>
        </w:rPr>
      </w:pPr>
      <w:r>
        <w:rPr>
          <w:rFonts w:hint="eastAsia" w:cs="宋体"/>
          <w:color w:val="FF0000"/>
          <w:kern w:val="0"/>
          <w:sz w:val="24"/>
          <w:szCs w:val="24"/>
          <w:lang w:val="en-US" w:eastAsia="zh-CN"/>
        </w:rPr>
        <w:t>1）项目</w:t>
      </w:r>
      <w:r>
        <w:rPr>
          <w:rFonts w:hint="eastAsia" w:cs="宋体"/>
          <w:color w:val="FF0000"/>
          <w:kern w:val="0"/>
          <w:sz w:val="24"/>
          <w:szCs w:val="24"/>
        </w:rPr>
        <w:t>地点</w:t>
      </w:r>
      <w:r>
        <w:rPr>
          <w:rFonts w:hint="eastAsia" w:cs="宋体"/>
          <w:color w:val="FF0000"/>
          <w:kern w:val="0"/>
          <w:sz w:val="24"/>
          <w:szCs w:val="24"/>
          <w:lang w:eastAsia="zh-CN"/>
        </w:rPr>
        <w:t>及工期</w:t>
      </w:r>
      <w:r>
        <w:rPr>
          <w:rFonts w:hint="eastAsia" w:cs="宋体"/>
          <w:color w:val="FF0000"/>
          <w:kern w:val="0"/>
          <w:sz w:val="24"/>
          <w:szCs w:val="24"/>
        </w:rPr>
        <w:t>：</w:t>
      </w:r>
      <w:r>
        <w:rPr>
          <w:rFonts w:hint="eastAsia" w:ascii="宋体" w:hAnsi="宋体" w:eastAsia="宋体" w:cs="宋体"/>
          <w:color w:val="FF0000"/>
          <w:kern w:val="0"/>
          <w:sz w:val="24"/>
        </w:rPr>
        <w:t>贺州市</w:t>
      </w:r>
      <w:r>
        <w:rPr>
          <w:rFonts w:hint="eastAsia" w:ascii="宋体" w:hAnsi="宋体" w:eastAsia="宋体" w:cs="宋体"/>
          <w:color w:val="FF0000"/>
          <w:kern w:val="0"/>
          <w:sz w:val="24"/>
          <w:lang w:eastAsia="zh-CN"/>
        </w:rPr>
        <w:t>潇贺大道与职院巷交汇处东南侧</w:t>
      </w:r>
      <w:r>
        <w:rPr>
          <w:rFonts w:hint="eastAsia" w:ascii="宋体" w:hAnsi="宋体" w:eastAsia="宋体" w:cs="宋体"/>
          <w:color w:val="FF0000"/>
          <w:kern w:val="0"/>
          <w:sz w:val="24"/>
          <w:lang w:val="en-US" w:eastAsia="zh-CN"/>
        </w:rPr>
        <w:t>A地块</w:t>
      </w:r>
      <w:r>
        <w:rPr>
          <w:rFonts w:hint="eastAsia" w:ascii="宋体" w:hAnsi="宋体" w:eastAsia="宋体" w:cs="宋体"/>
          <w:color w:val="FF0000"/>
          <w:kern w:val="0"/>
          <w:sz w:val="24"/>
        </w:rPr>
        <w:t>路</w:t>
      </w:r>
      <w:r>
        <w:rPr>
          <w:rFonts w:hint="eastAsia" w:cs="宋体"/>
          <w:color w:val="FF0000"/>
          <w:kern w:val="0"/>
          <w:sz w:val="24"/>
          <w:szCs w:val="24"/>
          <w:highlight w:val="none"/>
          <w:lang w:val="en-US" w:eastAsia="zh-CN"/>
        </w:rPr>
        <w:t>。计价方式：</w:t>
      </w:r>
      <w:r>
        <w:rPr>
          <w:rFonts w:hint="eastAsia" w:cs="宋体"/>
          <w:color w:val="FF0000"/>
          <w:kern w:val="0"/>
          <w:sz w:val="24"/>
          <w:szCs w:val="24"/>
          <w:highlight w:val="none"/>
          <w:u w:val="single"/>
          <w:lang w:val="en-US" w:eastAsia="zh-CN"/>
        </w:rPr>
        <w:t>总价包干</w:t>
      </w:r>
      <w:r>
        <w:rPr>
          <w:rFonts w:hint="eastAsia" w:cs="宋体"/>
          <w:color w:val="FF0000"/>
          <w:kern w:val="0"/>
          <w:sz w:val="24"/>
          <w:szCs w:val="24"/>
          <w:highlight w:val="none"/>
          <w:lang w:val="en-US" w:eastAsia="zh-CN"/>
        </w:rPr>
        <w:t>，</w:t>
      </w:r>
      <w:r>
        <w:rPr>
          <w:rFonts w:hint="eastAsia" w:ascii="宋体" w:hAnsi="宋体" w:eastAsia="宋体" w:cs="宋体"/>
          <w:bCs/>
          <w:color w:val="FF0000"/>
          <w:sz w:val="24"/>
          <w:szCs w:val="24"/>
          <w:highlight w:val="none"/>
        </w:rPr>
        <w:t>自合同签订之日起至服务期结束</w:t>
      </w:r>
      <w:r>
        <w:rPr>
          <w:rFonts w:hint="eastAsia" w:cs="宋体"/>
          <w:color w:val="FF0000"/>
          <w:kern w:val="0"/>
          <w:sz w:val="24"/>
          <w:szCs w:val="24"/>
          <w:highlight w:val="none"/>
          <w:lang w:val="en-US" w:eastAsia="zh-CN"/>
        </w:rPr>
        <w:t>。</w:t>
      </w:r>
      <w:r>
        <w:rPr>
          <w:color w:val="FF0000"/>
          <w:kern w:val="0"/>
          <w:sz w:val="24"/>
          <w:szCs w:val="24"/>
          <w:highlight w:val="none"/>
        </w:rPr>
        <w:t xml:space="preserve">    </w:t>
      </w:r>
      <w:r>
        <w:rPr>
          <w:rFonts w:hint="eastAsia"/>
          <w:color w:val="FF0000"/>
          <w:kern w:val="0"/>
          <w:sz w:val="24"/>
          <w:szCs w:val="24"/>
          <w:highlight w:val="none"/>
          <w:lang w:val="en-US" w:eastAsia="zh-CN"/>
        </w:rPr>
        <w:t xml:space="preserve">       </w:t>
      </w:r>
    </w:p>
    <w:p w14:paraId="54E7602A">
      <w:pPr>
        <w:pStyle w:val="20"/>
        <w:ind w:left="-708" w:leftChars="-337"/>
        <w:rPr>
          <w:color w:val="FF0000"/>
          <w:kern w:val="0"/>
          <w:sz w:val="24"/>
          <w:szCs w:val="24"/>
        </w:rPr>
      </w:pPr>
      <w:r>
        <w:rPr>
          <w:rFonts w:hint="eastAsia" w:ascii="宋体" w:hAnsi="宋体" w:eastAsia="宋体" w:cs="宋体"/>
          <w:color w:val="FF0000"/>
          <w:kern w:val="0"/>
          <w:sz w:val="24"/>
          <w:szCs w:val="24"/>
          <w:highlight w:val="none"/>
          <w:lang w:val="en-US" w:eastAsia="zh-CN"/>
        </w:rPr>
        <w:t>2）付款条件（进度和方式）：</w:t>
      </w:r>
      <w:bookmarkStart w:id="1" w:name="OLE_LINK4"/>
      <w:r>
        <w:rPr>
          <w:rFonts w:hint="eastAsia" w:ascii="宋体" w:hAnsi="宋体" w:cs="宋体"/>
          <w:color w:val="FF0000"/>
          <w:kern w:val="0"/>
          <w:sz w:val="24"/>
          <w:szCs w:val="24"/>
          <w:highlight w:val="none"/>
          <w:lang w:val="en-US" w:eastAsia="zh-CN"/>
        </w:rPr>
        <w:t>合同签订后，完成测绘，提供报告后，</w:t>
      </w:r>
      <w:r>
        <w:rPr>
          <w:rFonts w:hint="eastAsia" w:ascii="宋体" w:hAnsi="宋体"/>
          <w:b w:val="0"/>
          <w:bCs w:val="0"/>
          <w:color w:val="FF0000"/>
          <w:sz w:val="24"/>
          <w:highlight w:val="none"/>
          <w:lang w:val="en-US" w:eastAsia="zh-CN"/>
        </w:rPr>
        <w:t>支付合同金额的100%</w:t>
      </w:r>
      <w:bookmarkEnd w:id="1"/>
      <w:r>
        <w:rPr>
          <w:rFonts w:hint="eastAsia" w:ascii="宋体" w:hAnsi="宋体"/>
          <w:b w:val="0"/>
          <w:bCs w:val="0"/>
          <w:color w:val="FF0000"/>
          <w:sz w:val="24"/>
          <w:highlight w:val="none"/>
          <w:lang w:val="en-US" w:eastAsia="zh-CN"/>
        </w:rPr>
        <w:t>。</w:t>
      </w:r>
      <w:r>
        <w:rPr>
          <w:color w:val="FF0000"/>
          <w:kern w:val="0"/>
          <w:sz w:val="24"/>
          <w:szCs w:val="24"/>
          <w:highlight w:val="none"/>
        </w:rPr>
        <w:t xml:space="preserve"> </w:t>
      </w:r>
      <w:r>
        <w:rPr>
          <w:color w:val="FF0000"/>
          <w:kern w:val="0"/>
          <w:sz w:val="24"/>
          <w:szCs w:val="24"/>
        </w:rPr>
        <w:t xml:space="preserve"> </w:t>
      </w:r>
    </w:p>
    <w:p w14:paraId="5AC81C8C">
      <w:pPr>
        <w:pStyle w:val="20"/>
        <w:ind w:left="-708" w:leftChars="-337" w:firstLine="480" w:firstLineChars="200"/>
        <w:rPr>
          <w:color w:val="FF0000"/>
          <w:kern w:val="0"/>
          <w:sz w:val="24"/>
          <w:szCs w:val="24"/>
        </w:rPr>
      </w:pPr>
      <w:r>
        <w:rPr>
          <w:rFonts w:hint="eastAsia" w:cs="宋体"/>
          <w:color w:val="FF0000"/>
          <w:kern w:val="0"/>
          <w:sz w:val="24"/>
          <w:szCs w:val="24"/>
        </w:rPr>
        <w:t>如验收不合格以及发现伪劣产品等，招标人将视情形采取退货、拒付款、终止合同、索赔等措施，直至通过有关部门，依法维权。</w:t>
      </w:r>
      <w:r>
        <w:rPr>
          <w:color w:val="FF0000"/>
          <w:kern w:val="0"/>
          <w:sz w:val="24"/>
          <w:szCs w:val="24"/>
        </w:rPr>
        <w:t xml:space="preserve">    </w:t>
      </w:r>
    </w:p>
    <w:p w14:paraId="48DFF636">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0EB8BC26">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14D326EA">
      <w:pPr>
        <w:widowControl/>
        <w:spacing w:line="360" w:lineRule="auto"/>
        <w:ind w:left="-708" w:leftChars="-338" w:hanging="2"/>
        <w:jc w:val="left"/>
        <w:rPr>
          <w:rFonts w:cs="宋体"/>
          <w:b/>
          <w:bCs/>
          <w:kern w:val="0"/>
          <w:sz w:val="28"/>
          <w:szCs w:val="28"/>
        </w:rPr>
      </w:pPr>
      <w:r>
        <w:rPr>
          <w:kern w:val="0"/>
          <w:sz w:val="24"/>
          <w:szCs w:val="24"/>
        </w:rPr>
        <w:t> </w:t>
      </w:r>
      <w:r>
        <w:rPr>
          <w:rFonts w:hint="eastAsia"/>
          <w:b/>
          <w:bCs/>
          <w:kern w:val="0"/>
          <w:sz w:val="28"/>
          <w:szCs w:val="28"/>
          <w:lang w:val="en-US" w:eastAsia="zh-CN"/>
        </w:rPr>
        <w:t>三</w:t>
      </w:r>
      <w:r>
        <w:rPr>
          <w:rFonts w:hint="eastAsia" w:cs="宋体"/>
          <w:b/>
          <w:bCs/>
          <w:kern w:val="0"/>
          <w:sz w:val="28"/>
          <w:szCs w:val="28"/>
        </w:rPr>
        <w:t>、其他</w:t>
      </w:r>
    </w:p>
    <w:p w14:paraId="1E3B5AF7">
      <w:pPr>
        <w:pStyle w:val="20"/>
        <w:rPr>
          <w:rFonts w:hint="eastAsia" w:eastAsia="宋体"/>
          <w:lang w:eastAsia="zh-CN"/>
        </w:rPr>
      </w:pPr>
      <w:r>
        <w:rPr>
          <w:rFonts w:hint="eastAsia"/>
          <w:lang w:eastAsia="zh-CN"/>
        </w:rPr>
        <w:t>无。</w:t>
      </w:r>
    </w:p>
    <w:p w14:paraId="31A6F93B">
      <w:pPr>
        <w:widowControl/>
        <w:spacing w:line="360" w:lineRule="auto"/>
        <w:ind w:left="-708" w:leftChars="-338" w:hanging="2"/>
        <w:jc w:val="left"/>
        <w:rPr>
          <w:rFonts w:cs="宋体"/>
          <w:b/>
          <w:bCs/>
          <w:kern w:val="0"/>
          <w:sz w:val="28"/>
          <w:szCs w:val="28"/>
        </w:rPr>
      </w:pPr>
      <w:r>
        <w:rPr>
          <w:rFonts w:hint="eastAsia" w:cs="宋体"/>
          <w:b/>
          <w:bCs/>
          <w:kern w:val="0"/>
          <w:sz w:val="28"/>
          <w:szCs w:val="28"/>
          <w:lang w:val="en-US" w:eastAsia="zh-CN"/>
        </w:rPr>
        <w:t>四</w:t>
      </w:r>
      <w:r>
        <w:rPr>
          <w:rFonts w:hint="eastAsia" w:cs="宋体"/>
          <w:b/>
          <w:bCs/>
          <w:kern w:val="0"/>
          <w:sz w:val="28"/>
          <w:szCs w:val="28"/>
        </w:rPr>
        <w:t>、特别说明</w:t>
      </w:r>
    </w:p>
    <w:p w14:paraId="2491C826">
      <w:pPr>
        <w:widowControl/>
        <w:spacing w:line="400" w:lineRule="exact"/>
        <w:ind w:left="-613" w:leftChars="-292" w:firstLine="412" w:firstLineChars="172"/>
        <w:jc w:val="left"/>
        <w:rPr>
          <w:rFonts w:cs="宋体"/>
          <w:kern w:val="0"/>
          <w:sz w:val="24"/>
          <w:szCs w:val="24"/>
        </w:rPr>
      </w:pPr>
      <w:r>
        <w:rPr>
          <w:rFonts w:hint="eastAsia" w:cs="宋体"/>
          <w:kern w:val="0"/>
          <w:sz w:val="24"/>
          <w:szCs w:val="24"/>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0F084158">
      <w:pPr>
        <w:widowControl/>
        <w:jc w:val="center"/>
        <w:rPr>
          <w:b/>
          <w:bCs/>
          <w:kern w:val="0"/>
        </w:rPr>
      </w:pPr>
      <w:r>
        <w:rPr>
          <w:b/>
          <w:bCs/>
          <w:kern w:val="0"/>
        </w:rPr>
        <w:br w:type="page"/>
      </w: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298540EC">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01547E13">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u w:val="single"/>
          <w:lang w:val="en-US" w:eastAsia="zh-CN"/>
        </w:rPr>
        <w:t xml:space="preserve">  </w:t>
      </w:r>
      <w:r>
        <w:rPr>
          <w:rFonts w:hint="eastAsia" w:cs="宋体"/>
          <w:b/>
          <w:bCs/>
          <w:kern w:val="0"/>
          <w:sz w:val="24"/>
          <w:szCs w:val="24"/>
          <w:u w:val="single"/>
          <w:lang w:eastAsia="zh-CN"/>
        </w:rPr>
        <w:t>最低评标价法</w:t>
      </w:r>
      <w:r>
        <w:rPr>
          <w:rFonts w:hint="eastAsia" w:cs="宋体"/>
          <w:b/>
          <w:bCs/>
          <w:kern w:val="0"/>
          <w:sz w:val="24"/>
          <w:szCs w:val="24"/>
          <w:u w:val="single"/>
          <w:lang w:val="en-US" w:eastAsia="zh-CN"/>
        </w:rPr>
        <w:t xml:space="preserve">  </w:t>
      </w:r>
      <w:r>
        <w:rPr>
          <w:rFonts w:hint="eastAsia" w:cs="宋体"/>
          <w:kern w:val="0"/>
          <w:sz w:val="24"/>
          <w:szCs w:val="24"/>
        </w:rPr>
        <w:t>确定中标候选人。</w:t>
      </w:r>
    </w:p>
    <w:p w14:paraId="1848544A">
      <w:pPr>
        <w:pStyle w:val="20"/>
      </w:pPr>
      <w:bookmarkStart w:id="2" w:name="_GoBack"/>
      <w:bookmarkEnd w:id="2"/>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14861fb6-b3e4-47e9-98da-d06ae9be1e21"/>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B56736"/>
    <w:rsid w:val="07E61381"/>
    <w:rsid w:val="094E71DE"/>
    <w:rsid w:val="0A795D65"/>
    <w:rsid w:val="0CC05EEA"/>
    <w:rsid w:val="0D9661D9"/>
    <w:rsid w:val="0DAB0B9B"/>
    <w:rsid w:val="0E39434A"/>
    <w:rsid w:val="0E6B1369"/>
    <w:rsid w:val="0E8C22E1"/>
    <w:rsid w:val="0ECE5049"/>
    <w:rsid w:val="10C97A40"/>
    <w:rsid w:val="10EC6F96"/>
    <w:rsid w:val="111563A0"/>
    <w:rsid w:val="11AC7198"/>
    <w:rsid w:val="122B15C9"/>
    <w:rsid w:val="12713099"/>
    <w:rsid w:val="12C97D37"/>
    <w:rsid w:val="13703BE0"/>
    <w:rsid w:val="1461070D"/>
    <w:rsid w:val="157601E9"/>
    <w:rsid w:val="15F2595E"/>
    <w:rsid w:val="166F4544"/>
    <w:rsid w:val="17BF5E77"/>
    <w:rsid w:val="188C387F"/>
    <w:rsid w:val="1B0B13D3"/>
    <w:rsid w:val="1B513EBB"/>
    <w:rsid w:val="1E622ABE"/>
    <w:rsid w:val="1FE16BA6"/>
    <w:rsid w:val="215C3DE6"/>
    <w:rsid w:val="21B710F4"/>
    <w:rsid w:val="21ED6642"/>
    <w:rsid w:val="2201708C"/>
    <w:rsid w:val="2217240B"/>
    <w:rsid w:val="2218153E"/>
    <w:rsid w:val="22486A69"/>
    <w:rsid w:val="22560A16"/>
    <w:rsid w:val="22D374CF"/>
    <w:rsid w:val="23720241"/>
    <w:rsid w:val="23CD191B"/>
    <w:rsid w:val="250B520A"/>
    <w:rsid w:val="25773183"/>
    <w:rsid w:val="26431704"/>
    <w:rsid w:val="26CD4569"/>
    <w:rsid w:val="26E8332C"/>
    <w:rsid w:val="27D01D3D"/>
    <w:rsid w:val="27D34CA5"/>
    <w:rsid w:val="28110468"/>
    <w:rsid w:val="293A4A87"/>
    <w:rsid w:val="29D6543B"/>
    <w:rsid w:val="2CD07D87"/>
    <w:rsid w:val="2E44559E"/>
    <w:rsid w:val="311834AF"/>
    <w:rsid w:val="318469E5"/>
    <w:rsid w:val="3194337D"/>
    <w:rsid w:val="33AD09CA"/>
    <w:rsid w:val="35D22DC1"/>
    <w:rsid w:val="364A2958"/>
    <w:rsid w:val="3737378F"/>
    <w:rsid w:val="3806606D"/>
    <w:rsid w:val="397701BE"/>
    <w:rsid w:val="3B546CEC"/>
    <w:rsid w:val="3EA21DFC"/>
    <w:rsid w:val="3F8769CB"/>
    <w:rsid w:val="40B22188"/>
    <w:rsid w:val="40EF415A"/>
    <w:rsid w:val="41366ED0"/>
    <w:rsid w:val="484C6A03"/>
    <w:rsid w:val="484D14FE"/>
    <w:rsid w:val="48D85C25"/>
    <w:rsid w:val="49A95790"/>
    <w:rsid w:val="4A6022F2"/>
    <w:rsid w:val="4A8E2CDD"/>
    <w:rsid w:val="4B646D8B"/>
    <w:rsid w:val="4C1C5576"/>
    <w:rsid w:val="4C3E6663"/>
    <w:rsid w:val="4CD9638C"/>
    <w:rsid w:val="4D442BFB"/>
    <w:rsid w:val="4D781BD4"/>
    <w:rsid w:val="4DA009DA"/>
    <w:rsid w:val="4DA97E72"/>
    <w:rsid w:val="4DB9683E"/>
    <w:rsid w:val="4F3439C9"/>
    <w:rsid w:val="4F3D41BA"/>
    <w:rsid w:val="50502E0F"/>
    <w:rsid w:val="51794369"/>
    <w:rsid w:val="51B2246F"/>
    <w:rsid w:val="539906F6"/>
    <w:rsid w:val="545321BD"/>
    <w:rsid w:val="55D712FC"/>
    <w:rsid w:val="567B36A4"/>
    <w:rsid w:val="56E147BB"/>
    <w:rsid w:val="57783371"/>
    <w:rsid w:val="589150FF"/>
    <w:rsid w:val="590742AD"/>
    <w:rsid w:val="591470C9"/>
    <w:rsid w:val="5C797243"/>
    <w:rsid w:val="5D1A4465"/>
    <w:rsid w:val="5DCD43FF"/>
    <w:rsid w:val="5E761C8C"/>
    <w:rsid w:val="5ECE3876"/>
    <w:rsid w:val="5FFD63C3"/>
    <w:rsid w:val="622163B3"/>
    <w:rsid w:val="62DE3608"/>
    <w:rsid w:val="635822A8"/>
    <w:rsid w:val="64CA4726"/>
    <w:rsid w:val="65706B30"/>
    <w:rsid w:val="67EF0C5A"/>
    <w:rsid w:val="69BA6110"/>
    <w:rsid w:val="6A513DD5"/>
    <w:rsid w:val="6A7543AD"/>
    <w:rsid w:val="6BF540D9"/>
    <w:rsid w:val="6CA20189"/>
    <w:rsid w:val="6DD0797D"/>
    <w:rsid w:val="6DD91182"/>
    <w:rsid w:val="6E1A0EFE"/>
    <w:rsid w:val="6F76416B"/>
    <w:rsid w:val="71754026"/>
    <w:rsid w:val="71C461B7"/>
    <w:rsid w:val="73A11102"/>
    <w:rsid w:val="74B5471E"/>
    <w:rsid w:val="7661430F"/>
    <w:rsid w:val="77E41C8F"/>
    <w:rsid w:val="77FF632E"/>
    <w:rsid w:val="796933E0"/>
    <w:rsid w:val="7B036868"/>
    <w:rsid w:val="7B14665D"/>
    <w:rsid w:val="7CA915F3"/>
    <w:rsid w:val="7D5F7297"/>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color w:val="auto"/>
      <w:kern w:val="2"/>
      <w:sz w:val="21"/>
      <w:szCs w:val="24"/>
      <w:lang w:val="en-US" w:eastAsia="zh-CN" w:bidi="ar"/>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5">
    <w:name w:val="index 8"/>
    <w:basedOn w:val="1"/>
    <w:next w:val="1"/>
    <w:unhideWhenUsed/>
    <w:qFormat/>
    <w:uiPriority w:val="99"/>
    <w:pPr>
      <w:ind w:left="1400" w:leftChars="1400"/>
    </w:pPr>
  </w:style>
  <w:style w:type="paragraph" w:styleId="6">
    <w:name w:val="Normal Indent"/>
    <w:basedOn w:val="1"/>
    <w:next w:val="7"/>
    <w:qFormat/>
    <w:uiPriority w:val="0"/>
    <w:pPr>
      <w:ind w:firstLine="420"/>
    </w:pPr>
    <w:rPr>
      <w:szCs w:val="20"/>
    </w:rPr>
  </w:style>
  <w:style w:type="paragraph" w:styleId="7">
    <w:name w:val="Document Map"/>
    <w:basedOn w:val="1"/>
    <w:next w:val="8"/>
    <w:qFormat/>
    <w:uiPriority w:val="0"/>
    <w:rPr>
      <w:rFonts w:ascii="宋体"/>
      <w:sz w:val="18"/>
      <w:szCs w:val="18"/>
    </w:rPr>
  </w:style>
  <w:style w:type="paragraph" w:styleId="8">
    <w:name w:val="toc 3"/>
    <w:basedOn w:val="1"/>
    <w:next w:val="1"/>
    <w:qFormat/>
    <w:uiPriority w:val="0"/>
    <w:pPr>
      <w:ind w:left="840" w:leftChars="400"/>
    </w:pPr>
  </w:style>
  <w:style w:type="paragraph" w:styleId="9">
    <w:name w:val="annotation text"/>
    <w:basedOn w:val="1"/>
    <w:link w:val="22"/>
    <w:qFormat/>
    <w:uiPriority w:val="99"/>
    <w:pPr>
      <w:jc w:val="left"/>
    </w:pPr>
  </w:style>
  <w:style w:type="paragraph" w:styleId="10">
    <w:name w:val="Body Text"/>
    <w:basedOn w:val="1"/>
    <w:next w:val="6"/>
    <w:unhideWhenUsed/>
    <w:qFormat/>
    <w:uiPriority w:val="0"/>
    <w:pPr>
      <w:spacing w:after="120"/>
    </w:pPr>
  </w:style>
  <w:style w:type="paragraph" w:styleId="11">
    <w:name w:val="Plain Text"/>
    <w:basedOn w:val="1"/>
    <w:next w:val="1"/>
    <w:link w:val="24"/>
    <w:qFormat/>
    <w:uiPriority w:val="99"/>
    <w:rPr>
      <w:rFonts w:ascii="宋体" w:hAnsi="Courier New"/>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1"/>
    <w:qFormat/>
    <w:uiPriority w:val="0"/>
    <w:pPr>
      <w:spacing w:before="240" w:after="60" w:line="312" w:lineRule="auto"/>
      <w:jc w:val="center"/>
      <w:outlineLvl w:val="1"/>
    </w:pPr>
    <w:rPr>
      <w:rFonts w:ascii="Cambria" w:hAnsi="Cambria"/>
      <w:b/>
      <w:bCs/>
      <w:kern w:val="28"/>
      <w:sz w:val="32"/>
      <w:szCs w:val="32"/>
    </w:rPr>
  </w:style>
  <w:style w:type="paragraph" w:styleId="15">
    <w:name w:val="annotation subject"/>
    <w:basedOn w:val="9"/>
    <w:next w:val="9"/>
    <w:link w:val="23"/>
    <w:semiHidden/>
    <w:unhideWhenUsed/>
    <w:qFormat/>
    <w:uiPriority w:val="99"/>
    <w:rPr>
      <w:b/>
      <w:bCs/>
    </w:rPr>
  </w:style>
  <w:style w:type="table" w:styleId="17">
    <w:name w:val="Table Grid"/>
    <w:basedOn w:val="16"/>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semiHidden/>
    <w:qFormat/>
    <w:uiPriority w:val="99"/>
    <w:rPr>
      <w:sz w:val="21"/>
      <w:szCs w:val="21"/>
    </w:rPr>
  </w:style>
  <w:style w:type="paragraph" w:customStyle="1" w:styleId="2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1">
    <w:name w:val="批注文字 字符"/>
    <w:basedOn w:val="18"/>
    <w:qFormat/>
    <w:uiPriority w:val="99"/>
    <w:rPr>
      <w:rFonts w:ascii="Times New Roman" w:hAnsi="Times New Roman" w:eastAsia="宋体" w:cs="Times New Roman"/>
      <w:szCs w:val="21"/>
    </w:rPr>
  </w:style>
  <w:style w:type="character" w:customStyle="1" w:styleId="22">
    <w:name w:val="批注文字 字符1"/>
    <w:link w:val="9"/>
    <w:semiHidden/>
    <w:qFormat/>
    <w:uiPriority w:val="99"/>
    <w:rPr>
      <w:rFonts w:ascii="Times New Roman" w:hAnsi="Times New Roman" w:eastAsia="宋体" w:cs="Times New Roman"/>
      <w:szCs w:val="21"/>
    </w:rPr>
  </w:style>
  <w:style w:type="character" w:customStyle="1" w:styleId="23">
    <w:name w:val="批注主题 字符"/>
    <w:basedOn w:val="22"/>
    <w:link w:val="15"/>
    <w:semiHidden/>
    <w:qFormat/>
    <w:uiPriority w:val="99"/>
    <w:rPr>
      <w:rFonts w:ascii="Times New Roman" w:hAnsi="Times New Roman" w:eastAsia="宋体" w:cs="Times New Roman"/>
      <w:b/>
      <w:bCs/>
      <w:szCs w:val="21"/>
    </w:rPr>
  </w:style>
  <w:style w:type="character" w:customStyle="1" w:styleId="24">
    <w:name w:val="纯文本 字符"/>
    <w:basedOn w:val="18"/>
    <w:link w:val="11"/>
    <w:qFormat/>
    <w:uiPriority w:val="99"/>
    <w:rPr>
      <w:rFonts w:ascii="宋体" w:hAnsi="Courier New" w:eastAsia="宋体" w:cs="Times New Roman"/>
      <w:szCs w:val="21"/>
    </w:r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 w:type="character" w:customStyle="1" w:styleId="26">
    <w:name w:val="fontstyle01"/>
    <w:qFormat/>
    <w:uiPriority w:val="0"/>
    <w:rPr>
      <w:rFonts w:hint="eastAsia" w:ascii="宋体" w:hAnsi="宋体" w:eastAsia="宋体"/>
      <w:color w:val="000000"/>
      <w:sz w:val="24"/>
      <w:szCs w:val="24"/>
    </w:rPr>
  </w:style>
  <w:style w:type="character" w:customStyle="1" w:styleId="27">
    <w:name w:val="页眉 字符"/>
    <w:basedOn w:val="18"/>
    <w:link w:val="13"/>
    <w:qFormat/>
    <w:uiPriority w:val="99"/>
    <w:rPr>
      <w:rFonts w:ascii="Times New Roman" w:hAnsi="Times New Roman" w:eastAsia="宋体" w:cs="Times New Roman"/>
      <w:sz w:val="18"/>
      <w:szCs w:val="18"/>
    </w:rPr>
  </w:style>
  <w:style w:type="character" w:customStyle="1" w:styleId="28">
    <w:name w:val="页脚 字符"/>
    <w:basedOn w:val="18"/>
    <w:link w:val="12"/>
    <w:qFormat/>
    <w:uiPriority w:val="99"/>
    <w:rPr>
      <w:rFonts w:ascii="Times New Roman" w:hAnsi="Times New Roman" w:eastAsia="宋体" w:cs="Times New Roman"/>
      <w:sz w:val="18"/>
      <w:szCs w:val="18"/>
    </w:rPr>
  </w:style>
  <w:style w:type="character" w:styleId="29">
    <w:name w:val="Placeholder Text"/>
    <w:basedOn w:val="18"/>
    <w:semiHidden/>
    <w:qFormat/>
    <w:uiPriority w:val="99"/>
    <w:rPr>
      <w:color w:val="808080"/>
    </w:rPr>
  </w:style>
  <w:style w:type="paragraph" w:customStyle="1" w:styleId="30">
    <w:name w:val="样式1"/>
    <w:basedOn w:val="1"/>
    <w:qFormat/>
    <w:uiPriority w:val="0"/>
  </w:style>
  <w:style w:type="paragraph" w:customStyle="1" w:styleId="31">
    <w:name w:val="Normal_0"/>
    <w:qFormat/>
    <w:uiPriority w:val="0"/>
    <w:rPr>
      <w:rFonts w:ascii="Times New Roman" w:hAnsi="Times New Roman" w:eastAsia="Times New Roman" w:cs="Times New Roman"/>
      <w:sz w:val="24"/>
      <w:szCs w:val="24"/>
      <w:lang w:val="en-US" w:eastAsia="zh-CN" w:bidi="ar-SA"/>
    </w:rPr>
  </w:style>
  <w:style w:type="paragraph" w:customStyle="1" w:styleId="3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0D46FD0F">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1281</Words>
  <Characters>1384</Characters>
  <Lines>26</Lines>
  <Paragraphs>7</Paragraphs>
  <TotalTime>5</TotalTime>
  <ScaleCrop>false</ScaleCrop>
  <LinksUpToDate>false</LinksUpToDate>
  <CharactersWithSpaces>1432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飞翔的地主仔</cp:lastModifiedBy>
  <cp:lastPrinted>2021-01-18T07:59:00Z</cp:lastPrinted>
  <dcterms:modified xsi:type="dcterms:W3CDTF">2026-01-28T01:11:15Z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1C19EA179924420987BCFFB7C46862E5_13</vt:lpwstr>
  </property>
  <property fmtid="{D5CDD505-2E9C-101B-9397-08002B2CF9AE}" pid="4" name="KSOTemplateDocerSaveRecord">
    <vt:lpwstr>eyJoZGlkIjoiYTZlMjk2Nzk1YmVmOGMwYzk3MTcwZDExNDg2NGY3M2QiLCJ1c2VySWQiOiIyMzc1ODQ2OTgifQ==</vt:lpwstr>
  </property>
</Properties>
</file>