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D8893">
      <w:pPr>
        <w:widowControl/>
        <w:jc w:val="both"/>
        <w:rPr>
          <w:rFonts w:hint="eastAsia" w:cs="宋体"/>
          <w:b w:val="0"/>
          <w:bCs w:val="0"/>
          <w:kern w:val="0"/>
          <w:sz w:val="32"/>
          <w:szCs w:val="32"/>
          <w:lang w:val="en-US" w:eastAsia="zh-CN"/>
        </w:rPr>
      </w:pPr>
      <w:r>
        <w:rPr>
          <w:rFonts w:hint="eastAsia" w:cs="宋体"/>
          <w:b w:val="0"/>
          <w:bCs w:val="0"/>
          <w:kern w:val="0"/>
          <w:sz w:val="32"/>
          <w:szCs w:val="32"/>
          <w:lang w:val="en-US" w:eastAsia="zh-CN"/>
        </w:rPr>
        <w:t>附件1：                采购需求文件</w:t>
      </w:r>
    </w:p>
    <w:p w14:paraId="3C807067">
      <w:pPr>
        <w:widowControl/>
        <w:jc w:val="center"/>
        <w:rPr>
          <w:rFonts w:hint="default" w:cs="宋体"/>
          <w:b/>
          <w:bCs/>
          <w:kern w:val="0"/>
          <w:sz w:val="38"/>
          <w:szCs w:val="38"/>
          <w:lang w:val="en-US" w:eastAsia="zh-CN"/>
        </w:rPr>
      </w:pPr>
    </w:p>
    <w:p w14:paraId="7EA0FB6C">
      <w:pPr>
        <w:pStyle w:val="20"/>
        <w:ind w:left="-500" w:leftChars="-238" w:firstLine="477" w:firstLineChars="199"/>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所有技术要求及商务要求均需实质性响应，如有不响应或</w:t>
      </w:r>
      <w:r>
        <w:rPr>
          <w:rFonts w:hint="eastAsia"/>
          <w:b w:val="0"/>
          <w:bCs w:val="0"/>
          <w:color w:val="000000" w:themeColor="text1"/>
          <w:sz w:val="24"/>
          <w:szCs w:val="24"/>
          <w14:textFill>
            <w14:solidFill>
              <w14:schemeClr w14:val="tx1"/>
            </w14:solidFill>
          </w14:textFill>
        </w:rPr>
        <w:t>不满足</w:t>
      </w:r>
      <w:r>
        <w:rPr>
          <w:rFonts w:hint="eastAsia"/>
          <w:b w:val="0"/>
          <w:bCs w:val="0"/>
          <w:color w:val="000000" w:themeColor="text1"/>
          <w:sz w:val="24"/>
          <w:szCs w:val="24"/>
          <w:lang w:eastAsia="zh-CN"/>
          <w14:textFill>
            <w14:solidFill>
              <w14:schemeClr w14:val="tx1"/>
            </w14:solidFill>
          </w14:textFill>
        </w:rPr>
        <w:t>则投标</w:t>
      </w:r>
      <w:r>
        <w:rPr>
          <w:rFonts w:hint="eastAsia"/>
          <w:b w:val="0"/>
          <w:bCs w:val="0"/>
          <w:color w:val="000000" w:themeColor="text1"/>
          <w:sz w:val="24"/>
          <w:szCs w:val="24"/>
          <w14:textFill>
            <w14:solidFill>
              <w14:schemeClr w14:val="tx1"/>
            </w14:solidFill>
          </w14:textFill>
        </w:rPr>
        <w:t>视为无效投标</w:t>
      </w:r>
      <w:r>
        <w:rPr>
          <w:rFonts w:hint="eastAsia"/>
          <w:b w:val="0"/>
          <w:bCs w:val="0"/>
          <w:color w:val="000000" w:themeColor="text1"/>
          <w:sz w:val="24"/>
          <w:szCs w:val="24"/>
          <w:lang w:eastAsia="zh-CN"/>
          <w14:textFill>
            <w14:solidFill>
              <w14:schemeClr w14:val="tx1"/>
            </w14:solidFill>
          </w14:textFill>
        </w:rPr>
        <w:t>；</w:t>
      </w:r>
    </w:p>
    <w:p w14:paraId="7C1C5591">
      <w:pPr>
        <w:pStyle w:val="20"/>
        <w:ind w:left="-708" w:leftChars="-337"/>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一、采购清单、技术规格参数、质量标准和要求</w:t>
      </w:r>
    </w:p>
    <w:p w14:paraId="09CAC11F">
      <w:pPr>
        <w:pStyle w:val="20"/>
        <w:ind w:left="-708" w:leftChars="-337"/>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（一）采购清单</w:t>
      </w:r>
      <w:r>
        <w:rPr>
          <w:b/>
          <w:bCs/>
          <w:color w:val="000000" w:themeColor="text1"/>
          <w14:textFill>
            <w14:solidFill>
              <w14:schemeClr w14:val="tx1"/>
            </w14:solidFill>
          </w14:textFill>
        </w:rPr>
        <w:t> </w:t>
      </w:r>
    </w:p>
    <w:p w14:paraId="150C96D8">
      <w:pPr>
        <w:pStyle w:val="20"/>
        <w:ind w:left="-708" w:leftChars="-337"/>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   </w:t>
      </w:r>
      <w:r>
        <w:rPr>
          <w:rFonts w:hint="eastAsia"/>
          <w:b w:val="0"/>
          <w:bCs w:val="0"/>
          <w:color w:val="000000" w:themeColor="text1"/>
          <w:sz w:val="24"/>
          <w:szCs w:val="24"/>
          <w:lang w:val="en-US" w:eastAsia="zh-CN"/>
          <w14:textFill>
            <w14:solidFill>
              <w14:schemeClr w14:val="tx1"/>
            </w14:solidFill>
          </w14:textFill>
        </w:rPr>
        <w:t xml:space="preserve">  </w:t>
      </w:r>
    </w:p>
    <w:tbl>
      <w:tblPr>
        <w:tblStyle w:val="16"/>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059"/>
        <w:gridCol w:w="1516"/>
        <w:gridCol w:w="1502"/>
        <w:gridCol w:w="1045"/>
        <w:gridCol w:w="1173"/>
        <w:gridCol w:w="936"/>
        <w:gridCol w:w="645"/>
      </w:tblGrid>
      <w:tr w14:paraId="29CC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0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A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检测项目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EC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样品名称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DBB6">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监测点数目（点）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BEC8">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单价（元）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AF6">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监测次数（次）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6E9D">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金额（元）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4539">
            <w:pPr>
              <w:keepNext w:val="0"/>
              <w:keepLines w:val="0"/>
              <w:widowControl/>
              <w:suppressLineNumbers w:val="0"/>
              <w:jc w:val="center"/>
              <w:textAlignment w:val="center"/>
              <w:rPr>
                <w:rFonts w:ascii="宋体" w:hAnsi="宋体" w:eastAsia="宋体" w:cs="宋体"/>
                <w:i w:val="0"/>
                <w:iCs w:val="0"/>
                <w:color w:val="000000" w:themeColor="text1"/>
                <w:sz w:val="22"/>
                <w:szCs w:val="22"/>
                <w:u w:val="none"/>
                <w14:textFill>
                  <w14:solidFill>
                    <w14:schemeClr w14:val="tx1"/>
                  </w14:solidFill>
                </w14:textFill>
              </w:rPr>
            </w:pPr>
            <w:r>
              <w:rPr>
                <w:rFonts w:ascii="宋体" w:hAnsi="宋体" w:eastAsia="宋体" w:cs="宋体"/>
                <w:i w:val="0"/>
                <w:iCs w:val="0"/>
                <w:color w:val="000000" w:themeColor="text1"/>
                <w:kern w:val="0"/>
                <w:sz w:val="22"/>
                <w:szCs w:val="22"/>
                <w:u w:val="none"/>
                <w:lang w:val="en-US" w:eastAsia="zh-CN" w:bidi="ar"/>
                <w14:textFill>
                  <w14:solidFill>
                    <w14:schemeClr w14:val="tx1"/>
                  </w14:solidFill>
                </w14:textFill>
              </w:rPr>
              <w:t>备 注</w:t>
            </w:r>
          </w:p>
        </w:tc>
      </w:tr>
      <w:tr w14:paraId="0EA1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84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single" w:color="000000" w:sz="4" w:space="0"/>
              <w:bottom w:val="single" w:color="000000" w:sz="4" w:space="0"/>
              <w:right w:val="nil"/>
            </w:tcBorders>
            <w:shd w:val="clear" w:color="auto" w:fill="auto"/>
            <w:noWrap/>
            <w:vAlign w:val="center"/>
          </w:tcPr>
          <w:p w14:paraId="742610F1">
            <w:pPr>
              <w:keepNext w:val="0"/>
              <w:keepLines w:val="0"/>
              <w:widowControl/>
              <w:suppressLineNumbers w:val="0"/>
              <w:jc w:val="left"/>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基准点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CA79">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基准点埋设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B7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2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37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F8C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1E6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EDD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4B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65" w:type="dxa"/>
            <w:vMerge w:val="restart"/>
            <w:tcBorders>
              <w:top w:val="single" w:color="000000" w:sz="4" w:space="0"/>
              <w:left w:val="single" w:color="000000" w:sz="4" w:space="0"/>
              <w:bottom w:val="single" w:color="000000" w:sz="4" w:space="0"/>
              <w:right w:val="nil"/>
            </w:tcBorders>
            <w:shd w:val="clear" w:color="auto" w:fill="auto"/>
            <w:vAlign w:val="center"/>
          </w:tcPr>
          <w:p w14:paraId="7CEA464A">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坡顶(桩 顶）位移、 沉降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697">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观测点材料埋设费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76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A7F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E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9E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8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45B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FC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65" w:type="dxa"/>
            <w:vMerge w:val="continue"/>
            <w:tcBorders>
              <w:top w:val="single" w:color="000000" w:sz="4" w:space="0"/>
              <w:left w:val="single" w:color="000000" w:sz="4" w:space="0"/>
              <w:bottom w:val="single" w:color="000000" w:sz="4" w:space="0"/>
              <w:right w:val="nil"/>
            </w:tcBorders>
            <w:shd w:val="clear" w:color="auto" w:fill="auto"/>
            <w:vAlign w:val="center"/>
          </w:tcPr>
          <w:p w14:paraId="08CFD69C">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08C">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坡（桩）顶水平位移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DC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BA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2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F3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16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F97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3D5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65" w:type="dxa"/>
            <w:vMerge w:val="continue"/>
            <w:tcBorders>
              <w:top w:val="single" w:color="000000" w:sz="4" w:space="0"/>
              <w:left w:val="single" w:color="000000" w:sz="4" w:space="0"/>
              <w:bottom w:val="single" w:color="000000" w:sz="4" w:space="0"/>
              <w:right w:val="nil"/>
            </w:tcBorders>
            <w:shd w:val="clear" w:color="auto" w:fill="auto"/>
            <w:vAlign w:val="center"/>
          </w:tcPr>
          <w:p w14:paraId="56AE68B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D1B2">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坡（桩）顶沉降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57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A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14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5D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6E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A56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9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65" w:type="dxa"/>
            <w:vMerge w:val="restart"/>
            <w:tcBorders>
              <w:top w:val="single" w:color="000000" w:sz="4" w:space="0"/>
              <w:left w:val="single" w:color="000000" w:sz="4" w:space="0"/>
              <w:bottom w:val="single" w:color="000000" w:sz="4" w:space="0"/>
              <w:right w:val="nil"/>
            </w:tcBorders>
            <w:shd w:val="clear" w:color="auto" w:fill="auto"/>
            <w:vAlign w:val="center"/>
          </w:tcPr>
          <w:p w14:paraId="1328C89F">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周边建筑 物建筑沉 降观测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3634">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观测点材料埋设费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D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216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99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D6A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E4B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CFA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495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65" w:type="dxa"/>
            <w:vMerge w:val="continue"/>
            <w:tcBorders>
              <w:top w:val="single" w:color="000000" w:sz="4" w:space="0"/>
              <w:left w:val="single" w:color="000000" w:sz="4" w:space="0"/>
              <w:bottom w:val="single" w:color="000000" w:sz="4" w:space="0"/>
              <w:right w:val="nil"/>
            </w:tcBorders>
            <w:shd w:val="clear" w:color="auto" w:fill="auto"/>
            <w:vAlign w:val="center"/>
          </w:tcPr>
          <w:p w14:paraId="192205A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19FC78AB">
            <w:pPr>
              <w:keepNext w:val="0"/>
              <w:keepLines w:val="0"/>
              <w:widowControl/>
              <w:suppressLineNumbers w:val="0"/>
              <w:jc w:val="center"/>
              <w:textAlignment w:val="center"/>
              <w:rPr>
                <w:rFonts w:ascii="宋体" w:hAnsi="宋体" w:eastAsia="宋体" w:cs="宋体"/>
                <w:i w:val="0"/>
                <w:iCs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24"/>
                <w:szCs w:val="24"/>
                <w:u w:val="none"/>
                <w:lang w:val="en-US" w:eastAsia="zh-CN" w:bidi="ar"/>
                <w14:textFill>
                  <w14:solidFill>
                    <w14:schemeClr w14:val="tx1"/>
                  </w14:solidFill>
                </w14:textFill>
              </w:rPr>
              <w:t>沉降观测</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B538E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C5BA1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1BF09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62B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A25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1B1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CD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DA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1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AEC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2033FFE4">
      <w:pPr>
        <w:pStyle w:val="20"/>
        <w:ind w:left="-708" w:leftChars="-337"/>
        <w:rPr>
          <w:rFonts w:hint="default" w:eastAsia="宋体"/>
          <w:b/>
          <w:bCs/>
          <w:color w:val="000000" w:themeColor="text1"/>
          <w:lang w:val="en-US" w:eastAsia="zh-CN"/>
          <w14:textFill>
            <w14:solidFill>
              <w14:schemeClr w14:val="tx1"/>
            </w14:solidFill>
          </w14:textFill>
        </w:rPr>
      </w:pPr>
    </w:p>
    <w:p w14:paraId="019FA728">
      <w:pPr>
        <w:widowControl/>
        <w:numPr>
          <w:ilvl w:val="0"/>
          <w:numId w:val="1"/>
        </w:numPr>
        <w:spacing w:line="360" w:lineRule="auto"/>
        <w:ind w:left="-708" w:leftChars="-337"/>
        <w:jc w:val="left"/>
        <w:rPr>
          <w:rFonts w:hint="default"/>
          <w:color w:val="000000" w:themeColor="text1"/>
          <w:lang w:val="en-US" w:eastAsia="zh-CN"/>
          <w14:textFill>
            <w14:solidFill>
              <w14:schemeClr w14:val="tx1"/>
            </w14:solidFill>
          </w14:textFill>
        </w:rPr>
      </w:pPr>
      <w:r>
        <w:rPr>
          <w:rFonts w:hint="eastAsia" w:cs="宋体"/>
          <w:b/>
          <w:bCs/>
          <w:color w:val="000000" w:themeColor="text1"/>
          <w:kern w:val="0"/>
          <w:sz w:val="24"/>
          <w:szCs w:val="24"/>
          <w14:textFill>
            <w14:solidFill>
              <w14:schemeClr w14:val="tx1"/>
            </w14:solidFill>
          </w14:textFill>
        </w:rPr>
        <w:t>技术规格参数</w:t>
      </w:r>
    </w:p>
    <w:p w14:paraId="723FDAD1">
      <w:pPr>
        <w:pStyle w:val="20"/>
        <w:keepNext w:val="0"/>
        <w:keepLines w:val="0"/>
        <w:pageBreakBefore w:val="0"/>
        <w:widowControl w:val="0"/>
        <w:kinsoku/>
        <w:wordWrap/>
        <w:overflowPunct/>
        <w:topLinePunct w:val="0"/>
        <w:autoSpaceDE w:val="0"/>
        <w:autoSpaceDN w:val="0"/>
        <w:bidi w:val="0"/>
        <w:adjustRightInd w:val="0"/>
        <w:snapToGrid/>
        <w:ind w:left="-708" w:leftChars="-337"/>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u w:val="none" w:color="auto"/>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color="auto"/>
          <w14:textFill>
            <w14:solidFill>
              <w14:schemeClr w14:val="tx1"/>
            </w14:solidFill>
          </w14:textFill>
        </w:rPr>
        <w:t>按《《混凝土物理力学性能试验方法标准》GB/T 50081-2019</w:t>
      </w:r>
      <w:r>
        <w:rPr>
          <w:rFonts w:hint="eastAsia" w:ascii="宋体" w:hAnsi="宋体"/>
          <w:color w:val="000000" w:themeColor="text1"/>
          <w:sz w:val="24"/>
          <w:szCs w:val="24"/>
          <w:highlight w:val="none"/>
          <w:u w:val="none" w:color="auto"/>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《建设工程安全生产管理条例》</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《建筑地基检测技术规范》（JGJ 340-2015）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等</w:t>
      </w:r>
      <w:r>
        <w:rPr>
          <w:rFonts w:hint="eastAsia" w:ascii="宋体" w:hAnsi="宋体"/>
          <w:color w:val="000000" w:themeColor="text1"/>
          <w:sz w:val="24"/>
          <w:szCs w:val="24"/>
          <w:highlight w:val="none"/>
          <w:u w:val="none" w:color="auto"/>
          <w14:textFill>
            <w14:solidFill>
              <w14:schemeClr w14:val="tx1"/>
            </w14:solidFill>
          </w14:textFill>
        </w:rPr>
        <w:t>和</w:t>
      </w:r>
      <w:r>
        <w:rPr>
          <w:rFonts w:hint="eastAsia" w:ascii="宋体" w:hAnsi="宋体" w:eastAsia="宋体" w:cs="宋体"/>
          <w:b w:val="0"/>
          <w:bCs/>
          <w:color w:val="000000" w:themeColor="text1"/>
          <w:sz w:val="24"/>
          <w:szCs w:val="24"/>
          <w:highlight w:val="none"/>
          <w14:textFill>
            <w14:solidFill>
              <w14:schemeClr w14:val="tx1"/>
            </w14:solidFill>
          </w14:textFill>
        </w:rPr>
        <w:t>国家</w:t>
      </w:r>
      <w:r>
        <w:rPr>
          <w:rFonts w:hint="eastAsia" w:ascii="宋体" w:hAnsi="宋体" w:cs="宋体"/>
          <w:b w:val="0"/>
          <w:bCs/>
          <w:color w:val="000000" w:themeColor="text1"/>
          <w:sz w:val="24"/>
          <w:szCs w:val="24"/>
          <w:highlight w:val="none"/>
          <w:lang w:eastAsia="zh-CN"/>
          <w14:textFill>
            <w14:solidFill>
              <w14:schemeClr w14:val="tx1"/>
            </w14:solidFill>
          </w14:textFill>
        </w:rPr>
        <w:t>相关标准、规范要求完成检测。</w:t>
      </w:r>
    </w:p>
    <w:p w14:paraId="0EB76178">
      <w:pPr>
        <w:widowControl/>
        <w:numPr>
          <w:ilvl w:val="0"/>
          <w:numId w:val="1"/>
        </w:numPr>
        <w:spacing w:line="360" w:lineRule="auto"/>
        <w:ind w:left="-708" w:leftChars="-337"/>
        <w:jc w:val="left"/>
        <w:rPr>
          <w:rFonts w:cs="宋体"/>
          <w:b/>
          <w:bCs/>
          <w:color w:val="000000" w:themeColor="text1"/>
          <w:kern w:val="0"/>
          <w:sz w:val="24"/>
          <w:szCs w:val="24"/>
          <w14:textFill>
            <w14:solidFill>
              <w14:schemeClr w14:val="tx1"/>
            </w14:solidFill>
          </w14:textFill>
        </w:rPr>
      </w:pPr>
      <w:r>
        <w:rPr>
          <w:rFonts w:hint="eastAsia" w:cs="宋体"/>
          <w:b/>
          <w:bCs/>
          <w:color w:val="000000" w:themeColor="text1"/>
          <w:kern w:val="0"/>
          <w:sz w:val="24"/>
          <w:szCs w:val="24"/>
          <w:lang w:val="en-US" w:eastAsia="zh-CN"/>
          <w14:textFill>
            <w14:solidFill>
              <w14:schemeClr w14:val="tx1"/>
            </w14:solidFill>
          </w14:textFill>
        </w:rPr>
        <w:t>项目产品</w:t>
      </w:r>
      <w:r>
        <w:rPr>
          <w:rFonts w:hint="eastAsia" w:cs="宋体"/>
          <w:b/>
          <w:bCs/>
          <w:color w:val="000000" w:themeColor="text1"/>
          <w:kern w:val="0"/>
          <w:sz w:val="24"/>
          <w:szCs w:val="24"/>
          <w14:textFill>
            <w14:solidFill>
              <w14:schemeClr w14:val="tx1"/>
            </w14:solidFill>
          </w14:textFill>
        </w:rPr>
        <w:t>基本要求</w:t>
      </w:r>
    </w:p>
    <w:p w14:paraId="15B2761F">
      <w:pPr>
        <w:pStyle w:val="20"/>
        <w:ind w:left="-708" w:leftChars="-33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投标人应保证所提供的货物或其任何一部分均不会侵犯任何第三方的专利权、商标权等，如在使用过程中出现的一切经济和法律责任均由投标人负责。</w:t>
      </w:r>
    </w:p>
    <w:p w14:paraId="7D237633">
      <w:pPr>
        <w:pStyle w:val="20"/>
        <w:ind w:left="-708" w:leftChars="-33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投标总价必须包含货物及货物运抵指定交货地点的各种费用和安装调校、售后服务、税金、验收检验及其它所有费用的总和，如另有要求请在投标文件中注明。</w:t>
      </w:r>
    </w:p>
    <w:p w14:paraId="38620DAB">
      <w:pPr>
        <w:pStyle w:val="20"/>
        <w:ind w:left="-708" w:leftChars="-337"/>
        <w:rPr>
          <w:rFonts w:hint="eastAsia"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（四）商务要求</w:t>
      </w:r>
    </w:p>
    <w:p w14:paraId="3E2278AB">
      <w:pPr>
        <w:pStyle w:val="20"/>
        <w:ind w:left="-708" w:leftChars="-337"/>
        <w:rPr>
          <w:rFonts w:hint="default"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1.投标产品资格要求</w:t>
      </w:r>
    </w:p>
    <w:p w14:paraId="7D8F0A81">
      <w:pPr>
        <w:pStyle w:val="20"/>
        <w:ind w:left="-708" w:leftChars="-337"/>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1）本项目支持创新产品、节能优化产品、环境标识产品、中小企业发展等政府采购政策。</w:t>
      </w:r>
    </w:p>
    <w:p w14:paraId="14BFAB11">
      <w:pPr>
        <w:pStyle w:val="20"/>
        <w:ind w:left="-708" w:leftChars="-337"/>
        <w:rPr>
          <w:rFonts w:hint="eastAsia" w:eastAsia="宋体"/>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r>
        <w:rPr>
          <w:rFonts w:hint="eastAsia"/>
          <w:b/>
          <w:bCs/>
          <w:color w:val="000000" w:themeColor="text1"/>
          <w:lang w:eastAsia="zh-CN"/>
          <w14:textFill>
            <w14:solidFill>
              <w14:schemeClr w14:val="tx1"/>
            </w14:solidFill>
          </w14:textFill>
        </w:rPr>
        <w:t>服务要求</w:t>
      </w:r>
    </w:p>
    <w:p w14:paraId="42DA4598">
      <w:pPr>
        <w:pStyle w:val="20"/>
        <w:ind w:left="-708" w:leftChars="-337"/>
        <w:rPr>
          <w:rFonts w:hint="eastAsia"/>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1）施工</w:t>
      </w:r>
      <w:r>
        <w:rPr>
          <w:rFonts w:hint="eastAsia" w:cs="宋体"/>
          <w:color w:val="000000" w:themeColor="text1"/>
          <w:kern w:val="0"/>
          <w:sz w:val="24"/>
          <w:szCs w:val="24"/>
          <w14:textFill>
            <w14:solidFill>
              <w14:schemeClr w14:val="tx1"/>
            </w14:solidFill>
          </w14:textFill>
        </w:rPr>
        <w:t>地点</w:t>
      </w:r>
      <w:r>
        <w:rPr>
          <w:rFonts w:hint="eastAsia" w:cs="宋体"/>
          <w:color w:val="000000" w:themeColor="text1"/>
          <w:kern w:val="0"/>
          <w:sz w:val="24"/>
          <w:szCs w:val="24"/>
          <w:lang w:eastAsia="zh-CN"/>
          <w14:textFill>
            <w14:solidFill>
              <w14:schemeClr w14:val="tx1"/>
            </w14:solidFill>
          </w14:textFill>
        </w:rPr>
        <w:t>及工期</w:t>
      </w:r>
      <w:r>
        <w:rPr>
          <w:rFonts w:hint="eastAsia"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贺州市</w:t>
      </w:r>
      <w:r>
        <w:rPr>
          <w:rFonts w:hint="eastAsia" w:ascii="宋体" w:hAnsi="宋体" w:eastAsia="宋体" w:cs="宋体"/>
          <w:color w:val="000000" w:themeColor="text1"/>
          <w:kern w:val="0"/>
          <w:sz w:val="24"/>
          <w:lang w:eastAsia="zh-CN"/>
          <w14:textFill>
            <w14:solidFill>
              <w14:schemeClr w14:val="tx1"/>
            </w14:solidFill>
          </w14:textFill>
        </w:rPr>
        <w:t>潇贺大道与职院巷交汇处东南侧</w:t>
      </w:r>
      <w:r>
        <w:rPr>
          <w:rFonts w:hint="eastAsia" w:ascii="宋体" w:hAnsi="宋体" w:eastAsia="宋体" w:cs="宋体"/>
          <w:color w:val="000000" w:themeColor="text1"/>
          <w:kern w:val="0"/>
          <w:sz w:val="24"/>
          <w:lang w:val="en-US" w:eastAsia="zh-CN"/>
          <w14:textFill>
            <w14:solidFill>
              <w14:schemeClr w14:val="tx1"/>
            </w14:solidFill>
          </w14:textFill>
        </w:rPr>
        <w:t>A地块</w:t>
      </w:r>
      <w:r>
        <w:rPr>
          <w:rFonts w:hint="eastAsia" w:ascii="宋体" w:hAnsi="宋体" w:eastAsia="宋体" w:cs="宋体"/>
          <w:color w:val="000000" w:themeColor="text1"/>
          <w:kern w:val="0"/>
          <w:sz w:val="24"/>
          <w14:textFill>
            <w14:solidFill>
              <w14:schemeClr w14:val="tx1"/>
            </w14:solidFill>
          </w14:textFill>
        </w:rPr>
        <w:t>路</w:t>
      </w:r>
      <w:r>
        <w:rPr>
          <w:rFonts w:hint="eastAsia" w:cs="宋体"/>
          <w:color w:val="000000" w:themeColor="text1"/>
          <w:kern w:val="0"/>
          <w:sz w:val="24"/>
          <w:szCs w:val="24"/>
          <w:highlight w:val="none"/>
          <w:lang w:val="en-US" w:eastAsia="zh-CN"/>
          <w14:textFill>
            <w14:solidFill>
              <w14:schemeClr w14:val="tx1"/>
            </w14:solidFill>
          </w14:textFill>
        </w:rPr>
        <w:t>。计价方式：</w:t>
      </w:r>
      <w:r>
        <w:rPr>
          <w:rFonts w:hint="eastAsia" w:cs="宋体"/>
          <w:color w:val="000000" w:themeColor="text1"/>
          <w:kern w:val="0"/>
          <w:sz w:val="24"/>
          <w:szCs w:val="24"/>
          <w:highlight w:val="none"/>
          <w:u w:val="single"/>
          <w:lang w:val="en-US" w:eastAsia="zh-CN"/>
          <w14:textFill>
            <w14:solidFill>
              <w14:schemeClr w14:val="tx1"/>
            </w14:solidFill>
          </w14:textFill>
        </w:rPr>
        <w:t>总价包干</w:t>
      </w:r>
      <w:r>
        <w:rPr>
          <w:rFonts w:hint="eastAsia"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自合同签订之日起至服务期结束</w:t>
      </w:r>
      <w:r>
        <w:rPr>
          <w:rFonts w:hint="eastAsia" w:cs="宋体"/>
          <w:color w:val="000000" w:themeColor="text1"/>
          <w:kern w:val="0"/>
          <w:sz w:val="24"/>
          <w:szCs w:val="24"/>
          <w:highlight w:val="none"/>
          <w:lang w:val="en-US" w:eastAsia="zh-CN"/>
          <w14:textFill>
            <w14:solidFill>
              <w14:schemeClr w14:val="tx1"/>
            </w14:solidFill>
          </w14:textFill>
        </w:rPr>
        <w:t>。</w:t>
      </w:r>
      <w:r>
        <w:rPr>
          <w:color w:val="000000" w:themeColor="text1"/>
          <w:kern w:val="0"/>
          <w:sz w:val="24"/>
          <w:szCs w:val="24"/>
          <w:highlight w:val="none"/>
          <w14:textFill>
            <w14:solidFill>
              <w14:schemeClr w14:val="tx1"/>
            </w14:solidFill>
          </w14:textFill>
        </w:rPr>
        <w:t xml:space="preserve">    </w:t>
      </w:r>
      <w:r>
        <w:rPr>
          <w:rFonts w:hint="eastAsia"/>
          <w:color w:val="000000" w:themeColor="text1"/>
          <w:kern w:val="0"/>
          <w:sz w:val="24"/>
          <w:szCs w:val="24"/>
          <w:highlight w:val="none"/>
          <w:lang w:val="en-US" w:eastAsia="zh-CN"/>
          <w14:textFill>
            <w14:solidFill>
              <w14:schemeClr w14:val="tx1"/>
            </w14:solidFill>
          </w14:textFill>
        </w:rPr>
        <w:t xml:space="preserve">       </w:t>
      </w:r>
      <w:r>
        <w:rPr>
          <w:color w:val="000000" w:themeColor="text1"/>
          <w:kern w:val="0"/>
          <w:sz w:val="24"/>
          <w:szCs w:val="24"/>
          <w:highlight w:val="none"/>
          <w14:textFill>
            <w14:solidFill>
              <w14:schemeClr w14:val="tx1"/>
            </w14:solidFill>
          </w14:textFill>
        </w:rPr>
        <w:t xml:space="preserve">    </w:t>
      </w:r>
      <w:r>
        <w:rPr>
          <w:rFonts w:hint="eastAsia"/>
          <w:color w:val="000000" w:themeColor="text1"/>
          <w:kern w:val="0"/>
          <w:sz w:val="24"/>
          <w:szCs w:val="24"/>
          <w:highlight w:val="none"/>
          <w:lang w:val="en-US" w:eastAsia="zh-CN"/>
          <w14:textFill>
            <w14:solidFill>
              <w14:schemeClr w14:val="tx1"/>
            </w14:solidFill>
          </w14:textFill>
        </w:rPr>
        <w:t xml:space="preserve">       </w:t>
      </w:r>
    </w:p>
    <w:p w14:paraId="52FDD839">
      <w:pPr>
        <w:pStyle w:val="20"/>
        <w:ind w:left="-708" w:leftChars="-337"/>
        <w:rPr>
          <w:color w:val="0000FF"/>
          <w:kern w:val="0"/>
          <w:sz w:val="24"/>
          <w:szCs w:val="24"/>
        </w:rPr>
      </w:pPr>
      <w:bookmarkStart w:id="1" w:name="_GoBack"/>
      <w:r>
        <w:rPr>
          <w:rFonts w:hint="eastAsia" w:ascii="宋体" w:hAnsi="宋体" w:eastAsia="宋体" w:cs="宋体"/>
          <w:color w:val="0000FF"/>
          <w:kern w:val="0"/>
          <w:sz w:val="24"/>
          <w:szCs w:val="24"/>
          <w:highlight w:val="none"/>
          <w:lang w:val="en-US" w:eastAsia="zh-CN"/>
        </w:rPr>
        <w:t>2）付款条件（进度和方式）：</w:t>
      </w:r>
      <w:bookmarkStart w:id="0" w:name="OLE_LINK4"/>
      <w:r>
        <w:rPr>
          <w:rFonts w:hint="eastAsia" w:ascii="宋体" w:hAnsi="宋体" w:cs="宋体"/>
          <w:color w:val="0000FF"/>
          <w:kern w:val="0"/>
          <w:sz w:val="24"/>
          <w:szCs w:val="24"/>
          <w:highlight w:val="none"/>
          <w:lang w:val="en-US" w:eastAsia="zh-CN"/>
        </w:rPr>
        <w:t>合同签订后，在完成监测</w:t>
      </w:r>
      <w:r>
        <w:rPr>
          <w:rFonts w:hint="eastAsia" w:ascii="宋体" w:hAnsi="宋体" w:eastAsia="宋体" w:cs="宋体"/>
          <w:color w:val="0000FF"/>
          <w:spacing w:val="3"/>
          <w:sz w:val="24"/>
          <w:szCs w:val="24"/>
          <w:u w:val="none" w:color="auto"/>
          <w:lang w:val="en-US" w:eastAsia="zh-CN"/>
        </w:rPr>
        <w:t>，</w:t>
      </w:r>
      <w:r>
        <w:rPr>
          <w:rFonts w:hint="eastAsia" w:ascii="宋体" w:hAnsi="宋体" w:cs="宋体"/>
          <w:color w:val="0000FF"/>
          <w:spacing w:val="3"/>
          <w:sz w:val="24"/>
          <w:szCs w:val="24"/>
          <w:u w:val="none" w:color="auto"/>
          <w:lang w:val="en-US" w:eastAsia="zh-CN"/>
        </w:rPr>
        <w:t>提供</w:t>
      </w:r>
      <w:r>
        <w:rPr>
          <w:rFonts w:hint="eastAsia" w:ascii="宋体" w:hAnsi="宋体" w:eastAsia="宋体" w:cs="宋体"/>
          <w:color w:val="0000FF"/>
          <w:spacing w:val="3"/>
          <w:sz w:val="24"/>
          <w:szCs w:val="24"/>
          <w:u w:val="none" w:color="auto"/>
          <w:lang w:val="en-US" w:eastAsia="zh-CN"/>
        </w:rPr>
        <w:t>报告后，</w:t>
      </w:r>
      <w:r>
        <w:rPr>
          <w:rFonts w:hint="eastAsia" w:ascii="宋体" w:hAnsi="宋体"/>
          <w:b w:val="0"/>
          <w:bCs w:val="0"/>
          <w:color w:val="0000FF"/>
          <w:sz w:val="24"/>
          <w:highlight w:val="none"/>
          <w:lang w:val="en-US" w:eastAsia="zh-CN"/>
        </w:rPr>
        <w:t>支付合同金额的100%</w:t>
      </w:r>
      <w:bookmarkEnd w:id="0"/>
      <w:r>
        <w:rPr>
          <w:rFonts w:hint="eastAsia" w:ascii="宋体" w:hAnsi="宋体"/>
          <w:b w:val="0"/>
          <w:bCs w:val="0"/>
          <w:color w:val="0000FF"/>
          <w:sz w:val="24"/>
          <w:highlight w:val="none"/>
          <w:lang w:val="en-US" w:eastAsia="zh-CN"/>
        </w:rPr>
        <w:t>。</w:t>
      </w:r>
    </w:p>
    <w:bookmarkEnd w:id="1"/>
    <w:p w14:paraId="2EE8D993">
      <w:pPr>
        <w:pStyle w:val="20"/>
        <w:ind w:left="-708" w:leftChars="-337" w:firstLine="480" w:firstLineChars="200"/>
        <w:rPr>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如验收不合格以及发现伪劣产品等，招标人将视情形采取退货、拒付款、终止合同、索赔等措施，直至通过有关部门，依法维权。</w:t>
      </w:r>
      <w:r>
        <w:rPr>
          <w:color w:val="000000" w:themeColor="text1"/>
          <w:kern w:val="0"/>
          <w:sz w:val="24"/>
          <w:szCs w:val="24"/>
          <w14:textFill>
            <w14:solidFill>
              <w14:schemeClr w14:val="tx1"/>
            </w14:solidFill>
          </w14:textFill>
        </w:rPr>
        <w:t xml:space="preserve">    </w:t>
      </w:r>
    </w:p>
    <w:p w14:paraId="0640C5B2">
      <w:pPr>
        <w:widowControl/>
        <w:spacing w:line="360" w:lineRule="auto"/>
        <w:ind w:left="-708" w:leftChars="-338" w:hanging="2"/>
        <w:jc w:val="left"/>
        <w:rPr>
          <w:rFonts w:cs="宋体"/>
          <w:b/>
          <w:bCs/>
          <w:color w:val="000000" w:themeColor="text1"/>
          <w:kern w:val="0"/>
          <w:sz w:val="28"/>
          <w:szCs w:val="28"/>
          <w14:textFill>
            <w14:solidFill>
              <w14:schemeClr w14:val="tx1"/>
            </w14:solidFill>
          </w14:textFill>
        </w:rPr>
      </w:pPr>
      <w:r>
        <w:rPr>
          <w:b/>
          <w:bCs/>
          <w:color w:val="000000" w:themeColor="text1"/>
          <w:kern w:val="0"/>
          <w:sz w:val="24"/>
          <w:szCs w:val="24"/>
          <w14:textFill>
            <w14:solidFill>
              <w14:schemeClr w14:val="tx1"/>
            </w14:solidFill>
          </w14:textFill>
        </w:rPr>
        <w:t> </w:t>
      </w:r>
      <w:r>
        <w:rPr>
          <w:rFonts w:hint="eastAsia"/>
          <w:b/>
          <w:bCs/>
          <w:color w:val="000000" w:themeColor="text1"/>
          <w:kern w:val="0"/>
          <w:sz w:val="28"/>
          <w:szCs w:val="28"/>
          <w:lang w:val="en-US" w:eastAsia="zh-CN"/>
          <w14:textFill>
            <w14:solidFill>
              <w14:schemeClr w14:val="tx1"/>
            </w14:solidFill>
          </w14:textFill>
        </w:rPr>
        <w:t>二</w:t>
      </w:r>
      <w:r>
        <w:rPr>
          <w:rFonts w:hint="eastAsia" w:cs="宋体"/>
          <w:b/>
          <w:bCs/>
          <w:color w:val="000000" w:themeColor="text1"/>
          <w:kern w:val="0"/>
          <w:sz w:val="28"/>
          <w:szCs w:val="28"/>
          <w14:textFill>
            <w14:solidFill>
              <w14:schemeClr w14:val="tx1"/>
            </w14:solidFill>
          </w14:textFill>
        </w:rPr>
        <w:t>、合同签订</w:t>
      </w:r>
    </w:p>
    <w:p w14:paraId="0C011E29">
      <w:pPr>
        <w:widowControl/>
        <w:spacing w:line="360" w:lineRule="auto"/>
        <w:ind w:left="-708" w:leftChars="-338" w:hanging="2"/>
        <w:jc w:val="left"/>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招标人和中标人应当自公示结束后</w:t>
      </w:r>
      <w:sdt>
        <w:sdtPr>
          <w:rPr>
            <w:rFonts w:hint="eastAsia" w:cs="宋体"/>
            <w:color w:val="000000" w:themeColor="text1"/>
            <w:kern w:val="0"/>
            <w:sz w:val="24"/>
            <w:szCs w:val="24"/>
            <w14:textFill>
              <w14:solidFill>
                <w14:schemeClr w14:val="tx1"/>
              </w14:solidFill>
            </w14:textFill>
          </w:rPr>
          <w:alias w:val="无特殊情况不建议修改"/>
          <w:tag w:val="无特殊情况不建议修改"/>
          <w:id w:val="-183904816"/>
          <w:placeholder>
            <w:docPart w:val="DefaultPlaceholder_-1854013440"/>
          </w:placeholder>
          <w15:color w:val="FF0000"/>
        </w:sdtPr>
        <w:sdtEndPr>
          <w:rPr>
            <w:rFonts w:hint="eastAsia" w:cs="宋体"/>
            <w:color w:val="000000" w:themeColor="text1"/>
            <w:kern w:val="0"/>
            <w:sz w:val="24"/>
            <w:szCs w:val="24"/>
            <w:u w:val="single"/>
            <w14:textFill>
              <w14:solidFill>
                <w14:schemeClr w14:val="tx1"/>
              </w14:solidFill>
            </w14:textFill>
          </w:rPr>
        </w:sdtEndPr>
        <w:sdtContent>
          <w:r>
            <w:rPr>
              <w:rFonts w:hint="eastAsia" w:cs="宋体"/>
              <w:color w:val="000000" w:themeColor="text1"/>
              <w:kern w:val="0"/>
              <w:sz w:val="24"/>
              <w:szCs w:val="24"/>
              <w:u w:val="single"/>
              <w:lang w:eastAsia="zh-CN"/>
              <w14:textFill>
                <w14:solidFill>
                  <w14:schemeClr w14:val="tx1"/>
                </w14:solidFill>
              </w14:textFill>
            </w:rPr>
            <w:t>2</w:t>
          </w:r>
          <w:r>
            <w:rPr>
              <w:rFonts w:hint="eastAsia" w:cs="宋体"/>
              <w:color w:val="000000" w:themeColor="text1"/>
              <w:kern w:val="0"/>
              <w:sz w:val="24"/>
              <w:szCs w:val="24"/>
              <w:u w:val="single"/>
              <w:lang w:val="en-US" w:eastAsia="zh-CN"/>
              <w14:textFill>
                <w14:solidFill>
                  <w14:schemeClr w14:val="tx1"/>
                </w14:solidFill>
              </w14:textFill>
            </w:rPr>
            <w:t>5</w:t>
          </w:r>
        </w:sdtContent>
      </w:sdt>
      <w:r>
        <w:rPr>
          <w:rFonts w:hint="eastAsia" w:cs="宋体"/>
          <w:color w:val="000000" w:themeColor="text1"/>
          <w:kern w:val="0"/>
          <w:sz w:val="24"/>
          <w:szCs w:val="24"/>
          <w:lang w:val="en-US" w:eastAsia="zh-CN"/>
          <w14:textFill>
            <w14:solidFill>
              <w14:schemeClr w14:val="tx1"/>
            </w14:solidFill>
          </w14:textFill>
        </w:rPr>
        <w:t>日</w:t>
      </w:r>
      <w:r>
        <w:rPr>
          <w:rFonts w:hint="eastAsia" w:cs="宋体"/>
          <w:color w:val="000000" w:themeColor="text1"/>
          <w:kern w:val="0"/>
          <w:sz w:val="24"/>
          <w:szCs w:val="24"/>
          <w14:textFill>
            <w14:solidFill>
              <w14:schemeClr w14:val="tx1"/>
            </w14:solidFill>
          </w14:textFill>
        </w:rPr>
        <w:t>内签订采购合同。</w:t>
      </w:r>
    </w:p>
    <w:p w14:paraId="3389F8FE">
      <w:pPr>
        <w:widowControl/>
        <w:spacing w:line="360" w:lineRule="auto"/>
        <w:ind w:left="-708" w:leftChars="-338" w:hanging="2"/>
        <w:jc w:val="left"/>
        <w:rPr>
          <w:rFonts w:cs="宋体"/>
          <w:b/>
          <w:bCs/>
          <w:color w:val="000000" w:themeColor="text1"/>
          <w:kern w:val="0"/>
          <w:sz w:val="28"/>
          <w:szCs w:val="28"/>
          <w14:textFill>
            <w14:solidFill>
              <w14:schemeClr w14:val="tx1"/>
            </w14:solidFill>
          </w14:textFill>
        </w:rPr>
      </w:pPr>
      <w:r>
        <w:rPr>
          <w:color w:val="000000" w:themeColor="text1"/>
          <w:kern w:val="0"/>
          <w:sz w:val="24"/>
          <w:szCs w:val="24"/>
          <w14:textFill>
            <w14:solidFill>
              <w14:schemeClr w14:val="tx1"/>
            </w14:solidFill>
          </w14:textFill>
        </w:rPr>
        <w:t> </w:t>
      </w:r>
      <w:r>
        <w:rPr>
          <w:rFonts w:hint="eastAsia"/>
          <w:b/>
          <w:bCs/>
          <w:color w:val="000000" w:themeColor="text1"/>
          <w:kern w:val="0"/>
          <w:sz w:val="28"/>
          <w:szCs w:val="28"/>
          <w:lang w:val="en-US" w:eastAsia="zh-CN"/>
          <w14:textFill>
            <w14:solidFill>
              <w14:schemeClr w14:val="tx1"/>
            </w14:solidFill>
          </w14:textFill>
        </w:rPr>
        <w:t>三</w:t>
      </w:r>
      <w:r>
        <w:rPr>
          <w:rFonts w:hint="eastAsia" w:cs="宋体"/>
          <w:b/>
          <w:bCs/>
          <w:color w:val="000000" w:themeColor="text1"/>
          <w:kern w:val="0"/>
          <w:sz w:val="28"/>
          <w:szCs w:val="28"/>
          <w14:textFill>
            <w14:solidFill>
              <w14:schemeClr w14:val="tx1"/>
            </w14:solidFill>
          </w14:textFill>
        </w:rPr>
        <w:t>、其他</w:t>
      </w:r>
    </w:p>
    <w:p w14:paraId="3BDAD716">
      <w:pPr>
        <w:pStyle w:val="2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p w14:paraId="3F72EE61">
      <w:pPr>
        <w:widowControl/>
        <w:spacing w:line="360" w:lineRule="auto"/>
        <w:ind w:left="-708" w:leftChars="-338" w:hanging="2"/>
        <w:jc w:val="left"/>
        <w:rPr>
          <w:rFonts w:cs="宋体"/>
          <w:b/>
          <w:bCs/>
          <w:color w:val="000000" w:themeColor="text1"/>
          <w:kern w:val="0"/>
          <w:sz w:val="28"/>
          <w:szCs w:val="28"/>
          <w14:textFill>
            <w14:solidFill>
              <w14:schemeClr w14:val="tx1"/>
            </w14:solidFill>
          </w14:textFill>
        </w:rPr>
      </w:pPr>
      <w:r>
        <w:rPr>
          <w:rFonts w:hint="eastAsia" w:cs="宋体"/>
          <w:b/>
          <w:bCs/>
          <w:color w:val="000000" w:themeColor="text1"/>
          <w:kern w:val="0"/>
          <w:sz w:val="28"/>
          <w:szCs w:val="28"/>
          <w:lang w:val="en-US" w:eastAsia="zh-CN"/>
          <w14:textFill>
            <w14:solidFill>
              <w14:schemeClr w14:val="tx1"/>
            </w14:solidFill>
          </w14:textFill>
        </w:rPr>
        <w:t>四</w:t>
      </w:r>
      <w:r>
        <w:rPr>
          <w:rFonts w:hint="eastAsia" w:cs="宋体"/>
          <w:b/>
          <w:bCs/>
          <w:color w:val="000000" w:themeColor="text1"/>
          <w:kern w:val="0"/>
          <w:sz w:val="28"/>
          <w:szCs w:val="28"/>
          <w14:textFill>
            <w14:solidFill>
              <w14:schemeClr w14:val="tx1"/>
            </w14:solidFill>
          </w14:textFill>
        </w:rPr>
        <w:t>、特别说明</w:t>
      </w:r>
    </w:p>
    <w:p w14:paraId="44265809">
      <w:pPr>
        <w:widowControl/>
        <w:spacing w:line="400" w:lineRule="exact"/>
        <w:ind w:left="-613" w:leftChars="-292" w:firstLine="412" w:firstLineChars="172"/>
        <w:jc w:val="left"/>
        <w:rPr>
          <w:rFonts w:hint="eastAsia"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4EFC7CB1">
      <w:pPr>
        <w:widowControl/>
        <w:jc w:val="center"/>
        <w:rPr>
          <w:rFonts w:hint="eastAsia" w:cs="宋体"/>
          <w:b/>
          <w:bCs/>
          <w:kern w:val="0"/>
          <w:sz w:val="38"/>
          <w:szCs w:val="38"/>
        </w:rPr>
      </w:pPr>
    </w:p>
    <w:p w14:paraId="781939A7">
      <w:pPr>
        <w:widowControl/>
        <w:jc w:val="center"/>
        <w:rPr>
          <w:rFonts w:hint="eastAsia" w:cs="宋体"/>
          <w:b/>
          <w:bCs/>
          <w:kern w:val="0"/>
          <w:sz w:val="38"/>
          <w:szCs w:val="38"/>
        </w:rPr>
      </w:pPr>
    </w:p>
    <w:p w14:paraId="3CE55644">
      <w:pPr>
        <w:widowControl/>
        <w:jc w:val="center"/>
        <w:rPr>
          <w:b/>
          <w:bCs/>
          <w:kern w:val="0"/>
        </w:rPr>
      </w:pP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113DDFA6">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43193CD5">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b/>
          <w:bCs/>
          <w:kern w:val="0"/>
          <w:sz w:val="28"/>
          <w:szCs w:val="28"/>
          <w:u w:val="single"/>
          <w:lang w:val="en-US" w:eastAsia="zh-CN"/>
        </w:rPr>
        <w:t xml:space="preserve"> </w:t>
      </w:r>
      <w:r>
        <w:rPr>
          <w:rFonts w:hint="eastAsia" w:cs="宋体"/>
          <w:b/>
          <w:bCs/>
          <w:kern w:val="0"/>
          <w:sz w:val="24"/>
          <w:szCs w:val="24"/>
          <w:u w:val="single"/>
          <w:lang w:val="en-US" w:eastAsia="zh-CN"/>
        </w:rPr>
        <w:t>最低评标价法</w:t>
      </w:r>
      <w:r>
        <w:rPr>
          <w:rFonts w:hint="eastAsia" w:cs="宋体"/>
          <w:b/>
          <w:bCs/>
          <w:kern w:val="0"/>
          <w:sz w:val="28"/>
          <w:szCs w:val="28"/>
          <w:u w:val="single"/>
          <w:lang w:val="en-US" w:eastAsia="zh-CN"/>
        </w:rPr>
        <w:t xml:space="preserve"> </w:t>
      </w:r>
      <w:r>
        <w:rPr>
          <w:rFonts w:hint="eastAsia" w:cs="宋体"/>
          <w:kern w:val="0"/>
          <w:sz w:val="24"/>
          <w:szCs w:val="24"/>
        </w:rPr>
        <w:t>确定中标候选人。</w:t>
      </w:r>
    </w:p>
    <w:p w14:paraId="7D5FF258">
      <w:pPr>
        <w:pStyle w:val="20"/>
      </w:pPr>
    </w:p>
    <w:sectPr>
      <w:pgSz w:w="11906" w:h="16838"/>
      <w:pgMar w:top="1440" w:right="1800" w:bottom="1440" w:left="11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14861fb6-b3e4-47e9-98da-d06ae9be1e21"/>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B56736"/>
    <w:rsid w:val="07E61381"/>
    <w:rsid w:val="08AD0F4B"/>
    <w:rsid w:val="094E71DE"/>
    <w:rsid w:val="0A795D65"/>
    <w:rsid w:val="0CC05EEA"/>
    <w:rsid w:val="0D9F74A7"/>
    <w:rsid w:val="0DAB0B9B"/>
    <w:rsid w:val="0E39434A"/>
    <w:rsid w:val="0E6B1369"/>
    <w:rsid w:val="0E8C22E1"/>
    <w:rsid w:val="0ECE5049"/>
    <w:rsid w:val="10C97A40"/>
    <w:rsid w:val="10EC6F96"/>
    <w:rsid w:val="111563A0"/>
    <w:rsid w:val="116C0B49"/>
    <w:rsid w:val="11AC7198"/>
    <w:rsid w:val="12057230"/>
    <w:rsid w:val="122B15C9"/>
    <w:rsid w:val="12713099"/>
    <w:rsid w:val="12C97D37"/>
    <w:rsid w:val="13703BE0"/>
    <w:rsid w:val="145823EB"/>
    <w:rsid w:val="1461070D"/>
    <w:rsid w:val="157601E9"/>
    <w:rsid w:val="166F4544"/>
    <w:rsid w:val="17BF5E77"/>
    <w:rsid w:val="188C387F"/>
    <w:rsid w:val="196D388E"/>
    <w:rsid w:val="1B0B13D3"/>
    <w:rsid w:val="1B513EBB"/>
    <w:rsid w:val="1D5C4168"/>
    <w:rsid w:val="1DA552C9"/>
    <w:rsid w:val="1E622ABE"/>
    <w:rsid w:val="1FE16BA6"/>
    <w:rsid w:val="21B710F4"/>
    <w:rsid w:val="2201708C"/>
    <w:rsid w:val="2217240B"/>
    <w:rsid w:val="2218153E"/>
    <w:rsid w:val="22486A69"/>
    <w:rsid w:val="22560A16"/>
    <w:rsid w:val="23720241"/>
    <w:rsid w:val="23935A07"/>
    <w:rsid w:val="23CD191B"/>
    <w:rsid w:val="250B520A"/>
    <w:rsid w:val="25773183"/>
    <w:rsid w:val="26431704"/>
    <w:rsid w:val="26CD4569"/>
    <w:rsid w:val="27D01D3D"/>
    <w:rsid w:val="27D34CA5"/>
    <w:rsid w:val="28110468"/>
    <w:rsid w:val="293A4A87"/>
    <w:rsid w:val="2AC346E5"/>
    <w:rsid w:val="2B4F2C16"/>
    <w:rsid w:val="2BB34AE2"/>
    <w:rsid w:val="2CD07D87"/>
    <w:rsid w:val="2D557934"/>
    <w:rsid w:val="2E44559E"/>
    <w:rsid w:val="311834AF"/>
    <w:rsid w:val="3159582E"/>
    <w:rsid w:val="318469E5"/>
    <w:rsid w:val="3194337D"/>
    <w:rsid w:val="33AD09CA"/>
    <w:rsid w:val="35D22DC1"/>
    <w:rsid w:val="364A2958"/>
    <w:rsid w:val="3737378F"/>
    <w:rsid w:val="3806606D"/>
    <w:rsid w:val="397701BE"/>
    <w:rsid w:val="3B546CEC"/>
    <w:rsid w:val="3EA21DFC"/>
    <w:rsid w:val="3F8769CB"/>
    <w:rsid w:val="40B22188"/>
    <w:rsid w:val="40EF415A"/>
    <w:rsid w:val="41366ED0"/>
    <w:rsid w:val="423014D9"/>
    <w:rsid w:val="484D14FE"/>
    <w:rsid w:val="48D85C25"/>
    <w:rsid w:val="4981798E"/>
    <w:rsid w:val="49A95790"/>
    <w:rsid w:val="4A6022F2"/>
    <w:rsid w:val="4B646D8B"/>
    <w:rsid w:val="4C1C5576"/>
    <w:rsid w:val="4C3E6663"/>
    <w:rsid w:val="4CD9638C"/>
    <w:rsid w:val="4D442BFB"/>
    <w:rsid w:val="4D52686A"/>
    <w:rsid w:val="4D781BD4"/>
    <w:rsid w:val="4DA009DA"/>
    <w:rsid w:val="4DA97E72"/>
    <w:rsid w:val="4DB9683E"/>
    <w:rsid w:val="4F3439C9"/>
    <w:rsid w:val="4F3D41BA"/>
    <w:rsid w:val="4F8B1BBF"/>
    <w:rsid w:val="4FA90297"/>
    <w:rsid w:val="50502E0F"/>
    <w:rsid w:val="51794369"/>
    <w:rsid w:val="51B2246F"/>
    <w:rsid w:val="539906F6"/>
    <w:rsid w:val="545321BD"/>
    <w:rsid w:val="55D712FC"/>
    <w:rsid w:val="56E147BB"/>
    <w:rsid w:val="57783371"/>
    <w:rsid w:val="589150FF"/>
    <w:rsid w:val="591470C9"/>
    <w:rsid w:val="5C797243"/>
    <w:rsid w:val="5D1A4465"/>
    <w:rsid w:val="5DCD43FF"/>
    <w:rsid w:val="5E761C8C"/>
    <w:rsid w:val="5ECE3876"/>
    <w:rsid w:val="5F02517D"/>
    <w:rsid w:val="5FFD63C3"/>
    <w:rsid w:val="622163B3"/>
    <w:rsid w:val="62814799"/>
    <w:rsid w:val="62DE3608"/>
    <w:rsid w:val="635822A8"/>
    <w:rsid w:val="646D1D84"/>
    <w:rsid w:val="64CA4726"/>
    <w:rsid w:val="65706B30"/>
    <w:rsid w:val="67EF0C5A"/>
    <w:rsid w:val="6A513DD5"/>
    <w:rsid w:val="6A7543AD"/>
    <w:rsid w:val="6BF540D9"/>
    <w:rsid w:val="6CA20189"/>
    <w:rsid w:val="6DD0797D"/>
    <w:rsid w:val="6DD91182"/>
    <w:rsid w:val="6E1A0EFE"/>
    <w:rsid w:val="71754026"/>
    <w:rsid w:val="73522870"/>
    <w:rsid w:val="73A11102"/>
    <w:rsid w:val="74B5471E"/>
    <w:rsid w:val="7661430F"/>
    <w:rsid w:val="77E41C8F"/>
    <w:rsid w:val="77FF632E"/>
    <w:rsid w:val="780831FD"/>
    <w:rsid w:val="796933E0"/>
    <w:rsid w:val="7B036868"/>
    <w:rsid w:val="7B14665D"/>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99"/>
    <w:pPr>
      <w:ind w:left="1400" w:leftChars="1400"/>
    </w:pPr>
  </w:style>
  <w:style w:type="paragraph" w:styleId="4">
    <w:name w:val="Normal Indent"/>
    <w:basedOn w:val="1"/>
    <w:next w:val="5"/>
    <w:qFormat/>
    <w:uiPriority w:val="0"/>
    <w:pPr>
      <w:ind w:firstLine="420"/>
    </w:pPr>
    <w:rPr>
      <w:szCs w:val="20"/>
    </w:rPr>
  </w:style>
  <w:style w:type="paragraph" w:styleId="5">
    <w:name w:val="Document Map"/>
    <w:basedOn w:val="1"/>
    <w:next w:val="6"/>
    <w:qFormat/>
    <w:uiPriority w:val="0"/>
    <w:rPr>
      <w:rFonts w:ascii="宋体"/>
      <w:sz w:val="18"/>
      <w:szCs w:val="18"/>
    </w:rPr>
  </w:style>
  <w:style w:type="paragraph" w:styleId="6">
    <w:name w:val="toc 3"/>
    <w:basedOn w:val="1"/>
    <w:next w:val="1"/>
    <w:qFormat/>
    <w:uiPriority w:val="0"/>
    <w:pPr>
      <w:ind w:left="840" w:leftChars="400"/>
    </w:pPr>
  </w:style>
  <w:style w:type="paragraph" w:styleId="7">
    <w:name w:val="annotation text"/>
    <w:basedOn w:val="1"/>
    <w:link w:val="22"/>
    <w:qFormat/>
    <w:uiPriority w:val="99"/>
    <w:pPr>
      <w:jc w:val="left"/>
    </w:pPr>
  </w:style>
  <w:style w:type="paragraph" w:styleId="8">
    <w:name w:val="Body Text"/>
    <w:basedOn w:val="1"/>
    <w:next w:val="4"/>
    <w:unhideWhenUsed/>
    <w:qFormat/>
    <w:uiPriority w:val="0"/>
    <w:pPr>
      <w:spacing w:after="120"/>
    </w:pPr>
  </w:style>
  <w:style w:type="paragraph" w:styleId="9">
    <w:name w:val="Body Text Indent"/>
    <w:basedOn w:val="1"/>
    <w:qFormat/>
    <w:uiPriority w:val="0"/>
    <w:pPr>
      <w:spacing w:line="200" w:lineRule="exact"/>
      <w:ind w:firstLine="301"/>
    </w:pPr>
    <w:rPr>
      <w:rFonts w:ascii="宋体" w:hAnsi="Courier New"/>
      <w:spacing w:val="-4"/>
      <w:sz w:val="18"/>
      <w:szCs w:val="20"/>
    </w:rPr>
  </w:style>
  <w:style w:type="paragraph" w:styleId="10">
    <w:name w:val="Plain Text"/>
    <w:basedOn w:val="1"/>
    <w:next w:val="1"/>
    <w:link w:val="24"/>
    <w:qFormat/>
    <w:uiPriority w:val="99"/>
    <w:rPr>
      <w:rFonts w:ascii="宋体" w:hAnsi="Courier New"/>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0"/>
    <w:qFormat/>
    <w:uiPriority w:val="0"/>
    <w:pPr>
      <w:spacing w:before="240" w:after="60" w:line="312" w:lineRule="auto"/>
      <w:jc w:val="center"/>
      <w:outlineLvl w:val="1"/>
    </w:pPr>
    <w:rPr>
      <w:rFonts w:ascii="Cambria" w:hAnsi="Cambria"/>
      <w:b/>
      <w:bCs/>
      <w:kern w:val="28"/>
      <w:sz w:val="32"/>
      <w:szCs w:val="32"/>
    </w:rPr>
  </w:style>
  <w:style w:type="paragraph" w:styleId="14">
    <w:name w:val="annotation subject"/>
    <w:basedOn w:val="7"/>
    <w:next w:val="7"/>
    <w:link w:val="23"/>
    <w:semiHidden/>
    <w:unhideWhenUsed/>
    <w:qFormat/>
    <w:uiPriority w:val="99"/>
    <w:rPr>
      <w:b/>
      <w:bCs/>
    </w:rPr>
  </w:style>
  <w:style w:type="paragraph" w:styleId="15">
    <w:name w:val="Body Text First Indent 2"/>
    <w:basedOn w:val="9"/>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color w:val="auto"/>
      <w:kern w:val="2"/>
      <w:sz w:val="21"/>
      <w:szCs w:val="24"/>
      <w:lang w:val="en-US" w:eastAsia="zh-CN" w:bidi="ar"/>
    </w:rPr>
  </w:style>
  <w:style w:type="table" w:styleId="17">
    <w:name w:val="Table Grid"/>
    <w:basedOn w:val="16"/>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semiHidden/>
    <w:qFormat/>
    <w:uiPriority w:val="99"/>
    <w:rPr>
      <w:sz w:val="21"/>
      <w:szCs w:val="21"/>
    </w:rPr>
  </w:style>
  <w:style w:type="paragraph" w:customStyle="1" w:styleId="2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1">
    <w:name w:val="批注文字 字符"/>
    <w:basedOn w:val="18"/>
    <w:qFormat/>
    <w:uiPriority w:val="99"/>
    <w:rPr>
      <w:rFonts w:ascii="Times New Roman" w:hAnsi="Times New Roman" w:eastAsia="宋体" w:cs="Times New Roman"/>
      <w:szCs w:val="21"/>
    </w:rPr>
  </w:style>
  <w:style w:type="character" w:customStyle="1" w:styleId="22">
    <w:name w:val="批注文字 字符1"/>
    <w:link w:val="7"/>
    <w:semiHidden/>
    <w:qFormat/>
    <w:uiPriority w:val="99"/>
    <w:rPr>
      <w:rFonts w:ascii="Times New Roman" w:hAnsi="Times New Roman" w:eastAsia="宋体" w:cs="Times New Roman"/>
      <w:szCs w:val="21"/>
    </w:rPr>
  </w:style>
  <w:style w:type="character" w:customStyle="1" w:styleId="23">
    <w:name w:val="批注主题 字符"/>
    <w:basedOn w:val="22"/>
    <w:link w:val="14"/>
    <w:semiHidden/>
    <w:qFormat/>
    <w:uiPriority w:val="99"/>
    <w:rPr>
      <w:rFonts w:ascii="Times New Roman" w:hAnsi="Times New Roman" w:eastAsia="宋体" w:cs="Times New Roman"/>
      <w:b/>
      <w:bCs/>
      <w:szCs w:val="21"/>
    </w:rPr>
  </w:style>
  <w:style w:type="character" w:customStyle="1" w:styleId="24">
    <w:name w:val="纯文本 字符"/>
    <w:basedOn w:val="18"/>
    <w:link w:val="10"/>
    <w:qFormat/>
    <w:uiPriority w:val="99"/>
    <w:rPr>
      <w:rFonts w:ascii="宋体" w:hAnsi="Courier New" w:eastAsia="宋体" w:cs="Times New Roman"/>
      <w:szCs w:val="21"/>
    </w:r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 w:type="character" w:customStyle="1" w:styleId="26">
    <w:name w:val="fontstyle01"/>
    <w:qFormat/>
    <w:uiPriority w:val="0"/>
    <w:rPr>
      <w:rFonts w:hint="eastAsia" w:ascii="宋体" w:hAnsi="宋体" w:eastAsia="宋体"/>
      <w:color w:val="000000"/>
      <w:sz w:val="24"/>
      <w:szCs w:val="24"/>
    </w:rPr>
  </w:style>
  <w:style w:type="character" w:customStyle="1" w:styleId="27">
    <w:name w:val="页眉 字符"/>
    <w:basedOn w:val="18"/>
    <w:link w:val="12"/>
    <w:qFormat/>
    <w:uiPriority w:val="99"/>
    <w:rPr>
      <w:rFonts w:ascii="Times New Roman" w:hAnsi="Times New Roman" w:eastAsia="宋体" w:cs="Times New Roman"/>
      <w:sz w:val="18"/>
      <w:szCs w:val="18"/>
    </w:rPr>
  </w:style>
  <w:style w:type="character" w:customStyle="1" w:styleId="28">
    <w:name w:val="页脚 字符"/>
    <w:basedOn w:val="18"/>
    <w:link w:val="11"/>
    <w:qFormat/>
    <w:uiPriority w:val="99"/>
    <w:rPr>
      <w:rFonts w:ascii="Times New Roman" w:hAnsi="Times New Roman" w:eastAsia="宋体" w:cs="Times New Roman"/>
      <w:sz w:val="18"/>
      <w:szCs w:val="18"/>
    </w:rPr>
  </w:style>
  <w:style w:type="character" w:styleId="29">
    <w:name w:val="Placeholder Text"/>
    <w:basedOn w:val="18"/>
    <w:semiHidden/>
    <w:qFormat/>
    <w:uiPriority w:val="99"/>
    <w:rPr>
      <w:color w:val="808080"/>
    </w:rPr>
  </w:style>
  <w:style w:type="paragraph" w:customStyle="1" w:styleId="30">
    <w:name w:val="样式1"/>
    <w:basedOn w:val="1"/>
    <w:qFormat/>
    <w:uiPriority w:val="0"/>
  </w:style>
  <w:style w:type="paragraph" w:customStyle="1" w:styleId="31">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27353913">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872</Words>
  <Characters>908</Characters>
  <Lines>26</Lines>
  <Paragraphs>7</Paragraphs>
  <TotalTime>1</TotalTime>
  <ScaleCrop>false</ScaleCrop>
  <LinksUpToDate>false</LinksUpToDate>
  <CharactersWithSpaces>974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飞翔的地主仔</cp:lastModifiedBy>
  <cp:lastPrinted>2021-01-18T07:59:00Z</cp:lastPrinted>
  <dcterms:modified xsi:type="dcterms:W3CDTF">2026-02-06T02:02:39Z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895EB6AA0F174B988A6A7AB4D4A4B3E4_13</vt:lpwstr>
  </property>
  <property fmtid="{D5CDD505-2E9C-101B-9397-08002B2CF9AE}" pid="4" name="KSOTemplateDocerSaveRecord">
    <vt:lpwstr>eyJoZGlkIjoiN2Q2ZGEzMzFhNGViZjI3NjE1OTIwNTRlMDU5MTRmMmQiLCJ1c2VySWQiOiIyMzc1ODQ2OTgifQ==</vt:lpwstr>
  </property>
</Properties>
</file>