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64C58">
      <w:pPr>
        <w:pStyle w:val="11"/>
        <w:ind w:firstLine="3052" w:firstLineChars="800"/>
        <w:rPr>
          <w:rFonts w:hint="eastAsia" w:cs="宋体"/>
          <w:b/>
          <w:bCs/>
          <w:kern w:val="0"/>
          <w:sz w:val="38"/>
          <w:szCs w:val="38"/>
          <w:lang w:val="en-US" w:eastAsia="zh-CN"/>
        </w:rPr>
      </w:pPr>
      <w:r>
        <w:rPr>
          <w:rFonts w:hint="eastAsia" w:cs="宋体"/>
          <w:b/>
          <w:bCs/>
          <w:kern w:val="0"/>
          <w:sz w:val="38"/>
          <w:szCs w:val="38"/>
          <w:lang w:eastAsia="zh-CN"/>
        </w:rPr>
        <w:t>采购需求文件</w:t>
      </w:r>
      <w:r>
        <w:rPr>
          <w:rFonts w:hint="eastAsia" w:cs="宋体"/>
          <w:b/>
          <w:bCs/>
          <w:kern w:val="0"/>
          <w:sz w:val="38"/>
          <w:szCs w:val="38"/>
          <w:lang w:val="en-US" w:eastAsia="zh-CN"/>
        </w:rPr>
        <w:t xml:space="preserve"> </w:t>
      </w:r>
    </w:p>
    <w:p w14:paraId="7908928D">
      <w:pPr>
        <w:pStyle w:val="11"/>
        <w:ind w:firstLine="2289" w:firstLineChars="600"/>
        <w:rPr>
          <w:rFonts w:hint="eastAsia" w:cs="宋体"/>
          <w:b/>
          <w:bCs/>
          <w:kern w:val="0"/>
          <w:sz w:val="38"/>
          <w:szCs w:val="38"/>
          <w:lang w:val="en-US" w:eastAsia="zh-CN"/>
        </w:rPr>
      </w:pPr>
    </w:p>
    <w:p w14:paraId="0D6A22E2">
      <w:pPr>
        <w:pStyle w:val="11"/>
        <w:spacing w:line="360" w:lineRule="auto"/>
        <w:ind w:left="-225" w:leftChars="-107" w:firstLine="480" w:firstLineChars="200"/>
        <w:rPr>
          <w:rFonts w:hint="eastAsia" w:cs="宋体"/>
          <w:b/>
          <w:bCs/>
          <w:kern w:val="0"/>
          <w:sz w:val="38"/>
          <w:szCs w:val="38"/>
          <w:lang w:val="en-US" w:eastAsia="zh-CN"/>
        </w:rPr>
      </w:pPr>
      <w:r>
        <w:rPr>
          <w:rFonts w:hint="eastAsia" w:ascii="宋体" w:hAnsi="宋体"/>
          <w:b w:val="0"/>
          <w:bCs/>
          <w:color w:val="000000" w:themeColor="text1"/>
          <w14:textFill>
            <w14:solidFill>
              <w14:schemeClr w14:val="tx1"/>
            </w14:solidFill>
          </w14:textFill>
        </w:rPr>
        <w:t>★ 部分为核心参数</w:t>
      </w:r>
      <w:r>
        <w:rPr>
          <w:rFonts w:hint="eastAsia" w:ascii="宋体" w:hAnsi="宋体"/>
          <w:b w:val="0"/>
          <w:bCs/>
          <w:color w:val="000000" w:themeColor="text1"/>
          <w:lang w:eastAsia="zh-CN"/>
          <w14:textFill>
            <w14:solidFill>
              <w14:schemeClr w14:val="tx1"/>
            </w14:solidFill>
          </w14:textFill>
        </w:rPr>
        <w:t>，</w:t>
      </w:r>
      <w:r>
        <w:rPr>
          <w:rFonts w:hint="eastAsia" w:ascii="宋体" w:hAnsi="宋体"/>
          <w:b w:val="0"/>
          <w:bCs/>
          <w:color w:val="000000" w:themeColor="text1"/>
          <w14:textFill>
            <w14:solidFill>
              <w14:schemeClr w14:val="tx1"/>
            </w14:solidFill>
          </w14:textFill>
        </w:rPr>
        <w:t>必须满足或者优于，</w:t>
      </w:r>
      <w:r>
        <w:rPr>
          <w:rFonts w:hint="eastAsia" w:ascii="宋体" w:hAnsi="宋体"/>
          <w:b w:val="0"/>
          <w:bCs/>
          <w:color w:val="000000" w:themeColor="text1"/>
          <w:lang w:eastAsia="zh-CN"/>
          <w14:textFill>
            <w14:solidFill>
              <w14:schemeClr w14:val="tx1"/>
            </w14:solidFill>
          </w14:textFill>
        </w:rPr>
        <w:t>不</w:t>
      </w:r>
      <w:r>
        <w:rPr>
          <w:rFonts w:hint="eastAsia" w:ascii="宋体" w:hAnsi="宋体"/>
          <w:b w:val="0"/>
          <w:bCs/>
          <w:color w:val="000000" w:themeColor="text1"/>
          <w14:textFill>
            <w14:solidFill>
              <w14:schemeClr w14:val="tx1"/>
            </w14:solidFill>
          </w14:textFill>
        </w:rPr>
        <w:t>满足或不应标则投标视为无效投标；其他为一般指标要求：原则上</w:t>
      </w:r>
      <w:r>
        <w:rPr>
          <w:rFonts w:hint="eastAsia" w:ascii="宋体" w:hAnsi="宋体"/>
          <w:b w:val="0"/>
          <w:bCs/>
          <w:color w:val="000000" w:themeColor="text1"/>
          <w:lang w:eastAsia="zh-CN"/>
          <w14:textFill>
            <w14:solidFill>
              <w14:schemeClr w14:val="tx1"/>
            </w14:solidFill>
          </w14:textFill>
        </w:rPr>
        <w:t>不满足</w:t>
      </w:r>
      <w:r>
        <w:rPr>
          <w:rFonts w:hint="eastAsia" w:ascii="宋体" w:hAnsi="宋体"/>
          <w:b w:val="0"/>
          <w:bCs/>
          <w:color w:val="000000" w:themeColor="text1"/>
          <w14:textFill>
            <w14:solidFill>
              <w14:schemeClr w14:val="tx1"/>
            </w14:solidFill>
          </w14:textFill>
        </w:rPr>
        <w:t xml:space="preserve">不允许＞ </w:t>
      </w:r>
      <w:r>
        <w:rPr>
          <w:rFonts w:hint="eastAsia" w:ascii="宋体" w:hAnsi="宋体"/>
          <w:b w:val="0"/>
          <w:bCs/>
          <w:color w:val="000000" w:themeColor="text1"/>
          <w:lang w:val="en-US" w:eastAsia="zh-CN"/>
          <w14:textFill>
            <w14:solidFill>
              <w14:schemeClr w14:val="tx1"/>
            </w14:solidFill>
          </w14:textFill>
        </w:rPr>
        <w:t>3</w:t>
      </w:r>
      <w:r>
        <w:rPr>
          <w:rFonts w:hint="eastAsia" w:ascii="宋体" w:hAnsi="宋体"/>
          <w:b w:val="0"/>
          <w:bCs/>
          <w:color w:val="000000" w:themeColor="text1"/>
          <w14:textFill>
            <w14:solidFill>
              <w14:schemeClr w14:val="tx1"/>
            </w14:solidFill>
          </w14:textFill>
        </w:rPr>
        <w:t xml:space="preserve"> 项</w:t>
      </w:r>
      <w:r>
        <w:rPr>
          <w:rFonts w:hint="eastAsia" w:ascii="宋体" w:hAnsi="宋体"/>
          <w:b w:val="0"/>
          <w:bCs/>
          <w:color w:val="000000" w:themeColor="text1"/>
          <w:lang w:eastAsia="zh-CN"/>
          <w14:textFill>
            <w14:solidFill>
              <w14:schemeClr w14:val="tx1"/>
            </w14:solidFill>
          </w14:textFill>
        </w:rPr>
        <w:t>，不满足的为负偏离，</w:t>
      </w:r>
      <w:bookmarkStart w:id="0" w:name="_GoBack"/>
      <w:bookmarkEnd w:id="0"/>
      <w:r>
        <w:rPr>
          <w:rFonts w:hint="eastAsia" w:ascii="宋体" w:hAnsi="宋体"/>
          <w:b w:val="0"/>
          <w:bCs/>
          <w:color w:val="000000" w:themeColor="text1"/>
          <w14:textFill>
            <w14:solidFill>
              <w14:schemeClr w14:val="tx1"/>
            </w14:solidFill>
          </w14:textFill>
        </w:rPr>
        <w:t>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11BBA451">
      <w:pPr>
        <w:pStyle w:val="11"/>
        <w:spacing w:line="240" w:lineRule="auto"/>
        <w:ind w:left="-708" w:leftChars="-337"/>
        <w:rPr>
          <w:rFonts w:cs="宋体"/>
          <w:b/>
          <w:bCs/>
          <w:sz w:val="28"/>
          <w:szCs w:val="28"/>
        </w:rPr>
      </w:pPr>
      <w:r>
        <w:rPr>
          <w:rFonts w:hint="eastAsia" w:cs="宋体"/>
          <w:b/>
          <w:bCs/>
          <w:sz w:val="28"/>
          <w:szCs w:val="28"/>
        </w:rPr>
        <w:t>一、采购</w:t>
      </w:r>
      <w:r>
        <w:rPr>
          <w:rFonts w:hint="eastAsia" w:cs="宋体"/>
          <w:b/>
          <w:bCs/>
          <w:sz w:val="28"/>
          <w:szCs w:val="28"/>
          <w:lang w:eastAsia="zh-CN"/>
        </w:rPr>
        <w:t>要求</w:t>
      </w:r>
      <w:r>
        <w:rPr>
          <w:rFonts w:hint="eastAsia" w:cs="宋体"/>
          <w:b/>
          <w:bCs/>
          <w:sz w:val="28"/>
          <w:szCs w:val="28"/>
        </w:rPr>
        <w:t>、技术规格参数、质量标准和要求</w:t>
      </w:r>
    </w:p>
    <w:p w14:paraId="12F560FB">
      <w:pPr>
        <w:pStyle w:val="11"/>
        <w:spacing w:line="240" w:lineRule="auto"/>
        <w:ind w:left="-708" w:leftChars="-337"/>
        <w:rPr>
          <w:rFonts w:hint="eastAsia" w:ascii="宋体" w:hAnsi="宋体" w:eastAsia="宋体" w:cs="宋体"/>
          <w:color w:val="auto"/>
          <w:kern w:val="2"/>
          <w:sz w:val="24"/>
          <w:szCs w:val="24"/>
          <w:lang w:val="en-US" w:eastAsia="zh-CN" w:bidi="ar-SA"/>
        </w:rPr>
      </w:pPr>
      <w:r>
        <w:rPr>
          <w:rFonts w:hint="eastAsia" w:cs="宋体"/>
          <w:b/>
          <w:bCs/>
        </w:rPr>
        <w:t>（一）采购</w:t>
      </w:r>
      <w:r>
        <w:rPr>
          <w:rFonts w:hint="eastAsia" w:cs="宋体"/>
          <w:b/>
          <w:bCs/>
          <w:lang w:eastAsia="zh-CN"/>
        </w:rPr>
        <w:t>要求</w:t>
      </w:r>
      <w:r>
        <w:rPr>
          <w:b/>
          <w:bCs/>
        </w:rPr>
        <w:t> </w:t>
      </w:r>
      <w:r>
        <w:rPr>
          <w:rFonts w:hint="eastAsia"/>
          <w:b/>
          <w:bCs/>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p>
    <w:tbl>
      <w:tblPr>
        <w:tblStyle w:val="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48"/>
        <w:gridCol w:w="1004"/>
        <w:gridCol w:w="2565"/>
        <w:gridCol w:w="2593"/>
      </w:tblGrid>
      <w:tr w14:paraId="5D03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06" w:type="dxa"/>
            <w:noWrap w:val="0"/>
            <w:vAlign w:val="center"/>
          </w:tcPr>
          <w:p w14:paraId="7B5D02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8" w:type="dxa"/>
            <w:noWrap w:val="0"/>
            <w:vAlign w:val="center"/>
          </w:tcPr>
          <w:p w14:paraId="543E75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04" w:type="dxa"/>
            <w:noWrap w:val="0"/>
            <w:vAlign w:val="center"/>
          </w:tcPr>
          <w:p w14:paraId="3FD712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65" w:type="dxa"/>
            <w:noWrap w:val="0"/>
            <w:vAlign w:val="center"/>
          </w:tcPr>
          <w:p w14:paraId="2DA1A0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预算控制价（元）</w:t>
            </w:r>
          </w:p>
        </w:tc>
        <w:tc>
          <w:tcPr>
            <w:tcW w:w="2593" w:type="dxa"/>
            <w:noWrap w:val="0"/>
            <w:vAlign w:val="center"/>
          </w:tcPr>
          <w:p w14:paraId="05E298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w:t>
            </w:r>
          </w:p>
        </w:tc>
      </w:tr>
      <w:tr w14:paraId="628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06" w:type="dxa"/>
            <w:noWrap w:val="0"/>
            <w:vAlign w:val="center"/>
          </w:tcPr>
          <w:p w14:paraId="486511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8" w:type="dxa"/>
            <w:shd w:val="clear" w:color="auto" w:fill="auto"/>
            <w:noWrap w:val="0"/>
            <w:vAlign w:val="center"/>
          </w:tcPr>
          <w:p w14:paraId="0E83E377">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color w:val="auto"/>
                <w:kern w:val="2"/>
                <w:sz w:val="24"/>
                <w:szCs w:val="24"/>
                <w:highlight w:val="none"/>
                <w:lang w:val="en-US" w:eastAsia="zh-CN" w:bidi="ar-SA"/>
              </w:rPr>
            </w:pPr>
            <w:r>
              <w:rPr>
                <w:rFonts w:hint="eastAsia"/>
                <w:b w:val="0"/>
                <w:bCs/>
                <w:sz w:val="24"/>
                <w:szCs w:val="24"/>
                <w:lang w:val="en-US" w:eastAsia="zh-CN"/>
              </w:rPr>
              <w:t>体外除颤监护仪</w:t>
            </w:r>
          </w:p>
        </w:tc>
        <w:tc>
          <w:tcPr>
            <w:tcW w:w="1004" w:type="dxa"/>
            <w:noWrap w:val="0"/>
            <w:vAlign w:val="center"/>
          </w:tcPr>
          <w:p w14:paraId="59C529E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1台</w:t>
            </w:r>
          </w:p>
        </w:tc>
        <w:tc>
          <w:tcPr>
            <w:tcW w:w="2565" w:type="dxa"/>
            <w:noWrap w:val="0"/>
            <w:vAlign w:val="center"/>
          </w:tcPr>
          <w:p w14:paraId="60762681">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38000.00</w:t>
            </w:r>
          </w:p>
        </w:tc>
        <w:tc>
          <w:tcPr>
            <w:tcW w:w="2593" w:type="dxa"/>
            <w:shd w:val="clear" w:color="auto" w:fill="auto"/>
            <w:noWrap w:val="0"/>
            <w:vAlign w:val="center"/>
          </w:tcPr>
          <w:p w14:paraId="60FD6F9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具体要求技术参数及主要配置要求</w:t>
            </w:r>
          </w:p>
        </w:tc>
      </w:tr>
    </w:tbl>
    <w:p w14:paraId="440C6E27">
      <w:pPr>
        <w:pStyle w:val="11"/>
        <w:ind w:left="-708" w:leftChars="-337" w:firstLine="480" w:firstLineChars="200"/>
        <w:rPr>
          <w:rFonts w:hint="eastAsia" w:ascii="Times New Roman" w:hAnsi="Times New Roman" w:eastAsia="宋体" w:cs="Times New Roman"/>
          <w:color w:val="auto"/>
          <w:lang w:val="en-US" w:eastAsia="zh-CN"/>
        </w:rPr>
      </w:pPr>
    </w:p>
    <w:p w14:paraId="271E2E58">
      <w:pPr>
        <w:pStyle w:val="11"/>
        <w:spacing w:line="240" w:lineRule="auto"/>
        <w:ind w:left="-708" w:leftChars="-337"/>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（二）技术规格参数 </w:t>
      </w:r>
    </w:p>
    <w:p w14:paraId="3EBCCEC3">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具备手动除颤、心电监护功能</w:t>
      </w:r>
      <w:r>
        <w:rPr>
          <w:rFonts w:hint="eastAsia" w:ascii="宋体" w:hAnsi="宋体" w:cs="宋体"/>
          <w:kern w:val="0"/>
          <w:sz w:val="24"/>
          <w:lang w:eastAsia="zh-CN"/>
        </w:rPr>
        <w:t>，</w:t>
      </w:r>
      <w:r>
        <w:rPr>
          <w:rFonts w:hint="eastAsia" w:ascii="宋体" w:hAnsi="宋体" w:cs="宋体"/>
          <w:kern w:val="0"/>
          <w:sz w:val="24"/>
          <w:lang w:val="en-US" w:eastAsia="zh-CN"/>
        </w:rPr>
        <w:t>可选</w:t>
      </w:r>
      <w:r>
        <w:rPr>
          <w:rFonts w:hint="eastAsia" w:ascii="宋体" w:hAnsi="宋体" w:cs="宋体"/>
          <w:kern w:val="0"/>
          <w:sz w:val="24"/>
        </w:rPr>
        <w:t>自动体外除颤（AED）功能。除颤具备自动阻抗补偿功能；可选配升级体外起搏功能，起搏分为固定和按需两种模式。具备降速起搏功能。可选配专用体内除颤附件包。</w:t>
      </w:r>
    </w:p>
    <w:p w14:paraId="74824F52">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同步除颤和手动除颤中，能量分25档以上，可通过体外电极板进行能量选择最小为1J，最大为360J。</w:t>
      </w:r>
    </w:p>
    <w:p w14:paraId="78DB23E2">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支持AED除颤功能，电击能量：100～360J。</w:t>
      </w:r>
    </w:p>
    <w:p w14:paraId="12327ED5">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除颤充电迅速，充电至200J&lt;3s，充电至360J&lt;7s。</w:t>
      </w:r>
    </w:p>
    <w:p w14:paraId="21A2E42C">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体外除颤电极板手柄支持充电、放电、能量选择，具备充电完成指示灯。成人、小儿一体化电极板。</w:t>
      </w:r>
    </w:p>
    <w:p w14:paraId="2481EDA5">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病人阻抗范围：体外除颤：20~</w:t>
      </w:r>
      <w:r>
        <w:rPr>
          <w:rFonts w:hint="eastAsia" w:ascii="宋体" w:hAnsi="宋体" w:cs="宋体"/>
          <w:kern w:val="0"/>
          <w:sz w:val="24"/>
          <w:lang w:val="en-US" w:eastAsia="zh-CN"/>
        </w:rPr>
        <w:t>25</w:t>
      </w:r>
      <w:r>
        <w:rPr>
          <w:rFonts w:hint="eastAsia" w:ascii="宋体" w:hAnsi="宋体" w:cs="宋体"/>
          <w:kern w:val="0"/>
          <w:sz w:val="24"/>
        </w:rPr>
        <w:t>0Ω；体内除颤：15-</w:t>
      </w:r>
      <w:r>
        <w:rPr>
          <w:rFonts w:hint="eastAsia" w:ascii="宋体" w:hAnsi="宋体" w:cs="宋体"/>
          <w:kern w:val="0"/>
          <w:sz w:val="24"/>
          <w:lang w:val="en-US" w:eastAsia="zh-CN"/>
        </w:rPr>
        <w:t>25</w:t>
      </w:r>
      <w:r>
        <w:rPr>
          <w:rFonts w:hint="eastAsia" w:ascii="宋体" w:hAnsi="宋体" w:cs="宋体"/>
          <w:kern w:val="0"/>
          <w:sz w:val="24"/>
        </w:rPr>
        <w:t>0Ω。</w:t>
      </w:r>
    </w:p>
    <w:p w14:paraId="2B1AB9A0">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监护功能：可选配升级SpO2、体温、NIBP、EtCO2监测功能。具有≥2</w:t>
      </w:r>
      <w:r>
        <w:rPr>
          <w:rFonts w:hint="eastAsia" w:ascii="宋体" w:hAnsi="宋体" w:cs="宋体"/>
          <w:kern w:val="0"/>
          <w:sz w:val="24"/>
          <w:lang w:val="en-US" w:eastAsia="zh-CN"/>
        </w:rPr>
        <w:t>7</w:t>
      </w:r>
      <w:r>
        <w:rPr>
          <w:rFonts w:hint="eastAsia" w:ascii="宋体" w:hAnsi="宋体" w:cs="宋体"/>
          <w:kern w:val="0"/>
          <w:sz w:val="24"/>
        </w:rPr>
        <w:t>种心律失常分析。</w:t>
      </w:r>
    </w:p>
    <w:p w14:paraId="51EEE6B4">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8.★支持3/5/6/12导和自动导联心电监测，并</w:t>
      </w:r>
      <w:r>
        <w:rPr>
          <w:rFonts w:hint="eastAsia" w:ascii="宋体" w:hAnsi="宋体" w:cs="宋体"/>
          <w:kern w:val="0"/>
          <w:sz w:val="24"/>
        </w:rPr>
        <w:t>提供12导联心电静息报告输出功能</w:t>
      </w:r>
      <w:r>
        <w:rPr>
          <w:rFonts w:hint="eastAsia" w:ascii="宋体" w:hAnsi="宋体" w:cs="宋体"/>
          <w:kern w:val="0"/>
          <w:sz w:val="24"/>
          <w:lang w:eastAsia="zh-CN"/>
        </w:rPr>
        <w:t>。</w:t>
      </w:r>
    </w:p>
    <w:p w14:paraId="3A505ACF">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9.★配备</w:t>
      </w:r>
      <w:r>
        <w:rPr>
          <w:rFonts w:hint="eastAsia" w:ascii="宋体" w:hAnsi="宋体" w:cs="宋体"/>
          <w:kern w:val="0"/>
          <w:sz w:val="24"/>
        </w:rPr>
        <w:t>1块电池</w:t>
      </w:r>
      <w:r>
        <w:rPr>
          <w:rFonts w:hint="eastAsia" w:ascii="宋体" w:hAnsi="宋体" w:cs="宋体"/>
          <w:kern w:val="0"/>
          <w:sz w:val="24"/>
          <w:lang w:eastAsia="zh-CN"/>
        </w:rPr>
        <w:t>，</w:t>
      </w:r>
      <w:r>
        <w:rPr>
          <w:rFonts w:hint="eastAsia" w:ascii="宋体" w:hAnsi="宋体" w:cs="宋体"/>
          <w:kern w:val="0"/>
          <w:sz w:val="24"/>
          <w:lang w:val="en-US" w:eastAsia="zh-CN"/>
        </w:rPr>
        <w:t>最大</w:t>
      </w:r>
      <w:r>
        <w:rPr>
          <w:rFonts w:hint="eastAsia" w:ascii="宋体" w:hAnsi="宋体" w:cs="宋体"/>
          <w:kern w:val="0"/>
          <w:sz w:val="24"/>
        </w:rPr>
        <w:t>可支持360J除颤210次，电池体上带有五段LED 电池电量指示装置，用于快速评估电池电量。</w:t>
      </w:r>
    </w:p>
    <w:p w14:paraId="6A55085D">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具备生理报警和技术报警功能，并且具有双报警灯，分别显示生理报警和技术报警。</w:t>
      </w:r>
    </w:p>
    <w:p w14:paraId="6121DD7D">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11.★</w:t>
      </w:r>
      <w:r>
        <w:rPr>
          <w:rFonts w:hint="eastAsia" w:ascii="宋体" w:hAnsi="宋体" w:cs="宋体"/>
          <w:kern w:val="0"/>
          <w:sz w:val="24"/>
        </w:rPr>
        <w:t>彩色TFT显示屏≥7英寸, 分辨率</w:t>
      </w:r>
      <w:r>
        <w:rPr>
          <w:rFonts w:hint="eastAsia" w:ascii="宋体" w:hAnsi="宋体" w:cs="宋体"/>
          <w:color w:val="FF0000"/>
          <w:kern w:val="0"/>
          <w:sz w:val="24"/>
        </w:rPr>
        <w:t>≥</w:t>
      </w:r>
      <w:r>
        <w:rPr>
          <w:rFonts w:hint="eastAsia" w:ascii="宋体" w:hAnsi="宋体" w:cs="宋体"/>
          <w:kern w:val="0"/>
          <w:sz w:val="24"/>
        </w:rPr>
        <w:t>800×480，可显示≥</w:t>
      </w:r>
      <w:r>
        <w:rPr>
          <w:rFonts w:hint="eastAsia" w:ascii="宋体" w:hAnsi="宋体" w:cs="宋体"/>
          <w:kern w:val="0"/>
          <w:sz w:val="24"/>
          <w:lang w:val="en-US" w:eastAsia="zh-CN"/>
        </w:rPr>
        <w:t>4</w:t>
      </w:r>
      <w:r>
        <w:rPr>
          <w:rFonts w:hint="eastAsia" w:ascii="宋体" w:hAnsi="宋体" w:cs="宋体"/>
          <w:kern w:val="0"/>
          <w:sz w:val="24"/>
        </w:rPr>
        <w:t>道监护参数波形，有高对比度显示界面。</w:t>
      </w:r>
    </w:p>
    <w:p w14:paraId="3248ED7D">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12.</w:t>
      </w:r>
      <w:r>
        <w:rPr>
          <w:rFonts w:hint="eastAsia" w:ascii="宋体" w:hAnsi="宋体" w:cs="宋体"/>
          <w:kern w:val="0"/>
          <w:sz w:val="24"/>
        </w:rPr>
        <w:t>体外除颤监护仪可升级配置50mm记录仪，实时记录时间有3秒、5秒、8秒、16秒、32秒、连续可供选择。</w:t>
      </w:r>
    </w:p>
    <w:p w14:paraId="3515D74D">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13.</w:t>
      </w:r>
      <w:r>
        <w:rPr>
          <w:rFonts w:hint="eastAsia" w:ascii="宋体" w:hAnsi="宋体" w:cs="宋体"/>
          <w:kern w:val="0"/>
          <w:sz w:val="24"/>
        </w:rPr>
        <w:t>主机具备录音功能，最大支持≥240min录音存储。</w:t>
      </w:r>
    </w:p>
    <w:p w14:paraId="31BA571D">
      <w:pPr>
        <w:widowControl/>
        <w:numPr>
          <w:ilvl w:val="0"/>
          <w:numId w:val="0"/>
        </w:numPr>
        <w:spacing w:line="480" w:lineRule="exact"/>
        <w:ind w:left="358" w:leftChars="0"/>
        <w:jc w:val="left"/>
        <w:rPr>
          <w:rFonts w:hint="eastAsia" w:ascii="宋体" w:hAnsi="宋体" w:cs="宋体"/>
          <w:kern w:val="0"/>
          <w:sz w:val="24"/>
        </w:rPr>
      </w:pPr>
      <w:r>
        <w:rPr>
          <w:rFonts w:hint="eastAsia" w:ascii="宋体" w:hAnsi="宋体" w:cs="宋体"/>
          <w:kern w:val="0"/>
          <w:sz w:val="24"/>
          <w:lang w:val="en-US" w:eastAsia="zh-CN"/>
        </w:rPr>
        <w:t>14.</w:t>
      </w:r>
      <w:r>
        <w:rPr>
          <w:rFonts w:hint="eastAsia" w:ascii="宋体" w:hAnsi="宋体" w:cs="宋体"/>
          <w:kern w:val="0"/>
          <w:sz w:val="24"/>
        </w:rPr>
        <w:t>关机状态下设备可自动运行自检，支持大能量自检（不低于200J）、屏幕、按键检测。</w:t>
      </w:r>
    </w:p>
    <w:p w14:paraId="48D77FD3">
      <w:pPr>
        <w:widowControl/>
        <w:numPr>
          <w:ilvl w:val="0"/>
          <w:numId w:val="0"/>
        </w:numPr>
        <w:spacing w:line="480" w:lineRule="exact"/>
        <w:ind w:left="358" w:leftChars="0"/>
        <w:jc w:val="left"/>
        <w:rPr>
          <w:rFonts w:hint="eastAsia" w:ascii="宋体" w:hAnsi="宋体" w:cs="宋体"/>
          <w:kern w:val="0"/>
          <w:sz w:val="24"/>
          <w:lang w:val="en-US" w:eastAsia="zh-CN"/>
        </w:rPr>
      </w:pPr>
      <w:r>
        <w:rPr>
          <w:rFonts w:hint="eastAsia" w:ascii="宋体" w:hAnsi="宋体" w:cs="宋体"/>
          <w:kern w:val="0"/>
          <w:sz w:val="24"/>
          <w:lang w:val="en-US" w:eastAsia="zh-CN"/>
        </w:rPr>
        <w:t>15.★配无创血压和血氧饱和度模块。</w:t>
      </w:r>
    </w:p>
    <w:p w14:paraId="031AB961">
      <w:pPr>
        <w:pStyle w:val="11"/>
        <w:spacing w:line="240" w:lineRule="auto"/>
        <w:ind w:left="-708" w:leftChars="-337"/>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（三）项目产品基本要求</w:t>
      </w:r>
    </w:p>
    <w:p w14:paraId="7F9E0445">
      <w:pPr>
        <w:pStyle w:val="11"/>
        <w:ind w:left="-708" w:leftChars="-337" w:firstLine="480" w:firstLineChars="200"/>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w:t>
      </w:r>
      <w:r>
        <w:rPr>
          <w:rFonts w:hint="eastAsia"/>
          <w:b/>
          <w:bCs/>
          <w:color w:val="auto"/>
          <w:lang w:eastAsia="zh-CN"/>
        </w:rPr>
        <w:t>近半年生产</w:t>
      </w:r>
      <w:r>
        <w:rPr>
          <w:rFonts w:hint="eastAsia"/>
          <w:color w:val="auto"/>
          <w:lang w:eastAsia="zh-CN"/>
        </w:rPr>
        <w:t>，</w:t>
      </w:r>
      <w:r>
        <w:rPr>
          <w:rFonts w:hint="eastAsia"/>
          <w:color w:val="auto"/>
        </w:rPr>
        <w:t>并满足招标采购文件的要求，若产品在运输或安装过程中损坏或擦伤须无偿调换相同产品。</w:t>
      </w:r>
    </w:p>
    <w:p w14:paraId="724C088B">
      <w:pPr>
        <w:pStyle w:val="11"/>
        <w:ind w:left="-708" w:leftChars="-337" w:firstLine="480" w:firstLineChars="200"/>
        <w:rPr>
          <w:color w:val="auto"/>
        </w:rPr>
      </w:pPr>
      <w:r>
        <w:rPr>
          <w:rFonts w:hint="eastAsia"/>
          <w:color w:val="auto"/>
        </w:rPr>
        <w:t>2、投标人所投产品参数应同等或优于以上各项参数要求，产品、辅材及生产工艺符合国家相关规范。</w:t>
      </w:r>
    </w:p>
    <w:p w14:paraId="62ED69AC">
      <w:pPr>
        <w:pStyle w:val="11"/>
        <w:ind w:left="-708" w:leftChars="-337" w:firstLine="480" w:firstLineChars="20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1"/>
        <w:ind w:left="-708" w:leftChars="-337" w:firstLine="480" w:firstLineChars="200"/>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44401A4">
      <w:pPr>
        <w:pStyle w:val="11"/>
        <w:ind w:left="-708" w:leftChars="-337" w:firstLine="480" w:firstLineChars="200"/>
        <w:rPr>
          <w:rFonts w:hint="eastAsia"/>
          <w:color w:val="auto"/>
        </w:rPr>
      </w:pPr>
      <w:r>
        <w:rPr>
          <w:rFonts w:hint="eastAsia"/>
          <w:color w:val="auto"/>
        </w:rPr>
        <w:t>5、</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14:paraId="08DCA6C9">
      <w:pPr>
        <w:pStyle w:val="11"/>
        <w:ind w:left="-708" w:leftChars="-337" w:firstLine="480" w:firstLineChars="200"/>
        <w:rPr>
          <w:rFonts w:hint="eastAsia"/>
          <w:color w:val="auto"/>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none"/>
          <w:shd w:val="clear" w:color="FFFFFF" w:fill="D9D9D9"/>
        </w:rPr>
        <w:t>保修期后提供终身维修服务及配件供应</w:t>
      </w:r>
      <w:r>
        <w:rPr>
          <w:rFonts w:hint="eastAsia"/>
          <w:color w:val="auto"/>
        </w:rPr>
        <w:t>；其他售后服务按厂家承诺实行。</w:t>
      </w:r>
    </w:p>
    <w:p w14:paraId="09AB4046">
      <w:pPr>
        <w:pStyle w:val="11"/>
        <w:ind w:left="-708" w:leftChars="-337"/>
        <w:rPr>
          <w:rFonts w:hint="eastAsia" w:cs="宋体"/>
          <w:b/>
          <w:bCs/>
        </w:rPr>
      </w:pPr>
      <w:r>
        <w:rPr>
          <w:rFonts w:hint="eastAsia" w:cs="宋体"/>
          <w:b/>
          <w:bCs/>
        </w:rPr>
        <w:t>（四）商务要求</w:t>
      </w:r>
    </w:p>
    <w:p w14:paraId="636F4B1C">
      <w:pPr>
        <w:pStyle w:val="11"/>
        <w:ind w:left="-708" w:leftChars="-337" w:firstLine="241" w:firstLineChars="100"/>
        <w:rPr>
          <w:rFonts w:hint="default" w:cs="宋体"/>
          <w:b/>
          <w:bCs/>
          <w:lang w:val="en-US" w:eastAsia="zh-CN"/>
        </w:rPr>
      </w:pPr>
      <w:r>
        <w:rPr>
          <w:rFonts w:hint="eastAsia" w:cs="宋体"/>
          <w:b/>
          <w:bCs/>
          <w:lang w:val="en-US" w:eastAsia="zh-CN"/>
        </w:rPr>
        <w:t>1.投标产品资格要求</w:t>
      </w:r>
    </w:p>
    <w:p w14:paraId="087A3C29">
      <w:pPr>
        <w:pStyle w:val="11"/>
        <w:ind w:left="-708" w:leftChars="-337" w:firstLine="480" w:firstLineChars="200"/>
        <w:rPr>
          <w:rFonts w:hint="eastAsia" w:ascii="宋体" w:hAnsi="宋体"/>
          <w:lang w:val="en-US" w:eastAsia="zh-CN"/>
        </w:rPr>
      </w:pPr>
      <w:r>
        <w:rPr>
          <w:rFonts w:hint="eastAsia"/>
          <w:lang w:val="en-US" w:eastAsia="zh-CN"/>
        </w:rPr>
        <w:t>1</w:t>
      </w:r>
      <w:r>
        <w:rPr>
          <w:rFonts w:hint="eastAsia"/>
        </w:rPr>
        <w:t>）售后资质要求：</w:t>
      </w:r>
      <w:r>
        <w:rPr>
          <w:rFonts w:hint="eastAsia" w:ascii="宋体" w:hAnsi="宋体"/>
        </w:rPr>
        <w:t>厂家须设有24小时免费服务电话</w:t>
      </w:r>
      <w:r>
        <w:rPr>
          <w:rFonts w:hint="eastAsia" w:ascii="宋体" w:hAnsi="宋体"/>
          <w:lang w:val="en-US" w:eastAsia="zh-CN"/>
        </w:rPr>
        <w:t>.</w:t>
      </w:r>
    </w:p>
    <w:p w14:paraId="49C351C2">
      <w:pPr>
        <w:pStyle w:val="11"/>
        <w:ind w:left="-708" w:leftChars="-337" w:firstLine="480" w:firstLineChars="200"/>
        <w:rPr>
          <w:rFonts w:hint="eastAsia"/>
        </w:rPr>
      </w:pPr>
      <w:r>
        <w:rPr>
          <w:rFonts w:hint="eastAsia"/>
          <w:lang w:val="en-US" w:eastAsia="zh-CN"/>
        </w:rPr>
        <w:t>2）</w:t>
      </w:r>
      <w:r>
        <w:rPr>
          <w:rFonts w:hint="eastAsia"/>
        </w:rPr>
        <w:t>维修备件必须是原厂备件。</w:t>
      </w:r>
    </w:p>
    <w:p w14:paraId="3309615C">
      <w:pPr>
        <w:pStyle w:val="11"/>
        <w:ind w:left="-708" w:leftChars="-337" w:firstLine="480" w:firstLineChars="200"/>
        <w:rPr>
          <w:rFonts w:hint="eastAsia"/>
        </w:rPr>
      </w:pPr>
      <w:r>
        <w:rPr>
          <w:rFonts w:hint="eastAsia"/>
          <w:lang w:val="en-US" w:eastAsia="zh-CN"/>
        </w:rPr>
        <w:t>3）</w:t>
      </w:r>
      <w:r>
        <w:rPr>
          <w:rFonts w:hint="eastAsia"/>
        </w:rPr>
        <w:t>质保期：设备安装完毕通过验收投入使用之日起不少于</w:t>
      </w:r>
      <w:r>
        <w:rPr>
          <w:rFonts w:hint="eastAsia"/>
          <w:lang w:val="en-US" w:eastAsia="zh-CN"/>
        </w:rPr>
        <w:t xml:space="preserve"> </w:t>
      </w:r>
      <w:r>
        <w:rPr>
          <w:rFonts w:hint="eastAsia"/>
          <w:color w:val="FF0000"/>
          <w:lang w:val="en-US" w:eastAsia="zh-CN"/>
        </w:rPr>
        <w:t xml:space="preserve">  </w:t>
      </w:r>
      <w:r>
        <w:rPr>
          <w:rFonts w:hint="eastAsia"/>
          <w:color w:val="FF0000"/>
          <w:u w:val="single"/>
          <w:lang w:val="en-US" w:eastAsia="zh-CN"/>
        </w:rPr>
        <w:t xml:space="preserve"> 3  </w:t>
      </w:r>
      <w:r>
        <w:rPr>
          <w:rFonts w:hint="eastAsia"/>
        </w:rPr>
        <w:t>年。</w:t>
      </w:r>
    </w:p>
    <w:p w14:paraId="36E10A0B">
      <w:pPr>
        <w:pStyle w:val="11"/>
        <w:ind w:left="-708" w:leftChars="-337" w:firstLine="480" w:firstLineChars="200"/>
        <w:rPr>
          <w:rFonts w:hint="eastAsia"/>
        </w:rPr>
      </w:pPr>
      <w:r>
        <w:rPr>
          <w:rFonts w:hint="eastAsia"/>
          <w:lang w:val="en-US" w:eastAsia="zh-CN"/>
        </w:rPr>
        <w:t>4）</w:t>
      </w:r>
      <w:r>
        <w:rPr>
          <w:rFonts w:hint="eastAsia"/>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DD97080">
      <w:pPr>
        <w:pStyle w:val="11"/>
        <w:ind w:left="-708" w:leftChars="-337" w:firstLine="480" w:firstLineChars="200"/>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color w:val="FF0000"/>
          <w:kern w:val="0"/>
          <w:sz w:val="24"/>
          <w:szCs w:val="24"/>
          <w:u w:val="single"/>
          <w:lang w:val="en-US" w:eastAsia="zh-CN"/>
        </w:rPr>
        <w:t>15</w:t>
      </w:r>
      <w:r>
        <w:rPr>
          <w:rFonts w:hint="eastAsia"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02636F2B">
      <w:pPr>
        <w:pStyle w:val="11"/>
        <w:ind w:left="-708" w:leftChars="-337" w:firstLine="480" w:firstLineChars="200"/>
        <w:rPr>
          <w:kern w:val="0"/>
          <w:sz w:val="24"/>
          <w:szCs w:val="24"/>
        </w:rPr>
      </w:pPr>
      <w:r>
        <w:rPr>
          <w:rFonts w:hint="eastAsia" w:ascii="Times New Roman" w:hAnsi="Times New Roman" w:eastAsia="宋体" w:cs="Times New Roman"/>
          <w:lang w:val="en-US" w:eastAsia="zh-CN"/>
        </w:rPr>
        <w:t xml:space="preserve">6）交货地点为：贺州市八步区人民医院指定地点。  </w:t>
      </w:r>
      <w:r>
        <w:rPr>
          <w:kern w:val="0"/>
          <w:sz w:val="24"/>
          <w:szCs w:val="24"/>
        </w:rPr>
        <w:t xml:space="preserve"> </w:t>
      </w:r>
    </w:p>
    <w:p w14:paraId="4F80D858">
      <w:pPr>
        <w:pStyle w:val="11"/>
        <w:ind w:left="-708" w:leftChars="-337"/>
        <w:rPr>
          <w:kern w:val="0"/>
          <w:sz w:val="24"/>
          <w:szCs w:val="24"/>
        </w:rPr>
      </w:pPr>
      <w:r>
        <w:rPr>
          <w:kern w:val="0"/>
          <w:sz w:val="24"/>
          <w:szCs w:val="24"/>
        </w:rPr>
        <w:t xml:space="preserve">  </w:t>
      </w:r>
    </w:p>
    <w:p w14:paraId="0FA158CE">
      <w:pPr>
        <w:pStyle w:val="11"/>
        <w:ind w:left="-708" w:leftChars="-337" w:firstLine="482" w:firstLineChars="200"/>
        <w:rPr>
          <w:rFonts w:hint="eastAsia"/>
          <w:b/>
          <w:bCs/>
          <w:kern w:val="0"/>
          <w:sz w:val="24"/>
          <w:szCs w:val="24"/>
          <w:lang w:val="en-US" w:eastAsia="zh-CN"/>
        </w:rPr>
      </w:pPr>
      <w:r>
        <w:rPr>
          <w:rFonts w:hint="eastAsia"/>
          <w:b/>
          <w:bCs/>
          <w:kern w:val="0"/>
          <w:sz w:val="24"/>
          <w:szCs w:val="24"/>
          <w:lang w:val="en-US" w:eastAsia="zh-CN"/>
        </w:rPr>
        <w:t>7）</w:t>
      </w:r>
      <w:r>
        <w:rPr>
          <w:rFonts w:hint="eastAsia"/>
          <w:b w:val="0"/>
          <w:bCs w:val="0"/>
          <w:kern w:val="0"/>
          <w:sz w:val="24"/>
          <w:szCs w:val="24"/>
          <w:lang w:val="en-US" w:eastAsia="zh-CN"/>
        </w:rPr>
        <w:t>付款条件（进度和方式）：</w:t>
      </w:r>
    </w:p>
    <w:p w14:paraId="3B1B75E6">
      <w:pPr>
        <w:widowControl/>
        <w:spacing w:line="400" w:lineRule="exact"/>
        <w:ind w:left="-710" w:leftChars="-338" w:firstLine="480" w:firstLineChars="200"/>
        <w:jc w:val="left"/>
        <w:rPr>
          <w:rFonts w:hint="eastAsia"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1</w:t>
      </w:r>
      <w:r>
        <w:rPr>
          <w:rFonts w:hint="eastAsia" w:cs="宋体"/>
          <w:kern w:val="0"/>
          <w:sz w:val="24"/>
          <w:szCs w:val="24"/>
          <w:lang w:eastAsia="zh-CN"/>
        </w:rPr>
        <w:t>）分期付款：</w:t>
      </w:r>
      <w:r>
        <w:rPr>
          <w:rFonts w:hint="eastAsia" w:cs="宋体"/>
          <w:kern w:val="0"/>
          <w:sz w:val="24"/>
          <w:szCs w:val="24"/>
        </w:rPr>
        <w:t>签订合同后，全部货物到达指定地点、安装调试并验收合格后，凭双方签署验收合格书，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第一期：甲方支付合同总金额的90%</w:t>
      </w:r>
      <w:r>
        <w:rPr>
          <w:rFonts w:hint="eastAsia" w:cs="宋体"/>
          <w:kern w:val="0"/>
          <w:sz w:val="24"/>
          <w:szCs w:val="24"/>
          <w:lang w:val="en-US" w:eastAsia="zh-CN"/>
        </w:rPr>
        <w:t xml:space="preserve"> ；</w:t>
      </w:r>
      <w:r>
        <w:rPr>
          <w:rFonts w:hint="eastAsia" w:cs="宋体"/>
          <w:kern w:val="0"/>
          <w:sz w:val="24"/>
          <w:szCs w:val="24"/>
        </w:rPr>
        <w:t>第二期：交付后十二个月，经乙方书面申请，甲方支付合同总金额的 10%（不计利息）。</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76A501D3">
      <w:pPr>
        <w:widowControl/>
        <w:numPr>
          <w:ilvl w:val="0"/>
          <w:numId w:val="1"/>
        </w:numPr>
        <w:spacing w:line="360" w:lineRule="auto"/>
        <w:ind w:left="-650" w:leftChars="0" w:firstLine="0" w:firstLineChars="0"/>
        <w:jc w:val="left"/>
        <w:rPr>
          <w:rFonts w:hint="eastAsia" w:cs="宋体"/>
          <w:b/>
          <w:bCs/>
          <w:kern w:val="0"/>
          <w:sz w:val="28"/>
          <w:szCs w:val="28"/>
        </w:rPr>
      </w:pPr>
      <w:r>
        <w:rPr>
          <w:rFonts w:hint="eastAsia" w:cs="宋体"/>
          <w:b/>
          <w:bCs/>
          <w:kern w:val="0"/>
          <w:sz w:val="28"/>
          <w:szCs w:val="28"/>
        </w:rPr>
        <w:t>合同签订</w:t>
      </w:r>
    </w:p>
    <w:p w14:paraId="6BDC4D1C">
      <w:pPr>
        <w:widowControl/>
        <w:numPr>
          <w:ilvl w:val="0"/>
          <w:numId w:val="0"/>
        </w:numPr>
        <w:spacing w:line="360" w:lineRule="auto"/>
        <w:ind w:left="-650" w:leftChars="0" w:firstLine="480" w:firstLineChars="200"/>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366019AB">
      <w:pPr>
        <w:widowControl/>
        <w:spacing w:line="360" w:lineRule="auto"/>
        <w:ind w:left="-708" w:leftChars="-338" w:hanging="2"/>
        <w:jc w:val="left"/>
        <w:rPr>
          <w:rFonts w:cs="宋体"/>
          <w:b/>
          <w:bCs/>
          <w:kern w:val="0"/>
          <w:sz w:val="28"/>
          <w:szCs w:val="28"/>
        </w:rPr>
      </w:pPr>
      <w:r>
        <w:rPr>
          <w:kern w:val="0"/>
          <w:sz w:val="24"/>
          <w:szCs w:val="24"/>
        </w:rPr>
        <w:t> </w:t>
      </w:r>
      <w:r>
        <w:rPr>
          <w:rFonts w:hint="eastAsia"/>
          <w:b/>
          <w:bCs/>
          <w:kern w:val="0"/>
          <w:sz w:val="28"/>
          <w:szCs w:val="28"/>
          <w:lang w:val="en-US" w:eastAsia="zh-CN"/>
        </w:rPr>
        <w:t>三</w:t>
      </w:r>
      <w:r>
        <w:rPr>
          <w:rFonts w:hint="eastAsia" w:cs="宋体"/>
          <w:b/>
          <w:bCs/>
          <w:kern w:val="0"/>
          <w:sz w:val="28"/>
          <w:szCs w:val="28"/>
        </w:rPr>
        <w:t>、其他</w:t>
      </w:r>
    </w:p>
    <w:p w14:paraId="3A160ABA">
      <w:pPr>
        <w:widowControl/>
        <w:jc w:val="both"/>
        <w:rPr>
          <w:rFonts w:hint="eastAsia" w:cs="宋体"/>
          <w:b/>
          <w:bCs/>
          <w:kern w:val="0"/>
          <w:sz w:val="38"/>
          <w:szCs w:val="38"/>
        </w:rPr>
      </w:pPr>
    </w:p>
    <w:p w14:paraId="063F1DD8">
      <w:pPr>
        <w:widowControl/>
        <w:jc w:val="both"/>
        <w:rPr>
          <w:rFonts w:hint="eastAsia" w:cs="宋体"/>
          <w:b/>
          <w:bCs/>
          <w:kern w:val="0"/>
          <w:sz w:val="38"/>
          <w:szCs w:val="38"/>
        </w:rPr>
      </w:pPr>
    </w:p>
    <w:p w14:paraId="6C272030">
      <w:pPr>
        <w:widowControl/>
        <w:ind w:firstLine="2670" w:firstLineChars="700"/>
        <w:jc w:val="both"/>
        <w:rPr>
          <w:b/>
          <w:bCs/>
          <w:kern w:val="0"/>
        </w:rPr>
      </w:pPr>
      <w:r>
        <w:rPr>
          <w:rFonts w:hint="eastAsia" w:cs="宋体"/>
          <w:b/>
          <w:bCs/>
          <w:kern w:val="0"/>
          <w:sz w:val="38"/>
          <w:szCs w:val="38"/>
        </w:rPr>
        <w:t>评标方法与评分标准</w:t>
      </w:r>
    </w:p>
    <w:p w14:paraId="3015387D">
      <w:pPr>
        <w:widowControl/>
        <w:spacing w:line="360" w:lineRule="auto"/>
        <w:ind w:firstLine="562" w:firstLineChars="200"/>
        <w:jc w:val="left"/>
        <w:rPr>
          <w:rFonts w:hint="eastAsia" w:cs="宋体"/>
          <w:b/>
          <w:bCs/>
          <w:kern w:val="0"/>
          <w:sz w:val="28"/>
          <w:szCs w:val="28"/>
        </w:rPr>
      </w:pP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最低评标价法 </w:t>
      </w:r>
      <w:r>
        <w:rPr>
          <w:rFonts w:hint="eastAsia" w:cs="宋体"/>
          <w:kern w:val="0"/>
          <w:sz w:val="24"/>
          <w:szCs w:val="24"/>
        </w:rPr>
        <w:t>确定中标候选人。</w:t>
      </w:r>
    </w:p>
    <w:p w14:paraId="13B45921">
      <w:pPr>
        <w:pStyle w:val="11"/>
        <w:ind w:firstLine="480" w:firstLineChars="200"/>
        <w:rPr>
          <w:rFonts w:hint="eastAsia" w:eastAsia="宋体"/>
          <w:lang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F1BFD"/>
    <w:multiLevelType w:val="singleLevel"/>
    <w:tmpl w:val="BBCF1BFD"/>
    <w:lvl w:ilvl="0" w:tentative="0">
      <w:start w:val="2"/>
      <w:numFmt w:val="chineseCounting"/>
      <w:suff w:val="nothing"/>
      <w:lvlText w:val="%1、"/>
      <w:lvlJc w:val="left"/>
      <w:pPr>
        <w:ind w:left="-6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B56736"/>
    <w:rsid w:val="04B92689"/>
    <w:rsid w:val="04DA26C6"/>
    <w:rsid w:val="06E4782C"/>
    <w:rsid w:val="076638D7"/>
    <w:rsid w:val="0A795D65"/>
    <w:rsid w:val="0CC05EEA"/>
    <w:rsid w:val="0D6D5D30"/>
    <w:rsid w:val="0FB57FB7"/>
    <w:rsid w:val="10C97A40"/>
    <w:rsid w:val="11DF775E"/>
    <w:rsid w:val="122B15C9"/>
    <w:rsid w:val="12C97D37"/>
    <w:rsid w:val="14180B15"/>
    <w:rsid w:val="1481490C"/>
    <w:rsid w:val="156D1C59"/>
    <w:rsid w:val="15D16892"/>
    <w:rsid w:val="166F4544"/>
    <w:rsid w:val="1D666444"/>
    <w:rsid w:val="1FD2426D"/>
    <w:rsid w:val="2043516B"/>
    <w:rsid w:val="20B96BBD"/>
    <w:rsid w:val="20C95670"/>
    <w:rsid w:val="21B710F4"/>
    <w:rsid w:val="2218153E"/>
    <w:rsid w:val="250C6474"/>
    <w:rsid w:val="25773183"/>
    <w:rsid w:val="26431704"/>
    <w:rsid w:val="26CD4569"/>
    <w:rsid w:val="270444CC"/>
    <w:rsid w:val="27D01D3D"/>
    <w:rsid w:val="28110468"/>
    <w:rsid w:val="282835C4"/>
    <w:rsid w:val="293A4A87"/>
    <w:rsid w:val="2AAE7C56"/>
    <w:rsid w:val="2B5533BC"/>
    <w:rsid w:val="2E44559E"/>
    <w:rsid w:val="2F407AED"/>
    <w:rsid w:val="311834AF"/>
    <w:rsid w:val="318469E5"/>
    <w:rsid w:val="3194337D"/>
    <w:rsid w:val="31E9614F"/>
    <w:rsid w:val="3317670F"/>
    <w:rsid w:val="3737378F"/>
    <w:rsid w:val="3806606D"/>
    <w:rsid w:val="39396CB4"/>
    <w:rsid w:val="397701BE"/>
    <w:rsid w:val="397D551C"/>
    <w:rsid w:val="39BF365D"/>
    <w:rsid w:val="3ABE56C2"/>
    <w:rsid w:val="3B546CEC"/>
    <w:rsid w:val="3D375B6E"/>
    <w:rsid w:val="3F80256C"/>
    <w:rsid w:val="3F8769CB"/>
    <w:rsid w:val="41366ED0"/>
    <w:rsid w:val="41AF2CF9"/>
    <w:rsid w:val="43B6162D"/>
    <w:rsid w:val="472539D5"/>
    <w:rsid w:val="48D85C25"/>
    <w:rsid w:val="496C56D4"/>
    <w:rsid w:val="49FE5ADB"/>
    <w:rsid w:val="4ADD3943"/>
    <w:rsid w:val="4B375BFB"/>
    <w:rsid w:val="4C1C5576"/>
    <w:rsid w:val="4CC34DBA"/>
    <w:rsid w:val="4D442BFB"/>
    <w:rsid w:val="4D781BD4"/>
    <w:rsid w:val="4D9258D3"/>
    <w:rsid w:val="4D9D6F07"/>
    <w:rsid w:val="4DA009DA"/>
    <w:rsid w:val="4DA97E72"/>
    <w:rsid w:val="4DB9683E"/>
    <w:rsid w:val="4E31559C"/>
    <w:rsid w:val="4E557C94"/>
    <w:rsid w:val="4F672375"/>
    <w:rsid w:val="50502E0F"/>
    <w:rsid w:val="50F6575E"/>
    <w:rsid w:val="51794369"/>
    <w:rsid w:val="51B2246F"/>
    <w:rsid w:val="522D51B0"/>
    <w:rsid w:val="52796647"/>
    <w:rsid w:val="52B45377"/>
    <w:rsid w:val="53191BD8"/>
    <w:rsid w:val="539906F6"/>
    <w:rsid w:val="56B91708"/>
    <w:rsid w:val="589150FF"/>
    <w:rsid w:val="5D1A4465"/>
    <w:rsid w:val="5D1C479E"/>
    <w:rsid w:val="5D4C4020"/>
    <w:rsid w:val="5E1436C8"/>
    <w:rsid w:val="5F553F98"/>
    <w:rsid w:val="5FFD63C3"/>
    <w:rsid w:val="63DD41EC"/>
    <w:rsid w:val="64AF5EF8"/>
    <w:rsid w:val="652C12F7"/>
    <w:rsid w:val="65706B30"/>
    <w:rsid w:val="67EF0C5A"/>
    <w:rsid w:val="6962103E"/>
    <w:rsid w:val="6A513DD5"/>
    <w:rsid w:val="6BF540D9"/>
    <w:rsid w:val="6C4742BF"/>
    <w:rsid w:val="6D594C53"/>
    <w:rsid w:val="6DD0797D"/>
    <w:rsid w:val="6E1A0EFE"/>
    <w:rsid w:val="6E731CC6"/>
    <w:rsid w:val="71754026"/>
    <w:rsid w:val="71A861A9"/>
    <w:rsid w:val="71AF2B23"/>
    <w:rsid w:val="73C6500C"/>
    <w:rsid w:val="74B5471E"/>
    <w:rsid w:val="765B783A"/>
    <w:rsid w:val="76A63B31"/>
    <w:rsid w:val="76A827A7"/>
    <w:rsid w:val="77866F8C"/>
    <w:rsid w:val="77E41C8F"/>
    <w:rsid w:val="77FF632E"/>
    <w:rsid w:val="7B036868"/>
    <w:rsid w:val="7BDC717B"/>
    <w:rsid w:val="7CA915F3"/>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Plain Text"/>
    <w:basedOn w:val="1"/>
    <w:link w:val="15"/>
    <w:qFormat/>
    <w:uiPriority w:val="99"/>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99"/>
    <w:rPr>
      <w:sz w:val="21"/>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批注文字 字符"/>
    <w:basedOn w:val="9"/>
    <w:qFormat/>
    <w:uiPriority w:val="99"/>
    <w:rPr>
      <w:rFonts w:ascii="Times New Roman" w:hAnsi="Times New Roman" w:eastAsia="宋体" w:cs="Times New Roman"/>
      <w:szCs w:val="21"/>
    </w:rPr>
  </w:style>
  <w:style w:type="character" w:customStyle="1" w:styleId="13">
    <w:name w:val="批注文字 字符1"/>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纯文本 字符"/>
    <w:basedOn w:val="9"/>
    <w:link w:val="3"/>
    <w:qFormat/>
    <w:uiPriority w:val="99"/>
    <w:rPr>
      <w:rFonts w:ascii="宋体" w:hAnsi="Courier New" w:eastAsia="宋体" w:cs="Times New Roman"/>
      <w:szCs w:val="21"/>
    </w:rPr>
  </w:style>
  <w:style w:type="paragraph" w:customStyle="1" w:styleId="16">
    <w:name w:val="表格文字"/>
    <w:basedOn w:val="1"/>
    <w:qFormat/>
    <w:uiPriority w:val="0"/>
    <w:pPr>
      <w:spacing w:before="25" w:after="25"/>
      <w:jc w:val="left"/>
    </w:pPr>
    <w:rPr>
      <w:rFonts w:ascii="Calibri" w:hAnsi="Calibri"/>
      <w:bCs/>
      <w:spacing w:val="10"/>
      <w:kern w:val="0"/>
      <w:sz w:val="24"/>
      <w:szCs w:val="20"/>
    </w:rPr>
  </w:style>
  <w:style w:type="character" w:customStyle="1" w:styleId="17">
    <w:name w:val="fontstyle01"/>
    <w:qFormat/>
    <w:uiPriority w:val="0"/>
    <w:rPr>
      <w:rFonts w:hint="eastAsia" w:ascii="宋体" w:hAnsi="宋体" w:eastAsia="宋体"/>
      <w:color w:val="000000"/>
      <w:sz w:val="24"/>
      <w:szCs w:val="24"/>
    </w:rPr>
  </w:style>
  <w:style w:type="character" w:customStyle="1" w:styleId="18">
    <w:name w:val="页眉 字符"/>
    <w:basedOn w:val="9"/>
    <w:link w:val="5"/>
    <w:qFormat/>
    <w:uiPriority w:val="99"/>
    <w:rPr>
      <w:rFonts w:ascii="Times New Roman" w:hAnsi="Times New Roman" w:eastAsia="宋体" w:cs="Times New Roman"/>
      <w:sz w:val="18"/>
      <w:szCs w:val="18"/>
    </w:rPr>
  </w:style>
  <w:style w:type="character" w:customStyle="1" w:styleId="19">
    <w:name w:val="页脚 字符"/>
    <w:basedOn w:val="9"/>
    <w:link w:val="4"/>
    <w:qFormat/>
    <w:uiPriority w:val="99"/>
    <w:rPr>
      <w:rFonts w:ascii="Times New Roman" w:hAnsi="Times New Roman" w:eastAsia="宋体" w:cs="Times New Roman"/>
      <w:sz w:val="18"/>
      <w:szCs w:val="18"/>
    </w:rPr>
  </w:style>
  <w:style w:type="character" w:styleId="20">
    <w:name w:val="Placeholder Text"/>
    <w:basedOn w:val="9"/>
    <w:semiHidden/>
    <w:qFormat/>
    <w:uiPriority w:val="99"/>
    <w:rPr>
      <w:color w:val="808080"/>
    </w:rPr>
  </w:style>
  <w:style w:type="paragraph" w:customStyle="1" w:styleId="21">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1721</Words>
  <Characters>1841</Characters>
  <Lines>26</Lines>
  <Paragraphs>7</Paragraphs>
  <TotalTime>8</TotalTime>
  <ScaleCrop>false</ScaleCrop>
  <LinksUpToDate>false</LinksUpToDate>
  <CharactersWithSpaces>1867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小女韡Asdet</cp:lastModifiedBy>
  <cp:lastPrinted>2021-01-18T07:59:00Z</cp:lastPrinted>
  <dcterms:modified xsi:type="dcterms:W3CDTF">2026-02-06T07:33:11Z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38213BAF7DA4479D85AA6F3C06429105_13</vt:lpwstr>
  </property>
  <property fmtid="{D5CDD505-2E9C-101B-9397-08002B2CF9AE}" pid="4" name="KSOTemplateDocerSaveRecord">
    <vt:lpwstr>eyJoZGlkIjoiYmI0NjY0OGE4NzcwZTFjZDNlMzIzY2FjMTJmYzQxMzYiLCJ1c2VySWQiOiI1Njc0MDg4NDQifQ==</vt:lpwstr>
  </property>
</Properties>
</file>