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8D82D">
      <w:pPr>
        <w:pStyle w:val="15"/>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附件1：</w:t>
      </w:r>
    </w:p>
    <w:p w14:paraId="0182F1AF">
      <w:pPr>
        <w:pStyle w:val="15"/>
        <w:ind w:firstLine="3433" w:firstLineChars="900"/>
        <w:rPr>
          <w:rFonts w:hint="default" w:cs="宋体"/>
          <w:b/>
          <w:bCs/>
          <w:kern w:val="0"/>
          <w:sz w:val="38"/>
          <w:szCs w:val="38"/>
          <w:lang w:val="en-US" w:eastAsia="zh-CN"/>
        </w:rPr>
      </w:pPr>
      <w:r>
        <w:rPr>
          <w:rFonts w:hint="eastAsia" w:cs="宋体"/>
          <w:b/>
          <w:bCs/>
          <w:kern w:val="0"/>
          <w:sz w:val="38"/>
          <w:szCs w:val="38"/>
          <w:lang w:val="en-US" w:eastAsia="zh-CN"/>
        </w:rPr>
        <w:t>采购需求</w:t>
      </w:r>
    </w:p>
    <w:p w14:paraId="78FD798D">
      <w:pPr>
        <w:pStyle w:val="15"/>
        <w:keepNext w:val="0"/>
        <w:keepLines w:val="0"/>
        <w:pageBreakBefore w:val="0"/>
        <w:widowControl w:val="0"/>
        <w:kinsoku/>
        <w:wordWrap/>
        <w:overflowPunct/>
        <w:topLinePunct w:val="0"/>
        <w:autoSpaceDE w:val="0"/>
        <w:autoSpaceDN w:val="0"/>
        <w:bidi w:val="0"/>
        <w:adjustRightInd w:val="0"/>
        <w:snapToGrid/>
        <w:spacing w:line="460" w:lineRule="exact"/>
        <w:ind w:left="0" w:leftChars="0" w:firstLine="480" w:firstLineChars="200"/>
        <w:textAlignment w:val="auto"/>
        <w:rPr>
          <w:rFonts w:hint="eastAsia" w:ascii="宋体" w:hAnsi="宋体"/>
          <w:b w:val="0"/>
          <w:bCs/>
          <w:color w:val="000000" w:themeColor="text1"/>
          <w:lang w:eastAsia="zh-CN"/>
          <w14:textFill>
            <w14:solidFill>
              <w14:schemeClr w14:val="tx1"/>
            </w14:solidFill>
          </w14:textFill>
        </w:rPr>
      </w:pPr>
      <w:r>
        <w:rPr>
          <w:rFonts w:hint="eastAsia" w:ascii="宋体" w:hAnsi="宋体"/>
          <w:b w:val="0"/>
          <w:bCs/>
          <w:color w:val="000000" w:themeColor="text1"/>
          <w:lang w:eastAsia="zh-CN"/>
          <w14:textFill>
            <w14:solidFill>
              <w14:schemeClr w14:val="tx1"/>
            </w14:solidFill>
          </w14:textFill>
        </w:rPr>
        <w:t>所有</w:t>
      </w:r>
      <w:r>
        <w:rPr>
          <w:rFonts w:hint="eastAsia" w:ascii="宋体" w:hAnsi="宋体"/>
          <w:b w:val="0"/>
          <w:bCs/>
          <w:color w:val="000000" w:themeColor="text1"/>
          <w14:textFill>
            <w14:solidFill>
              <w14:schemeClr w14:val="tx1"/>
            </w14:solidFill>
          </w14:textFill>
        </w:rPr>
        <w:t>工程量清单、工程标准和商务要求</w:t>
      </w:r>
      <w:r>
        <w:rPr>
          <w:rFonts w:hint="eastAsia" w:ascii="宋体" w:hAnsi="宋体"/>
          <w:b w:val="0"/>
          <w:bCs/>
          <w:color w:val="000000" w:themeColor="text1"/>
          <w:lang w:eastAsia="zh-CN"/>
          <w14:textFill>
            <w14:solidFill>
              <w14:schemeClr w14:val="tx1"/>
            </w14:solidFill>
          </w14:textFill>
        </w:rPr>
        <w:t>要求</w:t>
      </w:r>
      <w:r>
        <w:rPr>
          <w:rFonts w:hint="eastAsia" w:ascii="宋体" w:hAnsi="宋体"/>
          <w:b w:val="0"/>
          <w:bCs/>
          <w:color w:val="000000" w:themeColor="text1"/>
          <w14:textFill>
            <w14:solidFill>
              <w14:schemeClr w14:val="tx1"/>
            </w14:solidFill>
          </w14:textFill>
        </w:rPr>
        <w:t>均为实质性条款，必须满足或者优于，否则其</w:t>
      </w:r>
      <w:r>
        <w:rPr>
          <w:rFonts w:hint="eastAsia" w:ascii="宋体" w:hAnsi="宋体"/>
          <w:b w:val="0"/>
          <w:bCs/>
          <w:color w:val="000000" w:themeColor="text1"/>
          <w:lang w:eastAsia="zh-CN"/>
          <w14:textFill>
            <w14:solidFill>
              <w14:schemeClr w14:val="tx1"/>
            </w14:solidFill>
          </w14:textFill>
        </w:rPr>
        <w:t>投标</w:t>
      </w:r>
      <w:r>
        <w:rPr>
          <w:rFonts w:hint="eastAsia" w:ascii="宋体" w:hAnsi="宋体"/>
          <w:b w:val="0"/>
          <w:bCs/>
          <w:color w:val="000000" w:themeColor="text1"/>
          <w14:textFill>
            <w14:solidFill>
              <w14:schemeClr w14:val="tx1"/>
            </w14:solidFill>
          </w14:textFill>
        </w:rPr>
        <w:t>文件</w:t>
      </w:r>
      <w:r>
        <w:rPr>
          <w:rFonts w:hint="eastAsia" w:ascii="宋体" w:hAnsi="宋体"/>
          <w:b w:val="0"/>
          <w:bCs/>
          <w:color w:val="000000" w:themeColor="text1"/>
          <w:lang w:eastAsia="zh-CN"/>
          <w14:textFill>
            <w14:solidFill>
              <w14:schemeClr w14:val="tx1"/>
            </w14:solidFill>
          </w14:textFill>
        </w:rPr>
        <w:t>无效；</w:t>
      </w:r>
    </w:p>
    <w:p w14:paraId="11BBA451">
      <w:pPr>
        <w:pStyle w:val="15"/>
        <w:keepNext w:val="0"/>
        <w:keepLines w:val="0"/>
        <w:pageBreakBefore w:val="0"/>
        <w:widowControl w:val="0"/>
        <w:kinsoku/>
        <w:wordWrap/>
        <w:overflowPunct/>
        <w:topLinePunct w:val="0"/>
        <w:autoSpaceDE w:val="0"/>
        <w:autoSpaceDN w:val="0"/>
        <w:bidi w:val="0"/>
        <w:adjustRightInd w:val="0"/>
        <w:snapToGrid/>
        <w:spacing w:line="460" w:lineRule="exact"/>
        <w:ind w:left="0" w:leftChars="0" w:firstLine="560" w:firstLineChars="200"/>
        <w:textAlignment w:val="auto"/>
        <w:rPr>
          <w:rFonts w:cs="宋体"/>
          <w:b w:val="0"/>
          <w:bCs/>
          <w:sz w:val="28"/>
          <w:szCs w:val="28"/>
        </w:rPr>
      </w:pPr>
      <w:r>
        <w:rPr>
          <w:rFonts w:hint="eastAsia" w:cs="宋体"/>
          <w:b w:val="0"/>
          <w:bCs/>
          <w:sz w:val="28"/>
          <w:szCs w:val="28"/>
        </w:rPr>
        <w:t>一、工程量清单、</w:t>
      </w:r>
      <w:r>
        <w:rPr>
          <w:rFonts w:hint="eastAsia" w:cs="宋体"/>
          <w:b w:val="0"/>
          <w:bCs/>
          <w:sz w:val="28"/>
          <w:szCs w:val="28"/>
          <w:lang w:eastAsia="zh-CN"/>
        </w:rPr>
        <w:t>工程</w:t>
      </w:r>
      <w:r>
        <w:rPr>
          <w:rFonts w:hint="eastAsia" w:cs="宋体"/>
          <w:b w:val="0"/>
          <w:bCs/>
          <w:sz w:val="28"/>
          <w:szCs w:val="28"/>
        </w:rPr>
        <w:t>标准和</w:t>
      </w:r>
      <w:r>
        <w:rPr>
          <w:rFonts w:hint="eastAsia" w:cs="宋体"/>
          <w:b w:val="0"/>
          <w:bCs/>
          <w:sz w:val="28"/>
          <w:szCs w:val="28"/>
          <w:lang w:eastAsia="zh-CN"/>
        </w:rPr>
        <w:t>商务</w:t>
      </w:r>
      <w:r>
        <w:rPr>
          <w:rFonts w:hint="eastAsia" w:cs="宋体"/>
          <w:b w:val="0"/>
          <w:bCs/>
          <w:sz w:val="28"/>
          <w:szCs w:val="28"/>
        </w:rPr>
        <w:t>要求</w:t>
      </w:r>
    </w:p>
    <w:p w14:paraId="5A1494BD">
      <w:pPr>
        <w:pStyle w:val="15"/>
        <w:keepNext w:val="0"/>
        <w:keepLines w:val="0"/>
        <w:pageBreakBefore w:val="0"/>
        <w:widowControl w:val="0"/>
        <w:tabs>
          <w:tab w:val="left" w:pos="8190"/>
        </w:tabs>
        <w:kinsoku/>
        <w:wordWrap/>
        <w:overflowPunct/>
        <w:topLinePunct w:val="0"/>
        <w:autoSpaceDE w:val="0"/>
        <w:autoSpaceDN w:val="0"/>
        <w:bidi w:val="0"/>
        <w:adjustRightInd w:val="0"/>
        <w:snapToGrid/>
        <w:spacing w:line="460" w:lineRule="exact"/>
        <w:ind w:left="0" w:leftChars="0" w:firstLine="482" w:firstLineChars="200"/>
        <w:textAlignment w:val="auto"/>
        <w:rPr>
          <w:rFonts w:hint="default" w:ascii="Times New Roman" w:hAnsi="Times New Roman" w:eastAsia="宋体" w:cs="宋体"/>
          <w:b/>
          <w:bCs/>
          <w:lang w:val="en-US" w:eastAsia="zh-CN"/>
        </w:rPr>
      </w:pPr>
      <w:r>
        <w:rPr>
          <w:rFonts w:hint="eastAsia" w:ascii="Times New Roman" w:hAnsi="Times New Roman" w:eastAsia="宋体" w:cs="宋体"/>
          <w:b/>
          <w:bCs/>
          <w:lang w:eastAsia="zh-CN"/>
        </w:rPr>
        <w:t>（一）</w:t>
      </w:r>
      <w:r>
        <w:rPr>
          <w:rFonts w:hint="eastAsia" w:ascii="Times New Roman" w:hAnsi="Times New Roman" w:eastAsia="宋体" w:cs="宋体"/>
          <w:b/>
          <w:bCs/>
          <w:lang w:val="en-US" w:eastAsia="zh-CN"/>
        </w:rPr>
        <w:t>项目预算：</w:t>
      </w:r>
      <w:r>
        <w:rPr>
          <w:rFonts w:hint="eastAsia" w:ascii="Times New Roman" w:hAnsi="Times New Roman" w:eastAsia="宋体" w:cs="宋体"/>
          <w:b w:val="0"/>
          <w:bCs w:val="0"/>
          <w:lang w:val="en-US" w:eastAsia="zh-CN"/>
        </w:rPr>
        <w:t>人民币陆万玖仟</w:t>
      </w:r>
      <w:r>
        <w:rPr>
          <w:rFonts w:hint="eastAsia" w:ascii="Times New Roman" w:hAnsi="Times New Roman" w:eastAsia="宋体" w:cs="宋体"/>
          <w:b w:val="0"/>
          <w:bCs w:val="0"/>
          <w:lang w:eastAsia="zh-CN"/>
        </w:rPr>
        <w:t>元整（¥</w:t>
      </w:r>
      <w:r>
        <w:rPr>
          <w:rFonts w:hint="eastAsia" w:ascii="Times New Roman" w:hAnsi="Times New Roman" w:eastAsia="宋体" w:cs="宋体"/>
          <w:b w:val="0"/>
          <w:bCs w:val="0"/>
          <w:lang w:val="en-US" w:eastAsia="zh-CN"/>
        </w:rPr>
        <w:t>69000.00</w:t>
      </w:r>
      <w:r>
        <w:rPr>
          <w:rFonts w:hint="eastAsia" w:ascii="Times New Roman" w:hAnsi="Times New Roman" w:eastAsia="宋体" w:cs="宋体"/>
          <w:b w:val="0"/>
          <w:bCs w:val="0"/>
          <w:lang w:eastAsia="zh-CN"/>
        </w:rPr>
        <w:t>元）</w:t>
      </w:r>
    </w:p>
    <w:p w14:paraId="515CA7BA">
      <w:pPr>
        <w:pStyle w:val="15"/>
        <w:keepNext w:val="0"/>
        <w:keepLines w:val="0"/>
        <w:pageBreakBefore w:val="0"/>
        <w:widowControl w:val="0"/>
        <w:tabs>
          <w:tab w:val="left" w:pos="8190"/>
        </w:tabs>
        <w:kinsoku/>
        <w:wordWrap/>
        <w:overflowPunct/>
        <w:topLinePunct w:val="0"/>
        <w:autoSpaceDE w:val="0"/>
        <w:autoSpaceDN w:val="0"/>
        <w:bidi w:val="0"/>
        <w:adjustRightInd w:val="0"/>
        <w:snapToGrid/>
        <w:spacing w:line="460" w:lineRule="exact"/>
        <w:ind w:left="0" w:leftChars="0" w:firstLine="482" w:firstLineChars="200"/>
        <w:textAlignment w:val="auto"/>
        <w:rPr>
          <w:b/>
          <w:bCs/>
        </w:rPr>
      </w:pPr>
      <w:r>
        <w:rPr>
          <w:rFonts w:hint="eastAsia" w:cs="宋体"/>
          <w:b/>
          <w:bCs/>
          <w:lang w:eastAsia="zh-CN"/>
        </w:rPr>
        <w:t>（</w:t>
      </w:r>
      <w:r>
        <w:rPr>
          <w:rFonts w:hint="eastAsia" w:cs="宋体"/>
          <w:b/>
          <w:bCs/>
          <w:lang w:val="en-US" w:eastAsia="zh-CN"/>
        </w:rPr>
        <w:t>二）</w:t>
      </w:r>
      <w:r>
        <w:rPr>
          <w:rFonts w:hint="eastAsia" w:cs="宋体"/>
          <w:b/>
          <w:bCs/>
        </w:rPr>
        <w:t>工程量清单</w:t>
      </w:r>
      <w:r>
        <w:rPr>
          <w:b/>
          <w:bCs/>
        </w:rPr>
        <w:t> </w:t>
      </w:r>
    </w:p>
    <w:tbl>
      <w:tblPr>
        <w:tblStyle w:val="11"/>
        <w:tblW w:w="86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2462"/>
        <w:gridCol w:w="800"/>
        <w:gridCol w:w="738"/>
        <w:gridCol w:w="4037"/>
      </w:tblGrid>
      <w:tr w14:paraId="6E3F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3518">
            <w:pPr>
              <w:pStyle w:val="15"/>
              <w:ind w:left="-708" w:leftChars="-337"/>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lang w:val="en-US" w:eastAsia="zh-CN"/>
              </w:rPr>
              <w:t xml:space="preserve">     </w:t>
            </w:r>
            <w:r>
              <w:rPr>
                <w:rFonts w:hint="eastAsia" w:ascii="宋体" w:hAnsi="宋体" w:eastAsia="宋体" w:cs="宋体"/>
                <w:b/>
                <w:bCs/>
                <w:color w:val="0000FF"/>
                <w:sz w:val="21"/>
                <w:szCs w:val="21"/>
                <w:lang w:val="en-US" w:eastAsia="zh-CN"/>
              </w:rPr>
              <w:t xml:space="preserve">   </w:t>
            </w:r>
            <w:r>
              <w:rPr>
                <w:rFonts w:hint="eastAsia" w:ascii="宋体" w:hAnsi="宋体" w:eastAsia="宋体" w:cs="宋体"/>
                <w:b/>
                <w:bCs/>
                <w:i w:val="0"/>
                <w:iCs w:val="0"/>
                <w:color w:val="000000"/>
                <w:kern w:val="0"/>
                <w:sz w:val="21"/>
                <w:szCs w:val="21"/>
                <w:u w:val="none"/>
                <w:lang w:val="en-US" w:eastAsia="zh-CN" w:bidi="ar"/>
              </w:rPr>
              <w:t>序号</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8BF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工程项目及名称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B7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77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13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0964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4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5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一键报警设备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C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C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top"/>
          </w:tcPr>
          <w:p w14:paraId="2D31BC12">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铁壳+铝面板外壳。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一键报警，简约轻巧的设计，功能丰富而强大，操作简单；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支持GPS定位，精准快速确定位置；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支持音频全双工对讲、喊话、监听；</w:t>
            </w:r>
          </w:p>
          <w:p w14:paraId="1464D47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备用电源需持续通话1小时；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电池低压3.7V，具有低压语音提示并上报中心后，进入低功耗状态(呼叫灯1.5/秒闪烁一次)，仍可待机12小时并支持1次紧急报警。</w:t>
            </w:r>
          </w:p>
        </w:tc>
      </w:tr>
      <w:tr w14:paraId="5024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6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C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8口千兆交换机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8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F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top"/>
          </w:tcPr>
          <w:p w14:paraId="65DF29B5">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千兆poe交换机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8个自适应千兆接入电口，1个千兆上行光口，1个自适应千兆上行光口；</w:t>
            </w:r>
          </w:p>
          <w:p w14:paraId="2D19CECC">
            <w:pPr>
              <w:keepNext w:val="0"/>
              <w:keepLines w:val="0"/>
              <w:widowControl/>
              <w:suppressLineNumbers w:val="0"/>
              <w:jc w:val="left"/>
              <w:textAlignment w:val="top"/>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交换容量：20Gbps，包转发率：14.88Mpps；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符合IIEEE 802.3，IEEE 802.3u，IEEE 802.3x，IEEE 802.3ab，IEEE 802.3z，IEEE 802.3af，IEEE 802.3at通信标准；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工作温度：-10℃～55℃；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全金属外壳；</w:t>
            </w:r>
          </w:p>
        </w:tc>
      </w:tr>
      <w:tr w14:paraId="387B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9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5C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水晶头</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DC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EB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盒                                                                                                                                                                                              </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D6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镀金六类水晶头</w:t>
            </w:r>
          </w:p>
        </w:tc>
      </w:tr>
      <w:tr w14:paraId="1871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0A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67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网线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E7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E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C3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国标六类双绞线，0.53线径</w:t>
            </w:r>
          </w:p>
        </w:tc>
      </w:tr>
      <w:tr w14:paraId="4CCB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05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61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线槽</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F4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D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9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PVC，20mm*10mm</w:t>
            </w:r>
          </w:p>
        </w:tc>
      </w:tr>
      <w:tr w14:paraId="5600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63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FF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C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5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PVC，4分管</w:t>
            </w:r>
          </w:p>
        </w:tc>
      </w:tr>
      <w:tr w14:paraId="7E21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5AD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7 </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9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辅件辅材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F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B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DFD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通用阻燃（五金配件、胶布、扎带、膨胀钉、PVC连接管件、电线、排插、插头)</w:t>
            </w:r>
          </w:p>
        </w:tc>
      </w:tr>
    </w:tbl>
    <w:p w14:paraId="020A1CBB">
      <w:pPr>
        <w:pStyle w:val="15"/>
        <w:ind w:left="0" w:leftChars="0" w:firstLine="0" w:firstLineChars="0"/>
        <w:rPr>
          <w:rFonts w:hint="default"/>
          <w:b/>
          <w:bCs/>
          <w:color w:val="0000FF"/>
          <w:sz w:val="18"/>
          <w:szCs w:val="18"/>
          <w:lang w:val="en-US" w:eastAsia="zh-CN"/>
        </w:rPr>
      </w:pPr>
      <w:r>
        <w:rPr>
          <w:rFonts w:hint="eastAsia" w:ascii="宋体" w:hAnsi="宋体" w:eastAsia="宋体" w:cs="宋体"/>
          <w:b w:val="0"/>
          <w:bCs w:val="0"/>
          <w:i w:val="0"/>
          <w:iCs w:val="0"/>
          <w:color w:val="000000"/>
          <w:sz w:val="21"/>
          <w:szCs w:val="21"/>
          <w:u w:val="none"/>
        </w:rPr>
        <w:t>备注：</w:t>
      </w:r>
      <w:r>
        <w:rPr>
          <w:rFonts w:hint="eastAsia" w:ascii="宋体" w:hAnsi="宋体" w:eastAsia="宋体" w:cs="宋体"/>
          <w:b w:val="0"/>
          <w:bCs w:val="0"/>
          <w:i w:val="0"/>
          <w:iCs w:val="0"/>
          <w:color w:val="000000"/>
          <w:sz w:val="21"/>
          <w:szCs w:val="21"/>
          <w:u w:val="none"/>
          <w:lang w:eastAsia="zh-CN"/>
        </w:rPr>
        <w:t>因工程施工区域为住院区，在施工期间应尽量避免噪音，并配合院工作人员合理调整施工顺序</w:t>
      </w:r>
      <w:r>
        <w:rPr>
          <w:rFonts w:hint="eastAsia" w:ascii="宋体" w:hAnsi="宋体" w:eastAsia="宋体" w:cs="宋体"/>
          <w:b w:val="0"/>
          <w:bCs w:val="0"/>
          <w:i w:val="0"/>
          <w:iCs w:val="0"/>
          <w:color w:val="000000"/>
          <w:sz w:val="21"/>
          <w:szCs w:val="21"/>
          <w:u w:val="none"/>
        </w:rPr>
        <w:t>。因此施工单位在投标时需要综合考虑施工工期、需间断施工、</w:t>
      </w:r>
      <w:r>
        <w:rPr>
          <w:rFonts w:hint="eastAsia" w:ascii="宋体" w:hAnsi="宋体" w:eastAsia="宋体" w:cs="宋体"/>
          <w:b w:val="0"/>
          <w:bCs w:val="0"/>
          <w:i w:val="0"/>
          <w:iCs w:val="0"/>
          <w:color w:val="000000"/>
          <w:sz w:val="21"/>
          <w:szCs w:val="21"/>
          <w:u w:val="none"/>
          <w:lang w:eastAsia="zh-CN"/>
        </w:rPr>
        <w:t>清洁维护</w:t>
      </w:r>
      <w:r>
        <w:rPr>
          <w:rFonts w:hint="eastAsia" w:ascii="宋体" w:hAnsi="宋体" w:eastAsia="宋体" w:cs="宋体"/>
          <w:b w:val="0"/>
          <w:bCs w:val="0"/>
          <w:i w:val="0"/>
          <w:iCs w:val="0"/>
          <w:color w:val="000000"/>
          <w:sz w:val="21"/>
          <w:szCs w:val="21"/>
          <w:u w:val="none"/>
        </w:rPr>
        <w:t>等成本。</w:t>
      </w:r>
    </w:p>
    <w:p w14:paraId="031AB961">
      <w:pPr>
        <w:keepNext w:val="0"/>
        <w:keepLines w:val="0"/>
        <w:pageBreakBefore w:val="0"/>
        <w:widowControl/>
        <w:numPr>
          <w:ilvl w:val="0"/>
          <w:numId w:val="0"/>
        </w:numPr>
        <w:kinsoku/>
        <w:wordWrap/>
        <w:overflowPunct/>
        <w:topLinePunct w:val="0"/>
        <w:bidi w:val="0"/>
        <w:snapToGrid/>
        <w:spacing w:line="360" w:lineRule="auto"/>
        <w:jc w:val="left"/>
        <w:textAlignment w:val="auto"/>
        <w:rPr>
          <w:rFonts w:cs="宋体"/>
          <w:b/>
          <w:bCs/>
          <w:color w:val="000000"/>
          <w:kern w:val="0"/>
          <w:sz w:val="24"/>
          <w:szCs w:val="24"/>
        </w:rPr>
      </w:pPr>
      <w:r>
        <w:rPr>
          <w:rFonts w:hint="eastAsia" w:cs="宋体"/>
          <w:b/>
          <w:bCs/>
          <w:color w:val="000000"/>
          <w:kern w:val="0"/>
          <w:sz w:val="24"/>
          <w:szCs w:val="24"/>
          <w:lang w:eastAsia="zh-CN"/>
        </w:rPr>
        <w:t>（</w:t>
      </w:r>
      <w:r>
        <w:rPr>
          <w:rFonts w:hint="eastAsia" w:cs="宋体"/>
          <w:b/>
          <w:bCs/>
          <w:color w:val="000000"/>
          <w:kern w:val="0"/>
          <w:sz w:val="24"/>
          <w:szCs w:val="24"/>
          <w:lang w:val="en-US" w:eastAsia="zh-CN"/>
        </w:rPr>
        <w:t>三）</w:t>
      </w:r>
      <w:r>
        <w:rPr>
          <w:rFonts w:hint="eastAsia" w:cs="宋体"/>
          <w:b/>
          <w:bCs/>
          <w:color w:val="000000"/>
          <w:kern w:val="0"/>
          <w:sz w:val="24"/>
          <w:szCs w:val="24"/>
          <w:lang w:eastAsia="zh-CN"/>
        </w:rPr>
        <w:t>工程标准</w:t>
      </w:r>
    </w:p>
    <w:p w14:paraId="0E26F181">
      <w:pPr>
        <w:pStyle w:val="15"/>
        <w:keepNext w:val="0"/>
        <w:keepLines w:val="0"/>
        <w:pageBreakBefore w:val="0"/>
        <w:kinsoku/>
        <w:wordWrap/>
        <w:overflowPunct/>
        <w:topLinePunct w:val="0"/>
        <w:bidi w:val="0"/>
        <w:snapToGrid/>
        <w:ind w:left="0" w:leftChars="0" w:firstLine="480" w:firstLineChars="200"/>
        <w:textAlignment w:val="auto"/>
        <w:rPr>
          <w:rFonts w:hint="eastAsia"/>
          <w:b w:val="0"/>
          <w:bCs w:val="0"/>
          <w:color w:val="auto"/>
          <w:highlight w:val="none"/>
          <w:lang w:val="en-US" w:eastAsia="zh-CN"/>
        </w:rPr>
      </w:pPr>
      <w:r>
        <w:rPr>
          <w:rFonts w:hint="eastAsia"/>
          <w:b w:val="0"/>
          <w:bCs w:val="0"/>
          <w:color w:val="auto"/>
          <w:highlight w:val="none"/>
          <w:lang w:eastAsia="zh-CN"/>
        </w:rPr>
        <w:t>1</w:t>
      </w:r>
      <w:r>
        <w:rPr>
          <w:rFonts w:hint="eastAsia"/>
          <w:b w:val="0"/>
          <w:bCs w:val="0"/>
          <w:color w:val="auto"/>
          <w:highlight w:val="none"/>
          <w:lang w:val="en-US" w:eastAsia="zh-CN"/>
        </w:rPr>
        <w:t>.一键报警设备必须保证能够接入医院现有的安消一体化平台，实现新安装病区一键报警设备和监控设备的联动功能。</w:t>
      </w:r>
    </w:p>
    <w:p w14:paraId="6D17E928">
      <w:pPr>
        <w:pStyle w:val="15"/>
        <w:keepNext w:val="0"/>
        <w:keepLines w:val="0"/>
        <w:pageBreakBefore w:val="0"/>
        <w:kinsoku/>
        <w:wordWrap/>
        <w:overflowPunct/>
        <w:topLinePunct w:val="0"/>
        <w:bidi w:val="0"/>
        <w:snapToGrid/>
        <w:ind w:left="0" w:leftChars="0" w:firstLine="480" w:firstLineChars="200"/>
        <w:textAlignment w:val="auto"/>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施工区域为病区，施工时需要</w:t>
      </w:r>
      <w:r>
        <w:rPr>
          <w:rFonts w:hint="eastAsia"/>
          <w:color w:val="auto"/>
          <w:highlight w:val="none"/>
        </w:rPr>
        <w:t>防尘保护</w:t>
      </w:r>
      <w:r>
        <w:rPr>
          <w:rFonts w:hint="eastAsia"/>
          <w:color w:val="auto"/>
          <w:highlight w:val="none"/>
          <w:lang w:eastAsia="zh-CN"/>
        </w:rPr>
        <w:t>措施，做好降噪措施。如因施工噪音、烟尘等影响病人诊疗，需及时中断影响诊疗的施工方式。因施工区域需间断施工，施工单位需按工程部指令开始施工及停止施工。</w:t>
      </w:r>
    </w:p>
    <w:p w14:paraId="097027AB">
      <w:pPr>
        <w:pStyle w:val="15"/>
        <w:keepNext w:val="0"/>
        <w:keepLines w:val="0"/>
        <w:pageBreakBefore w:val="0"/>
        <w:kinsoku/>
        <w:wordWrap/>
        <w:overflowPunct/>
        <w:topLinePunct w:val="0"/>
        <w:bidi w:val="0"/>
        <w:snapToGrid/>
        <w:ind w:left="0" w:leftChars="0" w:firstLine="480" w:firstLineChars="200"/>
        <w:textAlignment w:val="auto"/>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施工时需要</w:t>
      </w:r>
      <w:r>
        <w:rPr>
          <w:rFonts w:hint="eastAsia"/>
          <w:color w:val="auto"/>
          <w:highlight w:val="none"/>
        </w:rPr>
        <w:t>防尘保护</w:t>
      </w:r>
      <w:r>
        <w:rPr>
          <w:rFonts w:hint="eastAsia"/>
          <w:color w:val="auto"/>
          <w:highlight w:val="none"/>
          <w:lang w:eastAsia="zh-CN"/>
        </w:rPr>
        <w:t>措施。在施工时及完成后做好</w:t>
      </w:r>
      <w:r>
        <w:rPr>
          <w:rFonts w:hint="eastAsia"/>
          <w:color w:val="auto"/>
          <w:highlight w:val="none"/>
        </w:rPr>
        <w:t>清洁卫生</w:t>
      </w:r>
      <w:r>
        <w:rPr>
          <w:rFonts w:hint="eastAsia"/>
          <w:color w:val="auto"/>
          <w:highlight w:val="none"/>
          <w:lang w:eastAsia="zh-CN"/>
        </w:rPr>
        <w:t>，保证完成验收时无因施工造成的残留覆盖或滴溅在现存器物的现象，施工材料及拆除的建筑垃圾要及时清理运走。</w:t>
      </w:r>
    </w:p>
    <w:p w14:paraId="1B5F3DAE">
      <w:pPr>
        <w:pStyle w:val="15"/>
        <w:keepNext w:val="0"/>
        <w:keepLines w:val="0"/>
        <w:pageBreakBefore w:val="0"/>
        <w:kinsoku/>
        <w:wordWrap/>
        <w:overflowPunct/>
        <w:topLinePunct w:val="0"/>
        <w:bidi w:val="0"/>
        <w:snapToGrid/>
        <w:ind w:left="0" w:leftChars="0" w:firstLine="480" w:firstLineChars="200"/>
        <w:textAlignment w:val="auto"/>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投标总价必须包含货物及货物运抵指定交货地点的各种费用和安装调校售后服务、税金、验收检验及其它所有费用的总和，如另有要求请在投标文件中注明</w:t>
      </w:r>
      <w:r>
        <w:rPr>
          <w:rFonts w:hint="eastAsia"/>
          <w:color w:val="auto"/>
          <w:highlight w:val="none"/>
          <w:lang w:eastAsia="zh-CN"/>
        </w:rPr>
        <w:t>。</w:t>
      </w:r>
    </w:p>
    <w:p w14:paraId="2E354E31">
      <w:pPr>
        <w:pStyle w:val="15"/>
        <w:keepNext w:val="0"/>
        <w:keepLines w:val="0"/>
        <w:pageBreakBefore w:val="0"/>
        <w:kinsoku/>
        <w:wordWrap/>
        <w:overflowPunct/>
        <w:topLinePunct w:val="0"/>
        <w:bidi w:val="0"/>
        <w:snapToGrid/>
        <w:ind w:left="0" w:leftChars="0" w:firstLine="480" w:firstLineChars="200"/>
        <w:textAlignment w:val="auto"/>
        <w:rPr>
          <w:rFonts w:hint="eastAsia"/>
          <w:color w:val="auto"/>
        </w:rPr>
      </w:pPr>
      <w:r>
        <w:rPr>
          <w:rFonts w:hint="eastAsia"/>
          <w:color w:val="auto"/>
          <w:highlight w:val="none"/>
          <w:lang w:val="en-US" w:eastAsia="zh-CN"/>
        </w:rPr>
        <w:t>5.</w:t>
      </w:r>
      <w:r>
        <w:rPr>
          <w:rFonts w:hint="eastAsia"/>
          <w:color w:val="auto"/>
          <w:highlight w:val="none"/>
        </w:rPr>
        <w:t>最终结算按实际施工工程量进行结算。</w:t>
      </w:r>
    </w:p>
    <w:p w14:paraId="60491C93">
      <w:pPr>
        <w:pStyle w:val="15"/>
        <w:keepNext w:val="0"/>
        <w:keepLines w:val="0"/>
        <w:pageBreakBefore w:val="0"/>
        <w:kinsoku/>
        <w:wordWrap/>
        <w:overflowPunct/>
        <w:topLinePunct w:val="0"/>
        <w:bidi w:val="0"/>
        <w:snapToGrid/>
        <w:ind w:left="0" w:leftChars="0" w:firstLine="482" w:firstLineChars="200"/>
        <w:textAlignment w:val="auto"/>
        <w:rPr>
          <w:rFonts w:hint="eastAsia" w:cs="宋体"/>
          <w:b/>
          <w:bCs/>
        </w:rPr>
      </w:pPr>
      <w:r>
        <w:rPr>
          <w:rFonts w:hint="eastAsia" w:cs="宋体"/>
          <w:b/>
          <w:bCs/>
        </w:rPr>
        <w:t>（</w:t>
      </w:r>
      <w:r>
        <w:rPr>
          <w:rFonts w:hint="eastAsia" w:cs="宋体"/>
          <w:b/>
          <w:bCs/>
          <w:lang w:val="en-US" w:eastAsia="zh-CN"/>
        </w:rPr>
        <w:t>四</w:t>
      </w:r>
      <w:r>
        <w:rPr>
          <w:rFonts w:hint="eastAsia" w:cs="宋体"/>
          <w:b/>
          <w:bCs/>
        </w:rPr>
        <w:t>）商务要求</w:t>
      </w:r>
    </w:p>
    <w:p w14:paraId="26F6C95F">
      <w:pPr>
        <w:pStyle w:val="15"/>
        <w:keepNext w:val="0"/>
        <w:keepLines w:val="0"/>
        <w:pageBreakBefore w:val="0"/>
        <w:kinsoku/>
        <w:wordWrap/>
        <w:overflowPunct/>
        <w:topLinePunct w:val="0"/>
        <w:bidi w:val="0"/>
        <w:snapToGrid/>
        <w:ind w:left="0" w:leftChars="0" w:firstLine="482" w:firstLineChars="200"/>
        <w:textAlignment w:val="auto"/>
        <w:rPr>
          <w:rFonts w:hint="eastAsia"/>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1.</w:t>
      </w:r>
      <w:r>
        <w:rPr>
          <w:rFonts w:hint="eastAsia"/>
          <w:b/>
          <w:bCs/>
          <w:color w:val="000000" w:themeColor="text1"/>
          <w14:textFill>
            <w14:solidFill>
              <w14:schemeClr w14:val="tx1"/>
            </w14:solidFill>
          </w14:textFill>
        </w:rPr>
        <w:t>售后服务和</w:t>
      </w:r>
      <w:r>
        <w:rPr>
          <w:rFonts w:hint="eastAsia"/>
          <w:b/>
          <w:bCs/>
          <w:color w:val="000000" w:themeColor="text1"/>
          <w:lang w:val="en-US" w:eastAsia="zh-CN"/>
          <w14:textFill>
            <w14:solidFill>
              <w14:schemeClr w14:val="tx1"/>
            </w14:solidFill>
          </w14:textFill>
        </w:rPr>
        <w:t>资质</w:t>
      </w:r>
    </w:p>
    <w:p w14:paraId="664F6E0D">
      <w:pPr>
        <w:pStyle w:val="15"/>
        <w:keepNext w:val="0"/>
        <w:keepLines w:val="0"/>
        <w:pageBreakBefore w:val="0"/>
        <w:kinsoku/>
        <w:wordWrap/>
        <w:overflowPunct/>
        <w:topLinePunct w:val="0"/>
        <w:bidi w:val="0"/>
        <w:snapToGrid/>
        <w:ind w:left="0" w:leftChars="0" w:firstLine="480" w:firstLineChars="20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）质保期：按《建筑工程质量管理条例》工程质保期为</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年。</w:t>
      </w:r>
    </w:p>
    <w:p w14:paraId="36E10A0B">
      <w:pPr>
        <w:pStyle w:val="15"/>
        <w:keepNext w:val="0"/>
        <w:keepLines w:val="0"/>
        <w:pageBreakBefore w:val="0"/>
        <w:kinsoku/>
        <w:wordWrap/>
        <w:overflowPunct/>
        <w:topLinePunct w:val="0"/>
        <w:bidi w:val="0"/>
        <w:snapToGrid/>
        <w:ind w:left="0" w:leftChars="0" w:firstLine="480" w:firstLineChars="20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维修处理：在质保期内发现工程质量问题，按国家及行业标准对</w:t>
      </w:r>
      <w:r>
        <w:rPr>
          <w:rFonts w:hint="eastAsia"/>
          <w:color w:val="000000" w:themeColor="text1"/>
          <w:lang w:val="en-US" w:eastAsia="zh-CN"/>
          <w14:textFill>
            <w14:solidFill>
              <w14:schemeClr w14:val="tx1"/>
            </w14:solidFill>
          </w14:textFill>
        </w:rPr>
        <w:t>质量</w:t>
      </w:r>
      <w:r>
        <w:rPr>
          <w:rFonts w:hint="eastAsia"/>
          <w:color w:val="000000" w:themeColor="text1"/>
          <w:lang w:eastAsia="zh-CN"/>
          <w14:textFill>
            <w14:solidFill>
              <w14:schemeClr w14:val="tx1"/>
            </w14:solidFill>
          </w14:textFill>
        </w:rPr>
        <w:t>问题</w:t>
      </w:r>
      <w:r>
        <w:rPr>
          <w:rFonts w:hint="eastAsia"/>
          <w:color w:val="000000" w:themeColor="text1"/>
          <w14:textFill>
            <w14:solidFill>
              <w14:schemeClr w14:val="tx1"/>
            </w14:solidFill>
          </w14:textFill>
        </w:rPr>
        <w:t>进行及时处理，以保证采购单位的正常使用，所发生的一切费用由成交供应商负责（包工包料）。</w:t>
      </w:r>
    </w:p>
    <w:p w14:paraId="3DD97080">
      <w:pPr>
        <w:pStyle w:val="15"/>
        <w:keepNext w:val="0"/>
        <w:keepLines w:val="0"/>
        <w:pageBreakBefore w:val="0"/>
        <w:kinsoku/>
        <w:wordWrap/>
        <w:overflowPunct/>
        <w:topLinePunct w:val="0"/>
        <w:bidi w:val="0"/>
        <w:snapToGrid/>
        <w:ind w:left="0" w:leftChars="0" w:firstLine="480" w:firstLineChars="200"/>
        <w:textAlignment w:val="auto"/>
        <w:rPr>
          <w:rFonts w:hint="eastAsia" w:cs="宋体"/>
          <w:color w:val="000000" w:themeColor="text1"/>
          <w:kern w:val="0"/>
          <w:sz w:val="24"/>
          <w:szCs w:val="24"/>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s="宋体"/>
          <w:color w:val="000000" w:themeColor="text1"/>
          <w:kern w:val="0"/>
          <w:sz w:val="24"/>
          <w:szCs w:val="24"/>
          <w14:textFill>
            <w14:solidFill>
              <w14:schemeClr w14:val="tx1"/>
            </w14:solidFill>
          </w14:textFill>
        </w:rPr>
        <w:t>签订合同后，</w:t>
      </w:r>
      <w:r>
        <w:rPr>
          <w:rFonts w:hint="eastAsia"/>
          <w:color w:val="000000" w:themeColor="text1"/>
          <w:kern w:val="0"/>
          <w:sz w:val="24"/>
          <w:szCs w:val="24"/>
          <w:u w:val="single"/>
          <w:lang w:val="en-US" w:eastAsia="zh-CN"/>
          <w14:textFill>
            <w14:solidFill>
              <w14:schemeClr w14:val="tx1"/>
            </w14:solidFill>
          </w14:textFill>
        </w:rPr>
        <w:t>30</w:t>
      </w:r>
      <w:r>
        <w:rPr>
          <w:rFonts w:hint="eastAsia" w:cs="宋体"/>
          <w:color w:val="000000" w:themeColor="text1"/>
          <w:kern w:val="0"/>
          <w:sz w:val="24"/>
          <w:szCs w:val="24"/>
          <w14:textFill>
            <w14:solidFill>
              <w14:schemeClr w14:val="tx1"/>
            </w14:solidFill>
          </w14:textFill>
        </w:rPr>
        <w:t>天内</w:t>
      </w:r>
      <w:r>
        <w:rPr>
          <w:rFonts w:hint="eastAsia" w:cs="宋体"/>
          <w:color w:val="000000" w:themeColor="text1"/>
          <w:kern w:val="0"/>
          <w:sz w:val="24"/>
          <w:szCs w:val="24"/>
          <w:lang w:eastAsia="zh-CN"/>
          <w14:textFill>
            <w14:solidFill>
              <w14:schemeClr w14:val="tx1"/>
            </w14:solidFill>
          </w14:textFill>
        </w:rPr>
        <w:t>完工</w:t>
      </w:r>
      <w:r>
        <w:rPr>
          <w:rFonts w:hint="eastAsia" w:cs="宋体"/>
          <w:color w:val="000000" w:themeColor="text1"/>
          <w:kern w:val="0"/>
          <w:sz w:val="24"/>
          <w:szCs w:val="24"/>
          <w14:textFill>
            <w14:solidFill>
              <w14:schemeClr w14:val="tx1"/>
            </w14:solidFill>
          </w14:textFill>
        </w:rPr>
        <w:t>交付使用。投标人予以特别注意：如出现未能</w:t>
      </w:r>
      <w:r>
        <w:rPr>
          <w:rFonts w:hint="eastAsia" w:cs="宋体"/>
          <w:color w:val="000000" w:themeColor="text1"/>
          <w:kern w:val="0"/>
          <w:sz w:val="24"/>
          <w:szCs w:val="24"/>
          <w:lang w:eastAsia="zh-CN"/>
          <w14:textFill>
            <w14:solidFill>
              <w14:schemeClr w14:val="tx1"/>
            </w14:solidFill>
          </w14:textFill>
        </w:rPr>
        <w:t>按期交付</w:t>
      </w:r>
      <w:r>
        <w:rPr>
          <w:rFonts w:hint="eastAsia" w:cs="宋体"/>
          <w:color w:val="000000" w:themeColor="text1"/>
          <w:kern w:val="0"/>
          <w:sz w:val="24"/>
          <w:szCs w:val="24"/>
          <w14:textFill>
            <w14:solidFill>
              <w14:schemeClr w14:val="tx1"/>
            </w14:solidFill>
          </w14:textFill>
        </w:rPr>
        <w:t>的情况，采购人有权单方终止合同的执行，所有的经济损失由逾期</w:t>
      </w:r>
      <w:r>
        <w:rPr>
          <w:rFonts w:hint="eastAsia" w:cs="宋体"/>
          <w:color w:val="000000" w:themeColor="text1"/>
          <w:kern w:val="0"/>
          <w:sz w:val="24"/>
          <w:szCs w:val="24"/>
          <w:lang w:eastAsia="zh-CN"/>
          <w14:textFill>
            <w14:solidFill>
              <w14:schemeClr w14:val="tx1"/>
            </w14:solidFill>
          </w14:textFill>
        </w:rPr>
        <w:t>投标人</w:t>
      </w:r>
      <w:r>
        <w:rPr>
          <w:rFonts w:hint="eastAsia" w:cs="宋体"/>
          <w:color w:val="000000" w:themeColor="text1"/>
          <w:kern w:val="0"/>
          <w:sz w:val="24"/>
          <w:szCs w:val="24"/>
          <w14:textFill>
            <w14:solidFill>
              <w14:schemeClr w14:val="tx1"/>
            </w14:solidFill>
          </w14:textFill>
        </w:rPr>
        <w:t>单方承担。</w:t>
      </w:r>
    </w:p>
    <w:p w14:paraId="02636F2B">
      <w:pPr>
        <w:pStyle w:val="15"/>
        <w:keepNext w:val="0"/>
        <w:keepLines w:val="0"/>
        <w:pageBreakBefore w:val="0"/>
        <w:kinsoku/>
        <w:wordWrap/>
        <w:overflowPunct/>
        <w:topLinePunct w:val="0"/>
        <w:bidi w:val="0"/>
        <w:snapToGrid/>
        <w:ind w:left="0" w:leftChars="0" w:firstLine="480" w:firstLineChars="200"/>
        <w:textAlignment w:val="auto"/>
        <w:rPr>
          <w:color w:val="000000" w:themeColor="text1"/>
          <w:kern w:val="0"/>
          <w:sz w:val="24"/>
          <w:szCs w:val="24"/>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4）施工地点</w:t>
      </w:r>
      <w:r>
        <w:rPr>
          <w:rFonts w:hint="eastAsia" w:cs="宋体"/>
          <w:color w:val="000000" w:themeColor="text1"/>
          <w:kern w:val="0"/>
          <w:sz w:val="24"/>
          <w:szCs w:val="24"/>
          <w14:textFill>
            <w14:solidFill>
              <w14:schemeClr w14:val="tx1"/>
            </w14:solidFill>
          </w14:textFill>
        </w:rPr>
        <w:t>为：</w:t>
      </w:r>
      <w:r>
        <w:rPr>
          <w:rFonts w:hint="eastAsia" w:cs="宋体"/>
          <w:color w:val="000000" w:themeColor="text1"/>
          <w:kern w:val="0"/>
          <w:sz w:val="24"/>
          <w:szCs w:val="24"/>
          <w:highlight w:val="none"/>
          <w14:textFill>
            <w14:solidFill>
              <w14:schemeClr w14:val="tx1"/>
            </w14:solidFill>
          </w14:textFill>
        </w:rPr>
        <w:t>广西壮族自治区桂东人民医院</w:t>
      </w:r>
      <w:r>
        <w:rPr>
          <w:color w:val="000000" w:themeColor="text1"/>
          <w:kern w:val="0"/>
          <w:sz w:val="24"/>
          <w:szCs w:val="24"/>
          <w:highlight w:val="none"/>
          <w14:textFill>
            <w14:solidFill>
              <w14:schemeClr w14:val="tx1"/>
            </w14:solidFill>
          </w14:textFill>
        </w:rPr>
        <w:t xml:space="preserve"> </w:t>
      </w:r>
      <w:r>
        <w:rPr>
          <w:color w:val="000000" w:themeColor="text1"/>
          <w:kern w:val="0"/>
          <w:sz w:val="24"/>
          <w:szCs w:val="24"/>
          <w14:textFill>
            <w14:solidFill>
              <w14:schemeClr w14:val="tx1"/>
            </w14:solidFill>
          </w14:textFill>
        </w:rPr>
        <w:t xml:space="preserve">  </w:t>
      </w:r>
    </w:p>
    <w:p w14:paraId="041F714C">
      <w:pPr>
        <w:pStyle w:val="15"/>
        <w:keepNext w:val="0"/>
        <w:keepLines w:val="0"/>
        <w:pageBreakBefore w:val="0"/>
        <w:numPr>
          <w:ilvl w:val="0"/>
          <w:numId w:val="0"/>
        </w:numPr>
        <w:kinsoku/>
        <w:wordWrap/>
        <w:overflowPunct/>
        <w:topLinePunct w:val="0"/>
        <w:bidi w:val="0"/>
        <w:snapToGrid/>
        <w:ind w:left="0" w:leftChars="0" w:firstLine="480" w:firstLineChars="200"/>
        <w:textAlignment w:val="auto"/>
        <w:rPr>
          <w:rFonts w:hint="eastAsia" w:ascii="Times New Roman" w:hAnsi="Times New Roman" w:eastAsia="宋体" w:cs="宋体"/>
          <w:kern w:val="0"/>
          <w:sz w:val="24"/>
          <w:szCs w:val="24"/>
        </w:rPr>
      </w:pPr>
      <w:r>
        <w:rPr>
          <w:rFonts w:hint="eastAsia" w:cs="宋体"/>
          <w:color w:val="000000"/>
          <w:kern w:val="0"/>
          <w:sz w:val="24"/>
          <w:szCs w:val="24"/>
          <w:lang w:val="en-US" w:eastAsia="zh-CN" w:bidi="ar-SA"/>
        </w:rPr>
        <w:t>5</w:t>
      </w:r>
      <w:r>
        <w:rPr>
          <w:rFonts w:hint="eastAsia" w:ascii="Times New Roman" w:hAnsi="Times New Roman" w:eastAsia="宋体" w:cs="宋体"/>
          <w:color w:val="000000"/>
          <w:kern w:val="0"/>
          <w:sz w:val="24"/>
          <w:szCs w:val="24"/>
          <w:lang w:val="en-US" w:eastAsia="zh-CN" w:bidi="ar-SA"/>
        </w:rPr>
        <w:t>）</w:t>
      </w:r>
      <w:r>
        <w:rPr>
          <w:rFonts w:hint="eastAsia"/>
          <w:b w:val="0"/>
          <w:bCs w:val="0"/>
          <w:kern w:val="0"/>
          <w:sz w:val="24"/>
          <w:szCs w:val="24"/>
          <w:lang w:val="en-US" w:eastAsia="zh-CN"/>
        </w:rPr>
        <w:t>付款条件（进度和方式）：</w:t>
      </w:r>
    </w:p>
    <w:p w14:paraId="1F156860">
      <w:pPr>
        <w:pStyle w:val="15"/>
        <w:keepNext w:val="0"/>
        <w:keepLines w:val="0"/>
        <w:pageBreakBefore w:val="0"/>
        <w:numPr>
          <w:ilvl w:val="0"/>
          <w:numId w:val="0"/>
        </w:numPr>
        <w:kinsoku/>
        <w:wordWrap/>
        <w:overflowPunct/>
        <w:topLinePunct w:val="0"/>
        <w:bidi w:val="0"/>
        <w:snapToGrid/>
        <w:ind w:left="0" w:leftChars="0" w:firstLine="480" w:firstLineChars="200"/>
        <w:textAlignment w:val="auto"/>
        <w:rPr>
          <w:rFonts w:hint="eastAsia" w:ascii="Times New Roman" w:hAnsi="Times New Roman" w:eastAsia="宋体" w:cs="宋体"/>
          <w:kern w:val="0"/>
          <w:sz w:val="24"/>
          <w:szCs w:val="24"/>
        </w:rPr>
      </w:pPr>
      <w:r>
        <w:rPr>
          <w:rFonts w:hint="eastAsia" w:cs="宋体"/>
          <w:kern w:val="0"/>
          <w:sz w:val="24"/>
          <w:szCs w:val="24"/>
          <w:lang w:eastAsia="zh-CN"/>
        </w:rPr>
        <w:t>分期付款：</w:t>
      </w:r>
      <w:r>
        <w:rPr>
          <w:rFonts w:hint="eastAsia" w:cs="宋体"/>
          <w:kern w:val="0"/>
          <w:sz w:val="24"/>
          <w:szCs w:val="24"/>
        </w:rPr>
        <w:t>签订合同后，</w:t>
      </w:r>
      <w:r>
        <w:rPr>
          <w:rFonts w:hint="eastAsia" w:cs="宋体"/>
          <w:kern w:val="0"/>
          <w:sz w:val="24"/>
          <w:szCs w:val="24"/>
          <w:lang w:eastAsia="zh-CN"/>
        </w:rPr>
        <w:t>施工完成</w:t>
      </w:r>
      <w:r>
        <w:rPr>
          <w:rFonts w:hint="eastAsia" w:cs="宋体"/>
          <w:kern w:val="0"/>
          <w:sz w:val="24"/>
          <w:szCs w:val="24"/>
        </w:rPr>
        <w:t>并验收合格后，凭双方签署验收合格书，</w:t>
      </w:r>
      <w:r>
        <w:rPr>
          <w:rFonts w:hint="eastAsia" w:cs="宋体"/>
          <w:kern w:val="0"/>
          <w:sz w:val="24"/>
          <w:szCs w:val="24"/>
          <w:lang w:eastAsia="zh-CN"/>
        </w:rPr>
        <w:t>甲方按照政府规定时间内支付，</w:t>
      </w:r>
      <w:r>
        <w:rPr>
          <w:rFonts w:hint="eastAsia" w:cs="宋体"/>
          <w:kern w:val="0"/>
          <w:sz w:val="24"/>
          <w:szCs w:val="24"/>
        </w:rPr>
        <w:t>第一期：甲方支付合同总金额的90%</w:t>
      </w:r>
      <w:r>
        <w:rPr>
          <w:rFonts w:hint="eastAsia" w:cs="宋体"/>
          <w:kern w:val="0"/>
          <w:sz w:val="24"/>
          <w:szCs w:val="24"/>
          <w:lang w:val="en-US" w:eastAsia="zh-CN"/>
        </w:rPr>
        <w:t xml:space="preserve"> ；</w:t>
      </w:r>
      <w:r>
        <w:rPr>
          <w:rFonts w:hint="eastAsia" w:cs="宋体"/>
          <w:kern w:val="0"/>
          <w:sz w:val="24"/>
          <w:szCs w:val="24"/>
        </w:rPr>
        <w:t>第二期：交付后十二个月，经乙方书面申请，甲方支付合同总金额的 10%（不计利息）</w:t>
      </w:r>
      <w:r>
        <w:rPr>
          <w:rFonts w:hint="eastAsia" w:ascii="Times New Roman" w:hAnsi="Times New Roman" w:eastAsia="宋体" w:cs="宋体"/>
          <w:kern w:val="0"/>
          <w:sz w:val="24"/>
          <w:szCs w:val="24"/>
          <w:lang w:val="en-US" w:eastAsia="zh-CN"/>
        </w:rPr>
        <w:t>承包人</w:t>
      </w:r>
      <w:r>
        <w:rPr>
          <w:rFonts w:hint="eastAsia" w:ascii="Times New Roman" w:hAnsi="Times New Roman" w:eastAsia="宋体" w:cs="宋体"/>
          <w:kern w:val="0"/>
          <w:sz w:val="24"/>
          <w:szCs w:val="24"/>
        </w:rPr>
        <w:t>收款后保修期内继续履行保修义务。</w:t>
      </w:r>
    </w:p>
    <w:p w14:paraId="32DF01DC">
      <w:pPr>
        <w:keepNext w:val="0"/>
        <w:keepLines w:val="0"/>
        <w:pageBreakBefore w:val="0"/>
        <w:widowControl/>
        <w:kinsoku/>
        <w:wordWrap/>
        <w:overflowPunct/>
        <w:topLinePunct w:val="0"/>
        <w:bidi w:val="0"/>
        <w:snapToGrid/>
        <w:spacing w:line="400" w:lineRule="exact"/>
        <w:ind w:left="0" w:leftChars="0" w:firstLine="480" w:firstLineChars="200"/>
        <w:jc w:val="left"/>
        <w:textAlignment w:val="auto"/>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2D2DC8C3">
      <w:pPr>
        <w:keepNext w:val="0"/>
        <w:keepLines w:val="0"/>
        <w:pageBreakBefore w:val="0"/>
        <w:widowControl/>
        <w:kinsoku/>
        <w:wordWrap/>
        <w:overflowPunct/>
        <w:topLinePunct w:val="0"/>
        <w:bidi w:val="0"/>
        <w:snapToGrid/>
        <w:spacing w:line="360" w:lineRule="auto"/>
        <w:ind w:left="0" w:leftChars="0" w:firstLine="482" w:firstLineChars="200"/>
        <w:jc w:val="left"/>
        <w:textAlignment w:val="auto"/>
        <w:rPr>
          <w:rFonts w:cs="宋体"/>
          <w:b/>
          <w:bCs/>
          <w:kern w:val="0"/>
          <w:sz w:val="28"/>
          <w:szCs w:val="28"/>
        </w:rPr>
      </w:pPr>
      <w:r>
        <w:rPr>
          <w:b/>
          <w:bCs/>
          <w:kern w:val="0"/>
          <w:sz w:val="24"/>
          <w:szCs w:val="24"/>
        </w:rPr>
        <w:t> </w:t>
      </w:r>
      <w:r>
        <w:rPr>
          <w:rFonts w:hint="eastAsia"/>
          <w:b/>
          <w:bCs/>
          <w:kern w:val="0"/>
          <w:sz w:val="28"/>
          <w:szCs w:val="28"/>
          <w:lang w:val="en-US" w:eastAsia="zh-CN"/>
        </w:rPr>
        <w:t>二</w:t>
      </w:r>
      <w:r>
        <w:rPr>
          <w:rFonts w:hint="eastAsia" w:cs="宋体"/>
          <w:b/>
          <w:bCs/>
          <w:kern w:val="0"/>
          <w:sz w:val="28"/>
          <w:szCs w:val="28"/>
        </w:rPr>
        <w:t>、合同签订</w:t>
      </w:r>
    </w:p>
    <w:p w14:paraId="6BDC4D1C">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val="en-US" w:eastAsia="zh-CN"/>
            </w:rPr>
            <w:t>15</w:t>
          </w:r>
        </w:sdtContent>
      </w:sdt>
      <w:r>
        <w:rPr>
          <w:rFonts w:hint="eastAsia" w:cs="宋体"/>
          <w:kern w:val="0"/>
          <w:sz w:val="24"/>
          <w:szCs w:val="24"/>
          <w:lang w:val="en-US" w:eastAsia="zh-CN"/>
        </w:rPr>
        <w:t>日</w:t>
      </w:r>
      <w:r>
        <w:rPr>
          <w:rFonts w:hint="eastAsia" w:cs="宋体"/>
          <w:kern w:val="0"/>
          <w:sz w:val="24"/>
          <w:szCs w:val="24"/>
        </w:rPr>
        <w:t>内签订采购合同。</w:t>
      </w:r>
    </w:p>
    <w:p w14:paraId="498C74F3">
      <w:pPr>
        <w:keepNext w:val="0"/>
        <w:keepLines w:val="0"/>
        <w:pageBreakBefore w:val="0"/>
        <w:widowControl/>
        <w:kinsoku/>
        <w:wordWrap/>
        <w:overflowPunct/>
        <w:topLinePunct w:val="0"/>
        <w:bidi w:val="0"/>
        <w:snapToGrid/>
        <w:spacing w:line="360" w:lineRule="auto"/>
        <w:ind w:left="0" w:leftChars="0" w:firstLine="562" w:firstLineChars="200"/>
        <w:jc w:val="left"/>
        <w:textAlignment w:val="auto"/>
        <w:rPr>
          <w:rFonts w:cs="宋体"/>
          <w:b/>
          <w:bCs/>
          <w:kern w:val="0"/>
          <w:sz w:val="28"/>
          <w:szCs w:val="28"/>
        </w:rPr>
      </w:pPr>
      <w:r>
        <w:rPr>
          <w:rFonts w:hint="eastAsia" w:cs="宋体"/>
          <w:b/>
          <w:bCs/>
          <w:kern w:val="0"/>
          <w:sz w:val="28"/>
          <w:szCs w:val="28"/>
          <w:lang w:val="en-US" w:eastAsia="zh-CN"/>
        </w:rPr>
        <w:t>三</w:t>
      </w:r>
      <w:bookmarkStart w:id="0" w:name="_GoBack"/>
      <w:bookmarkEnd w:id="0"/>
      <w:r>
        <w:rPr>
          <w:rFonts w:hint="eastAsia" w:cs="宋体"/>
          <w:b/>
          <w:bCs/>
          <w:kern w:val="0"/>
          <w:sz w:val="28"/>
          <w:szCs w:val="28"/>
        </w:rPr>
        <w:t>、特别说明</w:t>
      </w:r>
    </w:p>
    <w:p w14:paraId="29BE3B41">
      <w:pPr>
        <w:keepNext w:val="0"/>
        <w:keepLines w:val="0"/>
        <w:pageBreakBefore w:val="0"/>
        <w:widowControl/>
        <w:kinsoku/>
        <w:wordWrap/>
        <w:overflowPunct/>
        <w:topLinePunct w:val="0"/>
        <w:bidi w:val="0"/>
        <w:snapToGrid/>
        <w:spacing w:line="400" w:lineRule="exact"/>
        <w:ind w:left="0" w:leftChars="0" w:firstLine="480" w:firstLineChars="200"/>
        <w:jc w:val="left"/>
        <w:textAlignment w:val="auto"/>
        <w:rPr>
          <w:rFonts w:cs="宋体"/>
          <w:kern w:val="0"/>
          <w:sz w:val="24"/>
          <w:szCs w:val="24"/>
        </w:rPr>
      </w:pPr>
      <w:r>
        <w:rPr>
          <w:rFonts w:hint="eastAsia" w:cs="宋体"/>
          <w:kern w:val="0"/>
          <w:sz w:val="24"/>
          <w:szCs w:val="24"/>
        </w:rPr>
        <w:t>如果招标文件中对部分采购设备技术参数要求不详细，请各投标人在投标时补充说明。如投标人不作补充说明，广西壮族自治区桂东人民医院招标管理办公室将从有利于招标人的角度出发，认定其所报配置为可能存在情况的最高标准。</w:t>
      </w:r>
    </w:p>
    <w:p w14:paraId="6C272030">
      <w:pPr>
        <w:widowControl/>
        <w:jc w:val="center"/>
        <w:rPr>
          <w:rFonts w:hint="eastAsia" w:cs="宋体"/>
          <w:b/>
          <w:bCs/>
          <w:kern w:val="0"/>
          <w:sz w:val="38"/>
          <w:szCs w:val="38"/>
        </w:rPr>
      </w:pPr>
      <w:r>
        <w:rPr>
          <w:b/>
          <w:bCs/>
          <w:kern w:val="0"/>
        </w:rPr>
        <w:br w:type="page"/>
      </w:r>
      <w:r>
        <w:rPr>
          <w:rFonts w:hint="eastAsia" w:cs="宋体"/>
          <w:b/>
          <w:bCs/>
          <w:kern w:val="0"/>
          <w:sz w:val="38"/>
          <w:szCs w:val="38"/>
        </w:rPr>
        <w:t>第四章</w:t>
      </w:r>
      <w:r>
        <w:rPr>
          <w:rFonts w:cs="宋体"/>
          <w:b/>
          <w:bCs/>
          <w:kern w:val="0"/>
          <w:sz w:val="38"/>
          <w:szCs w:val="38"/>
        </w:rPr>
        <w:t xml:space="preserve">  </w:t>
      </w:r>
      <w:r>
        <w:rPr>
          <w:rFonts w:hint="eastAsia" w:cs="宋体"/>
          <w:b/>
          <w:bCs/>
          <w:kern w:val="0"/>
          <w:sz w:val="38"/>
          <w:szCs w:val="38"/>
        </w:rPr>
        <w:t>评标方法与评分标准</w:t>
      </w:r>
    </w:p>
    <w:p w14:paraId="01CAC10B">
      <w:pPr>
        <w:widowControl/>
        <w:spacing w:line="360" w:lineRule="auto"/>
        <w:ind w:firstLine="562" w:firstLineChars="200"/>
        <w:jc w:val="left"/>
        <w:rPr>
          <w:rFonts w:cs="宋体"/>
          <w:b/>
          <w:bCs/>
          <w:kern w:val="0"/>
          <w:sz w:val="28"/>
          <w:szCs w:val="28"/>
        </w:rPr>
      </w:pPr>
      <w:r>
        <w:rPr>
          <w:rFonts w:hint="eastAsia" w:cs="宋体"/>
          <w:b/>
          <w:bCs/>
          <w:kern w:val="0"/>
          <w:sz w:val="28"/>
          <w:szCs w:val="28"/>
        </w:rPr>
        <w:t>一、评标方法与定标原则</w:t>
      </w:r>
    </w:p>
    <w:p w14:paraId="2CA5B4DE">
      <w:pPr>
        <w:widowControl/>
        <w:spacing w:line="360" w:lineRule="auto"/>
        <w:ind w:firstLine="480" w:firstLineChars="200"/>
        <w:jc w:val="left"/>
        <w:rPr>
          <w:rFonts w:hint="eastAsia" w:cs="宋体"/>
          <w:kern w:val="0"/>
          <w:sz w:val="24"/>
          <w:szCs w:val="24"/>
        </w:rPr>
      </w:pPr>
      <w:r>
        <w:rPr>
          <w:rFonts w:hint="eastAsia" w:cs="宋体"/>
          <w:kern w:val="0"/>
          <w:sz w:val="24"/>
          <w:szCs w:val="24"/>
        </w:rPr>
        <w:t>评委会将对确定为实质性响应招标文件要求的投标文件进行评价和比较，评标方法采用</w:t>
      </w:r>
      <w:r>
        <w:rPr>
          <w:rFonts w:hint="eastAsia" w:cs="宋体"/>
          <w:kern w:val="0"/>
          <w:sz w:val="24"/>
          <w:szCs w:val="24"/>
          <w:lang w:val="en-US" w:eastAsia="zh-CN"/>
        </w:rPr>
        <w:t xml:space="preserve"> </w:t>
      </w:r>
      <w:r>
        <w:rPr>
          <w:rFonts w:hint="eastAsia" w:cs="宋体"/>
          <w:b/>
          <w:bCs/>
          <w:kern w:val="0"/>
          <w:sz w:val="24"/>
          <w:szCs w:val="24"/>
          <w:u w:val="single"/>
          <w:lang w:val="en-US" w:eastAsia="zh-CN"/>
        </w:rPr>
        <w:t xml:space="preserve"> 最低评标价法 </w:t>
      </w:r>
      <w:r>
        <w:rPr>
          <w:rFonts w:hint="eastAsia" w:cs="宋体"/>
          <w:kern w:val="0"/>
          <w:sz w:val="24"/>
          <w:szCs w:val="24"/>
        </w:rPr>
        <w:t>确定中标候选人。</w:t>
      </w:r>
    </w:p>
    <w:p w14:paraId="13B45921">
      <w:pPr>
        <w:pStyle w:val="15"/>
      </w:pPr>
    </w:p>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A43ED9"/>
    <w:rsid w:val="01CB43E2"/>
    <w:rsid w:val="02615DF0"/>
    <w:rsid w:val="03AA7192"/>
    <w:rsid w:val="03B56736"/>
    <w:rsid w:val="07E61381"/>
    <w:rsid w:val="094E71DE"/>
    <w:rsid w:val="097320CE"/>
    <w:rsid w:val="0A795D65"/>
    <w:rsid w:val="0AC96A33"/>
    <w:rsid w:val="0CC05EEA"/>
    <w:rsid w:val="0D440C9F"/>
    <w:rsid w:val="0DAB0B9B"/>
    <w:rsid w:val="0E6B1369"/>
    <w:rsid w:val="0E8C22E1"/>
    <w:rsid w:val="0ECE5049"/>
    <w:rsid w:val="0F1E6338"/>
    <w:rsid w:val="10C97A40"/>
    <w:rsid w:val="10EC6F96"/>
    <w:rsid w:val="111563A0"/>
    <w:rsid w:val="11AC7198"/>
    <w:rsid w:val="11B8652E"/>
    <w:rsid w:val="122B15C9"/>
    <w:rsid w:val="12713099"/>
    <w:rsid w:val="12C97D37"/>
    <w:rsid w:val="132C0C03"/>
    <w:rsid w:val="134C0C32"/>
    <w:rsid w:val="13620456"/>
    <w:rsid w:val="1461070D"/>
    <w:rsid w:val="157601E9"/>
    <w:rsid w:val="166F4544"/>
    <w:rsid w:val="17BF5E77"/>
    <w:rsid w:val="183D62D7"/>
    <w:rsid w:val="188C387F"/>
    <w:rsid w:val="199A3F43"/>
    <w:rsid w:val="1AC54F79"/>
    <w:rsid w:val="1B0B13D3"/>
    <w:rsid w:val="1B423B2F"/>
    <w:rsid w:val="1B513EBB"/>
    <w:rsid w:val="1C476000"/>
    <w:rsid w:val="1E3C69DA"/>
    <w:rsid w:val="1E622ABE"/>
    <w:rsid w:val="20B8405E"/>
    <w:rsid w:val="21B710F4"/>
    <w:rsid w:val="2218153E"/>
    <w:rsid w:val="22486A69"/>
    <w:rsid w:val="23720241"/>
    <w:rsid w:val="23CD191B"/>
    <w:rsid w:val="24215506"/>
    <w:rsid w:val="25237319"/>
    <w:rsid w:val="25773183"/>
    <w:rsid w:val="26431704"/>
    <w:rsid w:val="26CD4569"/>
    <w:rsid w:val="27D01D3D"/>
    <w:rsid w:val="27D34CA5"/>
    <w:rsid w:val="28110468"/>
    <w:rsid w:val="293A4A87"/>
    <w:rsid w:val="29451F54"/>
    <w:rsid w:val="2B2977C9"/>
    <w:rsid w:val="2CD07D87"/>
    <w:rsid w:val="2E44559E"/>
    <w:rsid w:val="301D1535"/>
    <w:rsid w:val="311834AF"/>
    <w:rsid w:val="318469E5"/>
    <w:rsid w:val="3194337D"/>
    <w:rsid w:val="35D22DC1"/>
    <w:rsid w:val="364A2958"/>
    <w:rsid w:val="36BD12F8"/>
    <w:rsid w:val="3737378F"/>
    <w:rsid w:val="37A367C3"/>
    <w:rsid w:val="3806606D"/>
    <w:rsid w:val="394D1C94"/>
    <w:rsid w:val="397701BE"/>
    <w:rsid w:val="3B2319C9"/>
    <w:rsid w:val="3B546CEC"/>
    <w:rsid w:val="3C335C3C"/>
    <w:rsid w:val="3D931088"/>
    <w:rsid w:val="3E5C2234"/>
    <w:rsid w:val="3E863CFD"/>
    <w:rsid w:val="3EA21DFC"/>
    <w:rsid w:val="3F08687D"/>
    <w:rsid w:val="3F6A2AD3"/>
    <w:rsid w:val="3F8769CB"/>
    <w:rsid w:val="41366ED0"/>
    <w:rsid w:val="42051E29"/>
    <w:rsid w:val="42B65983"/>
    <w:rsid w:val="42E26649"/>
    <w:rsid w:val="4401689D"/>
    <w:rsid w:val="45A27E9E"/>
    <w:rsid w:val="467558CA"/>
    <w:rsid w:val="484D14FE"/>
    <w:rsid w:val="48A33F94"/>
    <w:rsid w:val="48D85C25"/>
    <w:rsid w:val="493C4382"/>
    <w:rsid w:val="49A95790"/>
    <w:rsid w:val="4A6022F2"/>
    <w:rsid w:val="4C1C5576"/>
    <w:rsid w:val="4C3E6663"/>
    <w:rsid w:val="4CD9638C"/>
    <w:rsid w:val="4D442BFB"/>
    <w:rsid w:val="4D781BD4"/>
    <w:rsid w:val="4DA009DA"/>
    <w:rsid w:val="4DA97E72"/>
    <w:rsid w:val="4DB9683E"/>
    <w:rsid w:val="4F3D41BA"/>
    <w:rsid w:val="50502E0F"/>
    <w:rsid w:val="505226DD"/>
    <w:rsid w:val="510D69EB"/>
    <w:rsid w:val="51794369"/>
    <w:rsid w:val="51B2246F"/>
    <w:rsid w:val="52DB33FF"/>
    <w:rsid w:val="539906F6"/>
    <w:rsid w:val="551A16F7"/>
    <w:rsid w:val="55846458"/>
    <w:rsid w:val="55D712FC"/>
    <w:rsid w:val="56166EA6"/>
    <w:rsid w:val="57783371"/>
    <w:rsid w:val="589150FF"/>
    <w:rsid w:val="591470C9"/>
    <w:rsid w:val="59575208"/>
    <w:rsid w:val="5C797243"/>
    <w:rsid w:val="5D1A4465"/>
    <w:rsid w:val="5DCD43FF"/>
    <w:rsid w:val="5E761C8C"/>
    <w:rsid w:val="5ECE3876"/>
    <w:rsid w:val="5FFD63C3"/>
    <w:rsid w:val="62DE3608"/>
    <w:rsid w:val="635822A8"/>
    <w:rsid w:val="64894564"/>
    <w:rsid w:val="64CA4726"/>
    <w:rsid w:val="64E060B2"/>
    <w:rsid w:val="65706B30"/>
    <w:rsid w:val="65984CC3"/>
    <w:rsid w:val="67110F5A"/>
    <w:rsid w:val="67EF0C5A"/>
    <w:rsid w:val="6A513DD5"/>
    <w:rsid w:val="6AAA1424"/>
    <w:rsid w:val="6BF540D9"/>
    <w:rsid w:val="6CA20189"/>
    <w:rsid w:val="6CB6534E"/>
    <w:rsid w:val="6DD0797D"/>
    <w:rsid w:val="6E1A0EFE"/>
    <w:rsid w:val="71754026"/>
    <w:rsid w:val="727A5D97"/>
    <w:rsid w:val="734A39BD"/>
    <w:rsid w:val="73A11102"/>
    <w:rsid w:val="74A52756"/>
    <w:rsid w:val="74B5471E"/>
    <w:rsid w:val="7719062B"/>
    <w:rsid w:val="77E41C8F"/>
    <w:rsid w:val="77FF632E"/>
    <w:rsid w:val="7A90451F"/>
    <w:rsid w:val="7B036868"/>
    <w:rsid w:val="7B14665D"/>
    <w:rsid w:val="7C743097"/>
    <w:rsid w:val="7CA13F21"/>
    <w:rsid w:val="7CA915F3"/>
    <w:rsid w:val="7D741635"/>
    <w:rsid w:val="7D843D95"/>
    <w:rsid w:val="7F9F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widowControl/>
      <w:jc w:val="center"/>
      <w:outlineLvl w:val="0"/>
    </w:pPr>
    <w:rPr>
      <w:rFonts w:ascii="黑体" w:eastAsia="黑体"/>
      <w:kern w:val="0"/>
      <w:sz w:val="5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Cs w:val="20"/>
    </w:rPr>
  </w:style>
  <w:style w:type="paragraph" w:styleId="4">
    <w:name w:val="annotation text"/>
    <w:basedOn w:val="1"/>
    <w:link w:val="17"/>
    <w:qFormat/>
    <w:uiPriority w:val="99"/>
    <w:pPr>
      <w:jc w:val="left"/>
    </w:pPr>
  </w:style>
  <w:style w:type="paragraph" w:styleId="5">
    <w:name w:val="Body Text"/>
    <w:basedOn w:val="1"/>
    <w:next w:val="1"/>
    <w:qFormat/>
    <w:uiPriority w:val="0"/>
    <w:pPr>
      <w:jc w:val="center"/>
    </w:pPr>
    <w:rPr>
      <w:sz w:val="52"/>
    </w:rPr>
  </w:style>
  <w:style w:type="paragraph" w:styleId="6">
    <w:name w:val="Plain Text"/>
    <w:basedOn w:val="1"/>
    <w:next w:val="1"/>
    <w:link w:val="19"/>
    <w:qFormat/>
    <w:uiPriority w:val="99"/>
    <w:rPr>
      <w:rFonts w:ascii="宋体" w:hAnsi="Courier New"/>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4"/>
    <w:next w:val="4"/>
    <w:link w:val="18"/>
    <w:semiHidden/>
    <w:unhideWhenUsed/>
    <w:qFormat/>
    <w:uiPriority w:val="99"/>
    <w:rPr>
      <w:b/>
      <w:bCs/>
    </w:rPr>
  </w:style>
  <w:style w:type="table" w:styleId="12">
    <w:name w:val="Table Grid"/>
    <w:basedOn w:val="1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semiHidden/>
    <w:qFormat/>
    <w:uiPriority w:val="99"/>
    <w:rPr>
      <w:sz w:val="21"/>
      <w:szCs w:val="21"/>
    </w:rPr>
  </w:style>
  <w:style w:type="paragraph" w:customStyle="1" w:styleId="15">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6">
    <w:name w:val="批注文字 字符"/>
    <w:basedOn w:val="13"/>
    <w:qFormat/>
    <w:uiPriority w:val="99"/>
    <w:rPr>
      <w:rFonts w:ascii="Times New Roman" w:hAnsi="Times New Roman" w:eastAsia="宋体" w:cs="Times New Roman"/>
      <w:szCs w:val="21"/>
    </w:rPr>
  </w:style>
  <w:style w:type="character" w:customStyle="1" w:styleId="17">
    <w:name w:val="批注文字 字符1"/>
    <w:link w:val="4"/>
    <w:semiHidden/>
    <w:qFormat/>
    <w:uiPriority w:val="99"/>
    <w:rPr>
      <w:rFonts w:ascii="Times New Roman" w:hAnsi="Times New Roman" w:eastAsia="宋体" w:cs="Times New Roman"/>
      <w:szCs w:val="21"/>
    </w:rPr>
  </w:style>
  <w:style w:type="character" w:customStyle="1" w:styleId="18">
    <w:name w:val="批注主题 字符"/>
    <w:basedOn w:val="17"/>
    <w:link w:val="10"/>
    <w:semiHidden/>
    <w:qFormat/>
    <w:uiPriority w:val="99"/>
    <w:rPr>
      <w:rFonts w:ascii="Times New Roman" w:hAnsi="Times New Roman" w:eastAsia="宋体" w:cs="Times New Roman"/>
      <w:b/>
      <w:bCs/>
      <w:szCs w:val="21"/>
    </w:rPr>
  </w:style>
  <w:style w:type="character" w:customStyle="1" w:styleId="19">
    <w:name w:val="纯文本 字符"/>
    <w:basedOn w:val="13"/>
    <w:link w:val="6"/>
    <w:qFormat/>
    <w:uiPriority w:val="99"/>
    <w:rPr>
      <w:rFonts w:ascii="宋体" w:hAnsi="Courier New" w:eastAsia="宋体" w:cs="Times New Roman"/>
      <w:szCs w:val="21"/>
    </w:rPr>
  </w:style>
  <w:style w:type="paragraph" w:customStyle="1" w:styleId="20">
    <w:name w:val="表格文字"/>
    <w:basedOn w:val="1"/>
    <w:qFormat/>
    <w:uiPriority w:val="0"/>
    <w:pPr>
      <w:spacing w:before="25" w:after="25"/>
      <w:jc w:val="left"/>
    </w:pPr>
    <w:rPr>
      <w:rFonts w:ascii="Calibri" w:hAnsi="Calibri"/>
      <w:bCs/>
      <w:spacing w:val="10"/>
      <w:kern w:val="0"/>
      <w:sz w:val="24"/>
      <w:szCs w:val="20"/>
    </w:rPr>
  </w:style>
  <w:style w:type="character" w:customStyle="1" w:styleId="21">
    <w:name w:val="fontstyle01"/>
    <w:qFormat/>
    <w:uiPriority w:val="0"/>
    <w:rPr>
      <w:rFonts w:hint="eastAsia" w:ascii="宋体" w:hAnsi="宋体" w:eastAsia="宋体"/>
      <w:color w:val="000000"/>
      <w:sz w:val="24"/>
      <w:szCs w:val="24"/>
    </w:rPr>
  </w:style>
  <w:style w:type="character" w:customStyle="1" w:styleId="22">
    <w:name w:val="页眉 字符"/>
    <w:basedOn w:val="13"/>
    <w:link w:val="8"/>
    <w:qFormat/>
    <w:uiPriority w:val="99"/>
    <w:rPr>
      <w:rFonts w:ascii="Times New Roman" w:hAnsi="Times New Roman" w:eastAsia="宋体" w:cs="Times New Roman"/>
      <w:sz w:val="18"/>
      <w:szCs w:val="18"/>
    </w:rPr>
  </w:style>
  <w:style w:type="character" w:customStyle="1" w:styleId="23">
    <w:name w:val="页脚 字符"/>
    <w:basedOn w:val="13"/>
    <w:link w:val="7"/>
    <w:qFormat/>
    <w:uiPriority w:val="99"/>
    <w:rPr>
      <w:rFonts w:ascii="Times New Roman" w:hAnsi="Times New Roman" w:eastAsia="宋体" w:cs="Times New Roman"/>
      <w:sz w:val="18"/>
      <w:szCs w:val="18"/>
    </w:rPr>
  </w:style>
  <w:style w:type="character" w:styleId="24">
    <w:name w:val="Placeholder Text"/>
    <w:basedOn w:val="13"/>
    <w:semiHidden/>
    <w:qFormat/>
    <w:uiPriority w:val="99"/>
    <w:rPr>
      <w:color w:val="808080"/>
    </w:rPr>
  </w:style>
  <w:style w:type="paragraph" w:customStyle="1" w:styleId="25">
    <w:name w:val="样式1"/>
    <w:basedOn w:val="1"/>
    <w:qFormat/>
    <w:uiPriority w:val="0"/>
  </w:style>
  <w:style w:type="character" w:customStyle="1" w:styleId="26">
    <w:name w:val="font51"/>
    <w:basedOn w:val="13"/>
    <w:qFormat/>
    <w:uiPriority w:val="0"/>
    <w:rPr>
      <w:rFonts w:ascii="Arial" w:hAnsi="Arial" w:cs="Arial"/>
      <w:color w:val="000000"/>
      <w:sz w:val="20"/>
      <w:szCs w:val="20"/>
      <w:u w:val="none"/>
    </w:rPr>
  </w:style>
  <w:style w:type="character" w:customStyle="1" w:styleId="27">
    <w:name w:val="font31"/>
    <w:basedOn w:val="13"/>
    <w:qFormat/>
    <w:uiPriority w:val="0"/>
    <w:rPr>
      <w:rFonts w:hint="eastAsia" w:ascii="宋体" w:hAnsi="宋体" w:eastAsia="宋体" w:cs="宋体"/>
      <w:color w:val="000000"/>
      <w:sz w:val="20"/>
      <w:szCs w:val="20"/>
      <w:u w:val="none"/>
    </w:rPr>
  </w:style>
  <w:style w:type="paragraph" w:customStyle="1" w:styleId="28">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1478</Words>
  <Characters>1609</Characters>
  <Lines>26</Lines>
  <Paragraphs>7</Paragraphs>
  <TotalTime>0</TotalTime>
  <ScaleCrop>false</ScaleCrop>
  <LinksUpToDate>false</LinksUpToDate>
  <CharactersWithSpaces>1829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2026-03-25T00:35:38Z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23637E07A7AE4B2C8F75AC909B71DFCE_13</vt:lpwstr>
  </property>
  <property fmtid="{D5CDD505-2E9C-101B-9397-08002B2CF9AE}" pid="4" name="KSOTemplateDocerSaveRecord">
    <vt:lpwstr>eyJoZGlkIjoiOTZkZDVmNzBiZGNiZTJiMTNjOTFhZTJiYjI4ZWQ4OTAiLCJ1c2VySWQiOiI0MzU5NDIxNTAifQ==</vt:lpwstr>
  </property>
</Properties>
</file>