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FEF14">
      <w:pPr>
        <w:snapToGrid w:val="0"/>
        <w:ind w:firstLine="3080" w:firstLineChars="1100"/>
        <w:rPr>
          <w:rFonts w:hint="eastAsia" w:ascii="仿宋" w:hAnsi="仿宋" w:eastAsia="仿宋" w:cs="仿宋"/>
          <w:bCs/>
          <w:sz w:val="28"/>
          <w:lang w:val="en-US" w:eastAsia="zh-CN"/>
        </w:rPr>
      </w:pPr>
      <w:r>
        <w:rPr>
          <w:rFonts w:hint="eastAsia" w:ascii="仿宋" w:hAnsi="仿宋" w:eastAsia="仿宋" w:cs="仿宋"/>
          <w:bCs/>
          <w:sz w:val="28"/>
          <w:lang w:val="en-US" w:eastAsia="zh-CN"/>
        </w:rPr>
        <w:t>电梯维保服务合同</w:t>
      </w:r>
    </w:p>
    <w:p w14:paraId="35F95FD6">
      <w:pPr>
        <w:snapToGrid w:val="0"/>
        <w:ind w:firstLine="3080" w:firstLineChars="1100"/>
        <w:rPr>
          <w:rFonts w:hint="default" w:ascii="仿宋" w:hAnsi="仿宋" w:eastAsia="仿宋" w:cs="仿宋"/>
          <w:bCs/>
          <w:sz w:val="28"/>
          <w:lang w:val="en-US" w:eastAsia="zh-CN"/>
        </w:rPr>
      </w:pPr>
      <w:bookmarkStart w:id="0" w:name="_GoBack"/>
      <w:bookmarkEnd w:id="0"/>
    </w:p>
    <w:p w14:paraId="36059B25">
      <w:pPr>
        <w:snapToGrid w:val="0"/>
        <w:spacing w:line="360" w:lineRule="exact"/>
        <w:ind w:left="420" w:hanging="420" w:hangingChars="200"/>
        <w:rPr>
          <w:rFonts w:ascii="宋体" w:hAnsi="宋体" w:cs="仿宋"/>
          <w:bCs/>
          <w:szCs w:val="21"/>
          <w:u w:val="single"/>
        </w:rPr>
      </w:pPr>
      <w:r>
        <w:rPr>
          <w:rFonts w:hint="eastAsia" w:ascii="宋体" w:hAnsi="宋体" w:cs="仿宋"/>
          <w:bCs/>
          <w:szCs w:val="21"/>
          <w:lang w:bidi="ar"/>
        </w:rPr>
        <w:t>采购单位（甲方）：</w:t>
      </w:r>
      <w:r>
        <w:rPr>
          <w:rFonts w:hint="eastAsia" w:ascii="宋体" w:hAnsi="宋体" w:cs="仿宋"/>
          <w:bCs/>
          <w:szCs w:val="21"/>
          <w:u w:val="single"/>
          <w:lang w:bidi="ar"/>
        </w:rPr>
        <w:t xml:space="preserve">   </w:t>
      </w:r>
      <w:r>
        <w:rPr>
          <w:rFonts w:hint="eastAsia" w:ascii="宋体" w:hAnsi="宋体"/>
          <w:szCs w:val="21"/>
          <w:u w:val="single"/>
          <w:lang w:eastAsia="zh-CN"/>
        </w:rPr>
        <w:t>广西壮族自治区桂东人民</w:t>
      </w:r>
      <w:r>
        <w:rPr>
          <w:rFonts w:hint="eastAsia" w:ascii="宋体" w:hAnsi="宋体"/>
          <w:szCs w:val="21"/>
          <w:u w:val="single"/>
        </w:rPr>
        <w:t>医院</w:t>
      </w:r>
      <w:r>
        <w:rPr>
          <w:rFonts w:hint="eastAsia" w:ascii="宋体" w:hAnsi="宋体" w:cs="仿宋"/>
          <w:bCs/>
          <w:szCs w:val="21"/>
          <w:u w:val="single"/>
          <w:lang w:bidi="ar"/>
        </w:rPr>
        <w:t xml:space="preserve">  </w:t>
      </w:r>
      <w:r>
        <w:rPr>
          <w:rFonts w:hint="eastAsia" w:ascii="宋体" w:hAnsi="宋体" w:cs="仿宋"/>
          <w:bCs/>
          <w:szCs w:val="21"/>
          <w:lang w:bidi="ar"/>
        </w:rPr>
        <w:t xml:space="preserve">    </w:t>
      </w:r>
    </w:p>
    <w:p w14:paraId="2002518E">
      <w:pPr>
        <w:snapToGrid w:val="0"/>
        <w:spacing w:line="360" w:lineRule="exact"/>
        <w:ind w:left="420" w:hanging="420" w:hangingChars="200"/>
        <w:rPr>
          <w:rFonts w:hint="eastAsia" w:ascii="宋体" w:hAnsi="宋体" w:cs="仿宋"/>
          <w:bCs/>
          <w:szCs w:val="21"/>
          <w:lang w:bidi="ar"/>
        </w:rPr>
      </w:pPr>
      <w:r>
        <w:rPr>
          <w:rFonts w:hint="eastAsia" w:ascii="宋体" w:hAnsi="宋体" w:cs="仿宋"/>
          <w:bCs/>
          <w:szCs w:val="21"/>
          <w:lang w:bidi="ar"/>
        </w:rPr>
        <w:t>中标供应商（乙方）：</w:t>
      </w:r>
      <w:r>
        <w:rPr>
          <w:rFonts w:hint="eastAsia" w:ascii="宋体" w:hAnsi="宋体" w:cs="仿宋"/>
          <w:bCs/>
          <w:szCs w:val="21"/>
          <w:u w:val="single"/>
          <w:lang w:bidi="ar"/>
        </w:rPr>
        <w:t xml:space="preserve">                          </w:t>
      </w:r>
      <w:r>
        <w:rPr>
          <w:rFonts w:hint="eastAsia" w:ascii="宋体" w:hAnsi="宋体" w:cs="仿宋"/>
          <w:bCs/>
          <w:szCs w:val="21"/>
          <w:lang w:bidi="ar"/>
        </w:rPr>
        <w:t xml:space="preserve">      </w:t>
      </w:r>
    </w:p>
    <w:p w14:paraId="7938280E">
      <w:pPr>
        <w:snapToGrid w:val="0"/>
        <w:spacing w:line="360" w:lineRule="exact"/>
        <w:ind w:left="420" w:hanging="420" w:hangingChars="200"/>
        <w:rPr>
          <w:rFonts w:ascii="宋体" w:hAnsi="宋体" w:cs="仿宋"/>
          <w:bCs/>
          <w:szCs w:val="21"/>
          <w:u w:val="single"/>
        </w:rPr>
      </w:pPr>
      <w:r>
        <w:rPr>
          <w:rFonts w:hint="eastAsia" w:ascii="宋体" w:hAnsi="宋体" w:cs="仿宋"/>
          <w:bCs/>
          <w:szCs w:val="21"/>
          <w:lang w:bidi="ar"/>
        </w:rPr>
        <w:t>项目名称</w:t>
      </w:r>
      <w:r>
        <w:rPr>
          <w:rFonts w:hint="eastAsia" w:ascii="宋体" w:hAnsi="宋体" w:cs="仿宋"/>
          <w:bCs/>
          <w:szCs w:val="21"/>
          <w:lang w:eastAsia="zh-CN" w:bidi="ar"/>
        </w:rPr>
        <w:t>：</w:t>
      </w:r>
      <w:r>
        <w:rPr>
          <w:rFonts w:hint="eastAsia" w:ascii="宋体" w:hAnsi="宋体" w:cs="仿宋"/>
          <w:bCs/>
          <w:szCs w:val="21"/>
          <w:u w:val="single"/>
          <w:lang w:val="en-US" w:eastAsia="zh-CN" w:bidi="ar"/>
        </w:rPr>
        <w:t xml:space="preserve">                         </w:t>
      </w:r>
      <w:r>
        <w:rPr>
          <w:rFonts w:hint="eastAsia" w:ascii="宋体" w:hAnsi="宋体" w:cs="仿宋"/>
          <w:bCs/>
          <w:szCs w:val="21"/>
          <w:u w:val="none"/>
          <w:lang w:val="en-US" w:eastAsia="zh-CN" w:bidi="ar"/>
        </w:rPr>
        <w:t xml:space="preserve">                 项目</w:t>
      </w:r>
      <w:r>
        <w:rPr>
          <w:rFonts w:hint="eastAsia" w:ascii="宋体" w:hAnsi="宋体" w:cs="仿宋"/>
          <w:bCs/>
          <w:szCs w:val="21"/>
          <w:lang w:bidi="ar"/>
        </w:rPr>
        <w:t>编号：</w:t>
      </w:r>
      <w:r>
        <w:rPr>
          <w:rFonts w:hint="eastAsia" w:ascii="宋体" w:hAnsi="宋体" w:cs="仿宋"/>
          <w:bCs/>
          <w:szCs w:val="21"/>
          <w:u w:val="single"/>
          <w:lang w:bidi="ar"/>
        </w:rPr>
        <w:t xml:space="preserve">         </w:t>
      </w:r>
    </w:p>
    <w:p w14:paraId="25DC72FA">
      <w:pPr>
        <w:snapToGrid w:val="0"/>
        <w:spacing w:line="360" w:lineRule="exact"/>
        <w:ind w:left="420" w:hanging="420" w:hangingChars="200"/>
        <w:rPr>
          <w:rFonts w:ascii="宋体" w:hAnsi="宋体" w:cs="仿宋"/>
          <w:bCs/>
          <w:szCs w:val="21"/>
          <w:u w:val="single"/>
        </w:rPr>
      </w:pPr>
      <w:r>
        <w:rPr>
          <w:rFonts w:hint="eastAsia" w:ascii="宋体" w:hAnsi="宋体" w:cs="仿宋"/>
          <w:bCs/>
          <w:szCs w:val="21"/>
          <w:lang w:bidi="ar"/>
        </w:rPr>
        <w:t>签订地点：</w:t>
      </w:r>
      <w:r>
        <w:rPr>
          <w:rFonts w:hint="eastAsia" w:ascii="宋体" w:hAnsi="宋体" w:cs="仿宋"/>
          <w:bCs/>
          <w:szCs w:val="21"/>
          <w:u w:val="single"/>
          <w:lang w:bidi="ar"/>
        </w:rPr>
        <w:t xml:space="preserve"> </w:t>
      </w:r>
      <w:r>
        <w:rPr>
          <w:rFonts w:hint="eastAsia" w:ascii="宋体" w:hAnsi="宋体"/>
          <w:szCs w:val="21"/>
          <w:u w:val="single"/>
          <w:lang w:eastAsia="zh-CN"/>
        </w:rPr>
        <w:t>广西壮族自治区桂东人民</w:t>
      </w:r>
      <w:r>
        <w:rPr>
          <w:rFonts w:hint="eastAsia" w:ascii="宋体" w:hAnsi="宋体"/>
          <w:szCs w:val="21"/>
          <w:u w:val="single"/>
        </w:rPr>
        <w:t xml:space="preserve">医院 </w:t>
      </w:r>
      <w:r>
        <w:rPr>
          <w:rFonts w:hint="eastAsia" w:ascii="宋体" w:hAnsi="宋体" w:cs="仿宋"/>
          <w:bCs/>
          <w:szCs w:val="21"/>
          <w:u w:val="single"/>
          <w:lang w:bidi="ar"/>
        </w:rPr>
        <w:t xml:space="preserve">    </w:t>
      </w:r>
      <w:r>
        <w:rPr>
          <w:rFonts w:hint="eastAsia" w:ascii="宋体" w:hAnsi="宋体" w:cs="仿宋"/>
          <w:bCs/>
          <w:szCs w:val="21"/>
          <w:lang w:bidi="ar"/>
        </w:rPr>
        <w:t xml:space="preserve">     </w:t>
      </w:r>
      <w:r>
        <w:rPr>
          <w:rFonts w:hint="eastAsia" w:ascii="宋体" w:hAnsi="宋体" w:cs="仿宋"/>
          <w:bCs/>
          <w:szCs w:val="21"/>
          <w:lang w:val="en-US" w:eastAsia="zh-CN" w:bidi="ar"/>
        </w:rPr>
        <w:t xml:space="preserve">     </w:t>
      </w:r>
      <w:r>
        <w:rPr>
          <w:rFonts w:hint="eastAsia" w:ascii="宋体" w:hAnsi="宋体" w:cs="仿宋"/>
          <w:bCs/>
          <w:szCs w:val="21"/>
          <w:lang w:bidi="ar"/>
        </w:rPr>
        <w:t>签订时间：</w:t>
      </w:r>
      <w:r>
        <w:rPr>
          <w:rFonts w:hint="eastAsia" w:ascii="宋体" w:hAnsi="宋体" w:cs="仿宋"/>
          <w:bCs/>
          <w:szCs w:val="21"/>
          <w:u w:val="single"/>
          <w:lang w:bidi="ar"/>
        </w:rPr>
        <w:t xml:space="preserve">          </w:t>
      </w:r>
    </w:p>
    <w:p w14:paraId="520723B1">
      <w:pPr>
        <w:snapToGrid w:val="0"/>
        <w:spacing w:line="360" w:lineRule="exact"/>
        <w:ind w:left="420" w:hanging="420" w:hangingChars="200"/>
        <w:rPr>
          <w:rFonts w:ascii="宋体" w:hAnsi="宋体" w:cs="仿宋"/>
          <w:bCs/>
          <w:szCs w:val="21"/>
        </w:rPr>
      </w:pPr>
    </w:p>
    <w:p w14:paraId="61731793">
      <w:pPr>
        <w:snapToGrid w:val="0"/>
        <w:spacing w:line="360" w:lineRule="exact"/>
        <w:ind w:firstLine="424" w:firstLineChars="202"/>
        <w:rPr>
          <w:rFonts w:ascii="宋体" w:hAnsi="宋体" w:cs="仿宋"/>
          <w:bCs/>
          <w:szCs w:val="21"/>
        </w:rPr>
      </w:pPr>
      <w:r>
        <w:rPr>
          <w:rFonts w:hint="eastAsia" w:ascii="宋体" w:hAnsi="宋体" w:cs="仿宋"/>
          <w:bCs/>
          <w:szCs w:val="21"/>
          <w:lang w:bidi="ar"/>
        </w:rPr>
        <w:t>根据《中华人民共和国政府采购法》、《中华人民共和国民法典》等法律、法规规定，按照竞争性磋商文件规定条款和成交供应商承诺，甲乙双方签订本合同。</w:t>
      </w:r>
    </w:p>
    <w:p w14:paraId="2F9F60D4">
      <w:pPr>
        <w:snapToGrid w:val="0"/>
        <w:spacing w:line="360" w:lineRule="exact"/>
        <w:ind w:left="422" w:hanging="422" w:hangingChars="200"/>
        <w:rPr>
          <w:rFonts w:ascii="宋体" w:hAnsi="宋体" w:cs="仿宋"/>
          <w:b/>
          <w:szCs w:val="21"/>
        </w:rPr>
      </w:pPr>
      <w:r>
        <w:rPr>
          <w:rFonts w:hint="eastAsia" w:ascii="宋体" w:hAnsi="宋体" w:cs="仿宋"/>
          <w:b/>
          <w:szCs w:val="21"/>
          <w:lang w:bidi="ar"/>
        </w:rPr>
        <w:t>第一条  合同标的</w:t>
      </w:r>
    </w:p>
    <w:p w14:paraId="312D4234">
      <w:pPr>
        <w:snapToGrid w:val="0"/>
        <w:spacing w:line="360" w:lineRule="exact"/>
        <w:ind w:left="420" w:hanging="420" w:hangingChars="200"/>
        <w:rPr>
          <w:rFonts w:ascii="宋体" w:hAnsi="宋体" w:cs="仿宋"/>
          <w:bCs/>
          <w:szCs w:val="21"/>
        </w:rPr>
      </w:pPr>
      <w:r>
        <w:rPr>
          <w:rFonts w:hint="eastAsia" w:ascii="宋体" w:hAnsi="宋体" w:cs="仿宋"/>
          <w:bCs/>
          <w:szCs w:val="21"/>
          <w:lang w:bidi="ar"/>
        </w:rPr>
        <w:t>1、项目一览表</w:t>
      </w:r>
    </w:p>
    <w:tbl>
      <w:tblPr>
        <w:tblStyle w:val="1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798"/>
        <w:gridCol w:w="1276"/>
        <w:gridCol w:w="1134"/>
        <w:gridCol w:w="992"/>
        <w:gridCol w:w="1134"/>
        <w:gridCol w:w="1559"/>
      </w:tblGrid>
      <w:tr w14:paraId="41EE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BF5923E">
            <w:pPr>
              <w:spacing w:line="360" w:lineRule="auto"/>
              <w:jc w:val="center"/>
              <w:rPr>
                <w:rFonts w:ascii="宋体" w:hAnsi="宋体" w:cs="宋体"/>
                <w:szCs w:val="21"/>
              </w:rPr>
            </w:pPr>
            <w:r>
              <w:rPr>
                <w:rFonts w:hint="eastAsia" w:ascii="宋体" w:hAnsi="宋体" w:cs="宋体"/>
                <w:szCs w:val="21"/>
              </w:rPr>
              <w:t>序号</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0F02BB05">
            <w:pPr>
              <w:spacing w:line="360" w:lineRule="auto"/>
              <w:jc w:val="center"/>
              <w:rPr>
                <w:rFonts w:ascii="宋体" w:hAnsi="宋体" w:cs="宋体"/>
                <w:szCs w:val="21"/>
              </w:rPr>
            </w:pPr>
            <w:r>
              <w:rPr>
                <w:rFonts w:hint="eastAsia" w:ascii="宋体" w:hAnsi="宋体" w:cs="宋体"/>
                <w:szCs w:val="21"/>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30E01E9">
            <w:pPr>
              <w:spacing w:line="360" w:lineRule="auto"/>
              <w:jc w:val="center"/>
              <w:rPr>
                <w:rFonts w:ascii="宋体" w:hAnsi="宋体" w:cs="宋体"/>
                <w:szCs w:val="21"/>
              </w:rPr>
            </w:pPr>
            <w:r>
              <w:rPr>
                <w:rFonts w:hint="eastAsia" w:ascii="宋体" w:hAnsi="宋体" w:cs="宋体"/>
                <w:szCs w:val="21"/>
              </w:rPr>
              <w:t>服务内容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F1E1AD">
            <w:pPr>
              <w:spacing w:line="360" w:lineRule="auto"/>
              <w:jc w:val="center"/>
              <w:rPr>
                <w:rFonts w:ascii="宋体" w:hAnsi="宋体" w:cs="宋体"/>
                <w:szCs w:val="21"/>
              </w:rPr>
            </w:pPr>
            <w:r>
              <w:rPr>
                <w:rFonts w:hint="eastAsia" w:ascii="宋体" w:hAnsi="宋体" w:cs="宋体"/>
                <w:szCs w:val="21"/>
              </w:rPr>
              <w:t>数量</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F26A5C7">
            <w:pPr>
              <w:spacing w:line="360" w:lineRule="auto"/>
              <w:jc w:val="center"/>
              <w:rPr>
                <w:rFonts w:ascii="宋体" w:hAnsi="宋体" w:cs="宋体"/>
                <w:szCs w:val="21"/>
              </w:rPr>
            </w:pPr>
            <w:r>
              <w:rPr>
                <w:rFonts w:hint="eastAsia" w:ascii="宋体" w:hAnsi="宋体" w:cs="宋体"/>
                <w:szCs w:val="21"/>
              </w:rPr>
              <w:t>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75286D">
            <w:pPr>
              <w:spacing w:line="360" w:lineRule="auto"/>
              <w:jc w:val="center"/>
              <w:rPr>
                <w:rFonts w:ascii="宋体" w:hAnsi="宋体" w:cs="宋体"/>
                <w:szCs w:val="21"/>
              </w:rPr>
            </w:pPr>
            <w:r>
              <w:rPr>
                <w:rFonts w:hint="eastAsia" w:ascii="宋体" w:hAnsi="宋体" w:cs="宋体"/>
                <w:szCs w:val="21"/>
              </w:rPr>
              <w:t>单  价</w:t>
            </w:r>
          </w:p>
          <w:p w14:paraId="2EAA07FF">
            <w:pPr>
              <w:spacing w:line="360" w:lineRule="auto"/>
              <w:jc w:val="center"/>
              <w:rPr>
                <w:rFonts w:ascii="宋体" w:hAnsi="宋体" w:cs="宋体"/>
                <w:szCs w:val="21"/>
              </w:rPr>
            </w:pPr>
            <w:r>
              <w:rPr>
                <w:rFonts w:hint="eastAsia" w:ascii="宋体" w:hAnsi="宋体" w:cs="宋体"/>
                <w:szCs w:val="21"/>
              </w:rPr>
              <w:t>（元）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1CEFE31">
            <w:pPr>
              <w:spacing w:line="360" w:lineRule="auto"/>
              <w:jc w:val="center"/>
              <w:rPr>
                <w:rFonts w:ascii="宋体" w:hAnsi="宋体" w:cs="宋体"/>
                <w:szCs w:val="21"/>
              </w:rPr>
            </w:pPr>
            <w:r>
              <w:rPr>
                <w:rFonts w:hint="eastAsia" w:ascii="宋体" w:hAnsi="宋体" w:cs="宋体"/>
                <w:szCs w:val="21"/>
              </w:rPr>
              <w:t>总  价</w:t>
            </w:r>
          </w:p>
          <w:p w14:paraId="5E465F3D">
            <w:pPr>
              <w:spacing w:line="360" w:lineRule="auto"/>
              <w:jc w:val="center"/>
              <w:rPr>
                <w:rFonts w:ascii="宋体" w:hAnsi="宋体" w:cs="宋体"/>
                <w:szCs w:val="21"/>
              </w:rPr>
            </w:pPr>
            <w:r>
              <w:rPr>
                <w:rFonts w:hint="eastAsia" w:ascii="宋体" w:hAnsi="宋体" w:cs="宋体"/>
                <w:szCs w:val="21"/>
              </w:rPr>
              <w:t>（元）</w:t>
            </w:r>
          </w:p>
        </w:tc>
      </w:tr>
      <w:tr w14:paraId="4EBE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F81010D">
            <w:pPr>
              <w:spacing w:line="360" w:lineRule="auto"/>
              <w:jc w:val="center"/>
              <w:rPr>
                <w:rFonts w:ascii="宋体" w:hAnsi="宋体" w:cs="宋体"/>
                <w:szCs w:val="21"/>
              </w:rPr>
            </w:pPr>
            <w:r>
              <w:rPr>
                <w:rFonts w:hint="eastAsia" w:ascii="宋体" w:hAnsi="宋体" w:cs="宋体"/>
                <w:szCs w:val="21"/>
              </w:rPr>
              <w:t>1</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0F12E570">
            <w:pPr>
              <w:spacing w:line="360" w:lineRule="auto"/>
              <w:jc w:val="center"/>
              <w:rPr>
                <w:rFonts w:ascii="宋体" w:hAnsi="宋体" w:cs="宋体"/>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EEFC318">
            <w:pPr>
              <w:spacing w:line="360" w:lineRule="auto"/>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8FECB1">
            <w:pPr>
              <w:spacing w:line="360" w:lineRule="auto"/>
              <w:jc w:val="center"/>
              <w:rPr>
                <w:rFonts w:ascii="宋体" w:hAnsi="宋体" w:cs="宋体"/>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DE97831">
            <w:pPr>
              <w:spacing w:line="360" w:lineRule="auto"/>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3BF949">
            <w:pPr>
              <w:spacing w:line="360" w:lineRule="auto"/>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3503A8A">
            <w:pPr>
              <w:spacing w:line="360" w:lineRule="auto"/>
              <w:jc w:val="center"/>
              <w:rPr>
                <w:rFonts w:ascii="宋体" w:hAnsi="宋体" w:cs="宋体"/>
                <w:szCs w:val="21"/>
              </w:rPr>
            </w:pPr>
          </w:p>
        </w:tc>
      </w:tr>
      <w:tr w14:paraId="65CF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613" w:type="dxa"/>
            <w:gridSpan w:val="7"/>
            <w:tcBorders>
              <w:top w:val="single" w:color="auto" w:sz="4" w:space="0"/>
              <w:left w:val="single" w:color="auto" w:sz="4" w:space="0"/>
              <w:bottom w:val="single" w:color="auto" w:sz="4" w:space="0"/>
              <w:right w:val="single" w:color="auto" w:sz="4" w:space="0"/>
            </w:tcBorders>
            <w:noWrap w:val="0"/>
            <w:vAlign w:val="center"/>
          </w:tcPr>
          <w:p w14:paraId="77E50BF8">
            <w:pPr>
              <w:spacing w:line="360" w:lineRule="auto"/>
              <w:jc w:val="center"/>
              <w:rPr>
                <w:rFonts w:ascii="宋体" w:hAnsi="宋体" w:cs="宋体"/>
                <w:szCs w:val="21"/>
              </w:rPr>
            </w:pPr>
            <w:r>
              <w:rPr>
                <w:rFonts w:hint="eastAsia" w:ascii="宋体" w:hAnsi="宋体" w:cs="宋体"/>
                <w:szCs w:val="21"/>
              </w:rPr>
              <w:t>详见数量及设备情况</w:t>
            </w:r>
          </w:p>
        </w:tc>
      </w:tr>
      <w:tr w14:paraId="274A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613" w:type="dxa"/>
            <w:gridSpan w:val="7"/>
            <w:tcBorders>
              <w:top w:val="single" w:color="auto" w:sz="4" w:space="0"/>
              <w:left w:val="single" w:color="auto" w:sz="4" w:space="0"/>
              <w:bottom w:val="single" w:color="auto" w:sz="4" w:space="0"/>
              <w:right w:val="single" w:color="auto" w:sz="4" w:space="0"/>
            </w:tcBorders>
            <w:noWrap w:val="0"/>
            <w:vAlign w:val="center"/>
          </w:tcPr>
          <w:p w14:paraId="6A047AB5">
            <w:pPr>
              <w:spacing w:line="360" w:lineRule="auto"/>
              <w:rPr>
                <w:rFonts w:ascii="宋体" w:hAnsi="宋体" w:cs="宋体"/>
                <w:szCs w:val="21"/>
              </w:rPr>
            </w:pPr>
            <w:r>
              <w:rPr>
                <w:rFonts w:hint="eastAsia" w:ascii="宋体" w:hAnsi="宋体" w:cs="宋体"/>
                <w:szCs w:val="21"/>
              </w:rPr>
              <w:t xml:space="preserve">人民币合计金额（大写）：    </w:t>
            </w:r>
          </w:p>
        </w:tc>
      </w:tr>
    </w:tbl>
    <w:p w14:paraId="7EA113B5">
      <w:pPr>
        <w:snapToGrid w:val="0"/>
        <w:spacing w:line="360" w:lineRule="exact"/>
        <w:ind w:firstLine="420" w:firstLineChars="200"/>
        <w:rPr>
          <w:rFonts w:hint="eastAsia" w:ascii="宋体" w:hAnsi="宋体" w:cs="仿宋"/>
          <w:bCs/>
          <w:szCs w:val="21"/>
          <w:lang w:bidi="ar"/>
        </w:rPr>
      </w:pPr>
      <w:r>
        <w:rPr>
          <w:rFonts w:hint="eastAsia" w:ascii="宋体" w:hAnsi="宋体" w:cs="仿宋"/>
          <w:bCs/>
          <w:szCs w:val="21"/>
          <w:lang w:bidi="ar"/>
        </w:rPr>
        <w:t>2、合同合计金额包括实施本项目所需的所有费用，包含采购、货物（含设备零配件及系统升级、维保等）、制造、改造、包装、运输、劳务、维护、保养、耗材、差旅、管理、利润、税金、保险、协调、装卸、调试、培训、售后服务费用、迁移（含迁移后的计量检测费用）、更换重要配件后的计量检测费用以及相关文件规定及合同包含的所有风险、责任等各项应有费用。如竞争性磋商文件对其另有规定的，从其规定。</w:t>
      </w:r>
    </w:p>
    <w:p w14:paraId="0DDE1924">
      <w:pPr>
        <w:snapToGrid w:val="0"/>
        <w:spacing w:line="360" w:lineRule="exact"/>
        <w:ind w:firstLine="420" w:firstLineChars="200"/>
        <w:rPr>
          <w:rFonts w:hint="eastAsia" w:ascii="宋体" w:hAnsi="宋体" w:cs="仿宋"/>
          <w:bCs/>
          <w:szCs w:val="21"/>
          <w:lang w:bidi="ar"/>
        </w:rPr>
      </w:pPr>
      <w:r>
        <w:rPr>
          <w:rFonts w:hint="eastAsia" w:ascii="宋体" w:hAnsi="宋体" w:cs="仿宋"/>
          <w:bCs/>
          <w:szCs w:val="21"/>
          <w:lang w:bidi="ar"/>
        </w:rPr>
        <w:t>3、本合同执行的标准、规范：电梯维护保养规则（TSG T5002-2017)、《电梯制造与安装安全规范》（GB7588）的相关规定。</w:t>
      </w:r>
    </w:p>
    <w:p w14:paraId="3F31AF71">
      <w:pPr>
        <w:snapToGrid w:val="0"/>
        <w:spacing w:line="360" w:lineRule="exact"/>
        <w:ind w:left="422" w:hanging="422" w:hangingChars="200"/>
        <w:rPr>
          <w:rFonts w:ascii="宋体" w:hAnsi="宋体" w:cs="仿宋"/>
          <w:b/>
          <w:szCs w:val="21"/>
          <w:lang w:bidi="ar"/>
        </w:rPr>
      </w:pPr>
      <w:r>
        <w:rPr>
          <w:rFonts w:hint="eastAsia" w:ascii="宋体" w:hAnsi="宋体" w:cs="仿宋"/>
          <w:b/>
          <w:szCs w:val="21"/>
          <w:lang w:bidi="ar"/>
        </w:rPr>
        <w:t>第二条  质量保证</w:t>
      </w:r>
    </w:p>
    <w:p w14:paraId="6E55D8AE">
      <w:pPr>
        <w:snapToGrid w:val="0"/>
        <w:spacing w:line="360" w:lineRule="exact"/>
        <w:ind w:left="2" w:firstLine="342" w:firstLineChars="163"/>
        <w:rPr>
          <w:rFonts w:ascii="宋体" w:hAnsi="宋体" w:cs="仿宋"/>
          <w:bCs/>
          <w:szCs w:val="21"/>
          <w:lang w:bidi="ar"/>
        </w:rPr>
      </w:pPr>
      <w:r>
        <w:rPr>
          <w:rFonts w:hint="eastAsia" w:ascii="宋体" w:hAnsi="宋体" w:cs="仿宋"/>
          <w:bCs/>
          <w:szCs w:val="21"/>
          <w:lang w:bidi="ar"/>
        </w:rPr>
        <w:t>乙方所提供的服务及伴随的货物（含设备零配件及系统升级、维保等），提供的全部配件、产品（包括球管、探测器等）必须是原厂、原装、全新的，并提供相关证明文件；有国家强制性标准的，必须符合国家强制性标准的规定，没有国家强制性标准但有其他强制性标准的，必须符合其他强制性标准的规定。相关标准适用就高不就低。</w:t>
      </w:r>
    </w:p>
    <w:p w14:paraId="0A3E3462">
      <w:pPr>
        <w:snapToGrid w:val="0"/>
        <w:spacing w:line="360" w:lineRule="exact"/>
        <w:ind w:left="422" w:hanging="422" w:hangingChars="200"/>
        <w:rPr>
          <w:rFonts w:ascii="宋体" w:hAnsi="宋体" w:cs="仿宋"/>
          <w:b/>
          <w:szCs w:val="21"/>
          <w:lang w:bidi="ar"/>
        </w:rPr>
      </w:pPr>
      <w:r>
        <w:rPr>
          <w:rFonts w:hint="eastAsia" w:ascii="宋体" w:hAnsi="宋体" w:cs="仿宋"/>
          <w:b/>
          <w:szCs w:val="21"/>
          <w:lang w:bidi="ar"/>
        </w:rPr>
        <w:t>第三条  权利保证</w:t>
      </w:r>
    </w:p>
    <w:p w14:paraId="277132B0">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1、乙方应保证所提供服务及伴随的货物（含设备零配件及系统升级、维保等），在使用时不会侵犯任何第三方的专利权、商标权、工业设计权等知识产权及其他合法权利，且所有权、处分权等没有受到任何限制。</w:t>
      </w:r>
    </w:p>
    <w:p w14:paraId="6A6BE88A">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7F2AB473">
      <w:pPr>
        <w:snapToGrid w:val="0"/>
        <w:spacing w:line="360" w:lineRule="exact"/>
        <w:ind w:left="422" w:hanging="422" w:hangingChars="200"/>
        <w:rPr>
          <w:rFonts w:ascii="宋体" w:hAnsi="宋体" w:cs="仿宋"/>
          <w:b/>
          <w:szCs w:val="21"/>
          <w:lang w:bidi="ar"/>
        </w:rPr>
      </w:pPr>
      <w:r>
        <w:rPr>
          <w:rFonts w:hint="eastAsia" w:ascii="宋体" w:hAnsi="宋体" w:cs="仿宋"/>
          <w:b/>
          <w:szCs w:val="21"/>
          <w:lang w:bidi="ar"/>
        </w:rPr>
        <w:t>第四条　交付和验收</w:t>
      </w:r>
    </w:p>
    <w:p w14:paraId="7F06CEEB">
      <w:pPr>
        <w:snapToGrid w:val="0"/>
        <w:spacing w:line="360" w:lineRule="exact"/>
        <w:ind w:firstLine="424" w:firstLineChars="202"/>
        <w:rPr>
          <w:rFonts w:ascii="宋体" w:hAnsi="宋体" w:cs="仿宋"/>
          <w:bCs/>
          <w:szCs w:val="21"/>
          <w:lang w:bidi="ar"/>
        </w:rPr>
      </w:pPr>
      <w:r>
        <w:rPr>
          <w:rFonts w:hint="eastAsia" w:ascii="宋体" w:hAnsi="宋体" w:cs="仿宋"/>
          <w:szCs w:val="21"/>
          <w:lang w:bidi="ar"/>
        </w:rPr>
        <w:t>1</w:t>
      </w:r>
      <w:r>
        <w:rPr>
          <w:rFonts w:hint="eastAsia" w:ascii="宋体" w:hAnsi="宋体" w:cs="仿宋"/>
          <w:bCs/>
          <w:szCs w:val="21"/>
          <w:lang w:bidi="ar"/>
        </w:rPr>
        <w:t>、服务期限：202</w:t>
      </w:r>
      <w:r>
        <w:rPr>
          <w:rFonts w:hint="eastAsia" w:ascii="宋体" w:hAnsi="宋体" w:cs="仿宋"/>
          <w:bCs/>
          <w:szCs w:val="21"/>
          <w:lang w:val="en-US" w:eastAsia="zh-CN" w:bidi="ar"/>
        </w:rPr>
        <w:t>6</w:t>
      </w:r>
      <w:r>
        <w:rPr>
          <w:rFonts w:hint="eastAsia" w:ascii="宋体" w:hAnsi="宋体" w:cs="仿宋"/>
          <w:bCs/>
          <w:szCs w:val="21"/>
          <w:lang w:bidi="ar"/>
        </w:rPr>
        <w:t>年</w:t>
      </w:r>
      <w:r>
        <w:rPr>
          <w:rFonts w:hint="eastAsia" w:ascii="宋体" w:hAnsi="宋体" w:cs="仿宋"/>
          <w:bCs/>
          <w:szCs w:val="21"/>
          <w:u w:val="single"/>
          <w:lang w:bidi="ar"/>
        </w:rPr>
        <w:t xml:space="preserve">     </w:t>
      </w:r>
      <w:r>
        <w:rPr>
          <w:rFonts w:hint="eastAsia" w:ascii="宋体" w:hAnsi="宋体" w:cs="仿宋"/>
          <w:bCs/>
          <w:szCs w:val="21"/>
          <w:lang w:bidi="ar"/>
        </w:rPr>
        <w:t>月</w:t>
      </w:r>
      <w:r>
        <w:rPr>
          <w:rFonts w:hint="eastAsia" w:ascii="宋体" w:hAnsi="宋体" w:cs="仿宋"/>
          <w:bCs/>
          <w:szCs w:val="21"/>
          <w:u w:val="single"/>
          <w:lang w:bidi="ar"/>
        </w:rPr>
        <w:t xml:space="preserve">     </w:t>
      </w:r>
      <w:r>
        <w:rPr>
          <w:rFonts w:hint="eastAsia" w:ascii="宋体" w:hAnsi="宋体" w:cs="仿宋"/>
          <w:bCs/>
          <w:szCs w:val="21"/>
          <w:lang w:bidi="ar"/>
        </w:rPr>
        <w:t>日至202</w:t>
      </w:r>
      <w:r>
        <w:rPr>
          <w:rFonts w:hint="eastAsia" w:ascii="宋体" w:hAnsi="宋体" w:cs="仿宋"/>
          <w:bCs/>
          <w:szCs w:val="21"/>
          <w:lang w:val="en-US" w:eastAsia="zh-CN" w:bidi="ar"/>
        </w:rPr>
        <w:t>7</w:t>
      </w:r>
      <w:r>
        <w:rPr>
          <w:rFonts w:hint="eastAsia" w:ascii="宋体" w:hAnsi="宋体" w:cs="仿宋"/>
          <w:bCs/>
          <w:szCs w:val="21"/>
          <w:lang w:bidi="ar"/>
        </w:rPr>
        <w:t>年</w:t>
      </w:r>
      <w:r>
        <w:rPr>
          <w:rFonts w:hint="eastAsia" w:ascii="宋体" w:hAnsi="宋体" w:cs="仿宋"/>
          <w:bCs/>
          <w:szCs w:val="21"/>
          <w:u w:val="single"/>
          <w:lang w:bidi="ar"/>
        </w:rPr>
        <w:t xml:space="preserve">     </w:t>
      </w:r>
      <w:r>
        <w:rPr>
          <w:rFonts w:hint="eastAsia" w:ascii="宋体" w:hAnsi="宋体" w:cs="仿宋"/>
          <w:bCs/>
          <w:szCs w:val="21"/>
          <w:lang w:bidi="ar"/>
        </w:rPr>
        <w:t>月</w:t>
      </w:r>
      <w:r>
        <w:rPr>
          <w:rFonts w:hint="eastAsia" w:ascii="宋体" w:hAnsi="宋体" w:cs="仿宋"/>
          <w:bCs/>
          <w:szCs w:val="21"/>
          <w:u w:val="single"/>
          <w:lang w:bidi="ar"/>
        </w:rPr>
        <w:t xml:space="preserve">     </w:t>
      </w:r>
      <w:r>
        <w:rPr>
          <w:rFonts w:hint="eastAsia" w:ascii="宋体" w:hAnsi="宋体" w:cs="仿宋"/>
          <w:bCs/>
          <w:szCs w:val="21"/>
          <w:lang w:bidi="ar"/>
        </w:rPr>
        <w:t>日，乙方为甲方提供</w:t>
      </w:r>
      <w:r>
        <w:rPr>
          <w:rFonts w:hint="eastAsia" w:ascii="宋体" w:hAnsi="宋体" w:cs="仿宋"/>
          <w:bCs/>
          <w:szCs w:val="21"/>
          <w:lang w:val="en-US" w:eastAsia="zh-CN" w:bidi="ar"/>
        </w:rPr>
        <w:t>14</w:t>
      </w:r>
      <w:r>
        <w:rPr>
          <w:rFonts w:hint="eastAsia" w:ascii="宋体" w:hAnsi="宋体" w:cs="仿宋"/>
          <w:bCs/>
          <w:szCs w:val="21"/>
          <w:lang w:bidi="ar"/>
        </w:rPr>
        <w:t>台电梯日常维护保养及24小时应急维保和救援服务；服务地点：甲方指定地点。</w:t>
      </w:r>
    </w:p>
    <w:p w14:paraId="1EC74FAA">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2、乙方应按响应文件的承诺向甲方提供相应的服务及伴随的货物（含设备零配件及系统升级、维保等），并提供所服务及伴随的货物（含设备零配件及系统升级、维保等）的相关技术资料。</w:t>
      </w:r>
    </w:p>
    <w:p w14:paraId="464BAE2E">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3、乙方提供不符合响应文件和本合同规定的服务成果，甲方有权拒绝接受。</w:t>
      </w:r>
    </w:p>
    <w:p w14:paraId="5FDEC835">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36E4B3C9">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5、甲乙双方应按照《广西壮族自治区政府采购项目履约验收管理办法》、双方合同、响应文件验收。</w:t>
      </w:r>
    </w:p>
    <w:p w14:paraId="53B003BD">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6、甲方在初步验收或者最终验收过程中如发现乙方提供的服务成果不满足响应文件及本合同规定的，可暂缓向乙方付款，直到乙方及时完善并提交相应的服务成果且经甲方验收合格后，方可办理付款。</w:t>
      </w:r>
    </w:p>
    <w:p w14:paraId="4C8D7727">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7、甲方验收时以书面形式提出异议的，乙方应自收到甲方书面异议后五个工作日内及时予以解决，否则甲方有权不出具服务验收合格单。</w:t>
      </w:r>
    </w:p>
    <w:p w14:paraId="145E4116">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8、每次维修、保养或检测服务结束后，乙方应当主动向甲方提供服务工单或书面检测报告，服务工单及书面检测报告需经甲方相关科室工作人员和设备科工程师共同签字确认。</w:t>
      </w:r>
    </w:p>
    <w:p w14:paraId="1E373316">
      <w:pPr>
        <w:snapToGrid w:val="0"/>
        <w:spacing w:line="360" w:lineRule="exact"/>
        <w:ind w:left="422" w:hanging="422" w:hangingChars="200"/>
        <w:rPr>
          <w:rFonts w:ascii="宋体" w:hAnsi="宋体" w:cs="仿宋"/>
          <w:b/>
          <w:szCs w:val="21"/>
          <w:lang w:bidi="ar"/>
        </w:rPr>
      </w:pPr>
      <w:r>
        <w:rPr>
          <w:rFonts w:hint="eastAsia" w:ascii="宋体" w:hAnsi="宋体" w:cs="仿宋"/>
          <w:b/>
          <w:szCs w:val="21"/>
          <w:lang w:bidi="ar"/>
        </w:rPr>
        <w:t>第五条  售后服务及培训</w:t>
      </w:r>
    </w:p>
    <w:p w14:paraId="70D20F46">
      <w:pPr>
        <w:snapToGrid w:val="0"/>
        <w:spacing w:line="360" w:lineRule="exact"/>
        <w:ind w:firstLine="424" w:firstLineChars="202"/>
        <w:rPr>
          <w:rFonts w:ascii="宋体" w:hAnsi="宋体" w:cs="仿宋"/>
          <w:bCs/>
          <w:szCs w:val="21"/>
          <w:lang w:bidi="ar"/>
        </w:rPr>
      </w:pPr>
      <w:r>
        <w:rPr>
          <w:rFonts w:hint="eastAsia" w:ascii="宋体" w:hAnsi="宋体" w:cs="仿宋"/>
          <w:szCs w:val="21"/>
          <w:lang w:bidi="ar"/>
        </w:rPr>
        <w:t>1</w:t>
      </w:r>
      <w:r>
        <w:rPr>
          <w:rFonts w:hint="eastAsia" w:ascii="宋体" w:hAnsi="宋体" w:cs="仿宋"/>
          <w:bCs/>
          <w:szCs w:val="21"/>
          <w:lang w:bidi="ar"/>
        </w:rPr>
        <w:t>、乙方应按照国家有关法律法规和本合同所附的《售后服务承诺》要求为甲方提供相应的售后服务。</w:t>
      </w:r>
    </w:p>
    <w:p w14:paraId="5B8DB2E3">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2、甲方应提供必要测试条件（如场地、电源、水源等）。</w:t>
      </w:r>
    </w:p>
    <w:p w14:paraId="307D70E7">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3、乙方负责甲方有关人员的培训。培训时间、地点：  甲方另行指定   。</w:t>
      </w:r>
    </w:p>
    <w:p w14:paraId="11F4DD17">
      <w:pPr>
        <w:snapToGrid w:val="0"/>
        <w:spacing w:line="360" w:lineRule="auto"/>
        <w:ind w:left="422" w:hanging="422" w:hangingChars="200"/>
        <w:rPr>
          <w:rFonts w:hint="eastAsia" w:ascii="宋体" w:hAnsi="宋体" w:cs="仿宋"/>
          <w:b/>
          <w:szCs w:val="21"/>
          <w:lang w:bidi="ar"/>
        </w:rPr>
      </w:pPr>
      <w:r>
        <w:rPr>
          <w:rFonts w:hint="eastAsia" w:ascii="宋体" w:hAnsi="宋体" w:cs="仿宋"/>
          <w:b/>
          <w:szCs w:val="21"/>
          <w:lang w:bidi="ar"/>
        </w:rPr>
        <w:t>第六条  服务期限及服务费</w:t>
      </w:r>
    </w:p>
    <w:p w14:paraId="3264BFD4">
      <w:pPr>
        <w:snapToGrid w:val="0"/>
        <w:spacing w:line="360" w:lineRule="exact"/>
        <w:ind w:firstLine="424" w:firstLineChars="202"/>
        <w:rPr>
          <w:rFonts w:hint="default" w:ascii="宋体" w:hAnsi="宋体" w:eastAsia="宋体" w:cs="仿宋"/>
          <w:bCs/>
          <w:szCs w:val="21"/>
          <w:lang w:val="en-US" w:eastAsia="zh-CN" w:bidi="ar"/>
        </w:rPr>
      </w:pPr>
      <w:r>
        <w:rPr>
          <w:rFonts w:hint="eastAsia" w:ascii="宋体" w:hAnsi="宋体" w:cs="仿宋"/>
          <w:bCs/>
          <w:szCs w:val="21"/>
          <w:lang w:bidi="ar"/>
        </w:rPr>
        <w:t>1、乙方负责甲方院区</w:t>
      </w:r>
      <w:r>
        <w:rPr>
          <w:rFonts w:hint="eastAsia" w:ascii="宋体" w:hAnsi="宋体" w:cs="仿宋"/>
          <w:bCs/>
          <w:szCs w:val="21"/>
          <w:lang w:val="en-US" w:eastAsia="zh-CN" w:bidi="ar"/>
        </w:rPr>
        <w:t>14</w:t>
      </w:r>
      <w:r>
        <w:rPr>
          <w:rFonts w:hint="eastAsia" w:ascii="宋体" w:hAnsi="宋体" w:cs="仿宋"/>
          <w:bCs/>
          <w:szCs w:val="21"/>
          <w:lang w:bidi="ar"/>
        </w:rPr>
        <w:t>台电梯的维护保养工作，数量及设备情况</w:t>
      </w:r>
      <w:r>
        <w:rPr>
          <w:rFonts w:hint="eastAsia" w:ascii="宋体" w:hAnsi="宋体" w:cs="仿宋"/>
          <w:bCs/>
          <w:szCs w:val="21"/>
          <w:lang w:val="en-US" w:eastAsia="zh-CN" w:bidi="ar"/>
        </w:rPr>
        <w:t>如下：</w:t>
      </w:r>
    </w:p>
    <w:tbl>
      <w:tblPr>
        <w:tblStyle w:val="12"/>
        <w:tblW w:w="7190" w:type="dxa"/>
        <w:tblInd w:w="250" w:type="dxa"/>
        <w:tblLayout w:type="fixed"/>
        <w:tblCellMar>
          <w:top w:w="0" w:type="dxa"/>
          <w:left w:w="108" w:type="dxa"/>
          <w:bottom w:w="0" w:type="dxa"/>
          <w:right w:w="108" w:type="dxa"/>
        </w:tblCellMar>
      </w:tblPr>
      <w:tblGrid>
        <w:gridCol w:w="1167"/>
        <w:gridCol w:w="3104"/>
        <w:gridCol w:w="2919"/>
      </w:tblGrid>
      <w:tr w14:paraId="7DBB731B">
        <w:tblPrEx>
          <w:tblCellMar>
            <w:top w:w="0" w:type="dxa"/>
            <w:left w:w="108" w:type="dxa"/>
            <w:bottom w:w="0" w:type="dxa"/>
            <w:right w:w="108" w:type="dxa"/>
          </w:tblCellMar>
        </w:tblPrEx>
        <w:trPr>
          <w:trHeight w:val="485"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291192B5">
            <w:pPr>
              <w:widowControl/>
              <w:textAlignment w:val="center"/>
              <w:rPr>
                <w:rFonts w:ascii="宋体" w:hAnsi="宋体" w:cs="宋体"/>
                <w:color w:val="000000"/>
              </w:rPr>
            </w:pPr>
            <w:r>
              <w:rPr>
                <w:rFonts w:hint="eastAsia" w:ascii="宋体" w:hAnsi="宋体" w:cs="宋体"/>
                <w:color w:val="000000"/>
              </w:rPr>
              <w:t>序号</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7680DD2B">
            <w:pPr>
              <w:jc w:val="center"/>
              <w:textAlignment w:val="center"/>
              <w:rPr>
                <w:rFonts w:ascii="宋体" w:hAnsi="宋体" w:cs="宋体"/>
                <w:color w:val="000000"/>
              </w:rPr>
            </w:pPr>
            <w:r>
              <w:rPr>
                <w:rFonts w:hint="eastAsia" w:ascii="宋体" w:hAnsi="宋体" w:cs="宋体"/>
                <w:color w:val="000000"/>
                <w:kern w:val="0"/>
              </w:rPr>
              <w:t>电梯名称</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565A359C">
            <w:pPr>
              <w:widowControl/>
              <w:textAlignment w:val="center"/>
              <w:rPr>
                <w:rFonts w:ascii="宋体" w:hAnsi="宋体" w:cs="宋体"/>
                <w:color w:val="000000"/>
              </w:rPr>
            </w:pPr>
            <w:r>
              <w:rPr>
                <w:rFonts w:hint="eastAsia" w:ascii="宋体" w:hAnsi="宋体" w:cs="宋体"/>
                <w:color w:val="000000"/>
                <w:kern w:val="0"/>
              </w:rPr>
              <w:t>层站数/提升高度</w:t>
            </w:r>
          </w:p>
        </w:tc>
      </w:tr>
      <w:tr w14:paraId="660E0CC6">
        <w:tblPrEx>
          <w:tblCellMar>
            <w:top w:w="0" w:type="dxa"/>
            <w:left w:w="108" w:type="dxa"/>
            <w:bottom w:w="0" w:type="dxa"/>
            <w:right w:w="108" w:type="dxa"/>
          </w:tblCellMar>
        </w:tblPrEx>
        <w:trPr>
          <w:trHeight w:val="407"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697EB437">
            <w:pPr>
              <w:widowControl/>
              <w:jc w:val="center"/>
              <w:textAlignment w:val="center"/>
              <w:rPr>
                <w:rFonts w:ascii="宋体" w:hAnsi="宋体" w:cs="宋体"/>
                <w:color w:val="000000"/>
              </w:rPr>
            </w:pPr>
            <w:r>
              <w:rPr>
                <w:rFonts w:hint="eastAsia" w:ascii="宋体" w:hAnsi="宋体" w:cs="宋体"/>
                <w:color w:val="000000"/>
                <w:kern w:val="0"/>
              </w:rPr>
              <w:t>1</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6C4B23FE">
            <w:pPr>
              <w:jc w:val="center"/>
              <w:textAlignment w:val="center"/>
              <w:rPr>
                <w:rFonts w:ascii="宋体" w:hAnsi="宋体" w:cs="宋体"/>
                <w:color w:val="000000"/>
              </w:rPr>
            </w:pPr>
            <w:r>
              <w:rPr>
                <w:rFonts w:hint="eastAsia" w:ascii="宋体" w:hAnsi="宋体" w:cs="宋体"/>
                <w:color w:val="000000"/>
                <w:kern w:val="0"/>
              </w:rPr>
              <w:t>员工单层</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16E8517C">
            <w:pPr>
              <w:widowControl/>
              <w:textAlignment w:val="center"/>
              <w:rPr>
                <w:rFonts w:ascii="宋体" w:hAnsi="宋体" w:cs="宋体"/>
                <w:color w:val="000000"/>
              </w:rPr>
            </w:pPr>
            <w:r>
              <w:rPr>
                <w:rFonts w:hint="eastAsia" w:ascii="宋体" w:hAnsi="宋体" w:cs="宋体"/>
                <w:color w:val="000000"/>
                <w:kern w:val="0"/>
              </w:rPr>
              <w:t>24层24站</w:t>
            </w:r>
          </w:p>
        </w:tc>
      </w:tr>
      <w:tr w14:paraId="17418671">
        <w:tblPrEx>
          <w:tblCellMar>
            <w:top w:w="0" w:type="dxa"/>
            <w:left w:w="108" w:type="dxa"/>
            <w:bottom w:w="0" w:type="dxa"/>
            <w:right w:w="108" w:type="dxa"/>
          </w:tblCellMar>
        </w:tblPrEx>
        <w:trPr>
          <w:trHeight w:val="426"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446417E6">
            <w:pPr>
              <w:widowControl/>
              <w:jc w:val="center"/>
              <w:textAlignment w:val="center"/>
              <w:rPr>
                <w:rFonts w:ascii="宋体" w:hAnsi="宋体" w:cs="宋体"/>
                <w:color w:val="000000"/>
              </w:rPr>
            </w:pPr>
            <w:r>
              <w:rPr>
                <w:rFonts w:hint="eastAsia" w:ascii="宋体" w:hAnsi="宋体" w:cs="宋体"/>
                <w:color w:val="000000"/>
                <w:kern w:val="0"/>
              </w:rPr>
              <w:t>2</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1B9CD2F8">
            <w:pPr>
              <w:jc w:val="center"/>
              <w:textAlignment w:val="center"/>
              <w:rPr>
                <w:rFonts w:ascii="宋体" w:hAnsi="宋体" w:cs="宋体"/>
                <w:color w:val="000000"/>
              </w:rPr>
            </w:pPr>
            <w:r>
              <w:rPr>
                <w:rFonts w:hint="eastAsia" w:ascii="宋体" w:hAnsi="宋体" w:cs="宋体"/>
                <w:color w:val="000000"/>
                <w:kern w:val="0"/>
              </w:rPr>
              <w:t>员工双层</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4FD1CE48">
            <w:pPr>
              <w:widowControl/>
              <w:textAlignment w:val="center"/>
              <w:rPr>
                <w:rFonts w:ascii="宋体" w:hAnsi="宋体" w:cs="宋体"/>
                <w:color w:val="000000"/>
              </w:rPr>
            </w:pPr>
            <w:r>
              <w:rPr>
                <w:rFonts w:hint="eastAsia" w:ascii="宋体" w:hAnsi="宋体" w:cs="宋体"/>
                <w:color w:val="000000"/>
                <w:kern w:val="0"/>
              </w:rPr>
              <w:t>24层24站</w:t>
            </w:r>
          </w:p>
        </w:tc>
      </w:tr>
      <w:tr w14:paraId="74CADBD5">
        <w:tblPrEx>
          <w:tblCellMar>
            <w:top w:w="0" w:type="dxa"/>
            <w:left w:w="108" w:type="dxa"/>
            <w:bottom w:w="0" w:type="dxa"/>
            <w:right w:w="108" w:type="dxa"/>
          </w:tblCellMar>
        </w:tblPrEx>
        <w:trPr>
          <w:trHeight w:val="419"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2D1A3149">
            <w:pPr>
              <w:widowControl/>
              <w:jc w:val="center"/>
              <w:textAlignment w:val="center"/>
              <w:rPr>
                <w:rFonts w:ascii="宋体" w:hAnsi="宋体" w:cs="宋体"/>
                <w:color w:val="000000"/>
              </w:rPr>
            </w:pPr>
            <w:r>
              <w:rPr>
                <w:rFonts w:hint="eastAsia" w:ascii="宋体" w:hAnsi="宋体" w:cs="宋体"/>
                <w:color w:val="000000"/>
                <w:kern w:val="0"/>
              </w:rPr>
              <w:t>3</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2A5C51A9">
            <w:pPr>
              <w:jc w:val="center"/>
              <w:textAlignment w:val="center"/>
              <w:rPr>
                <w:rFonts w:ascii="宋体" w:hAnsi="宋体" w:cs="宋体"/>
                <w:color w:val="000000"/>
              </w:rPr>
            </w:pPr>
            <w:r>
              <w:rPr>
                <w:rFonts w:hint="eastAsia" w:ascii="宋体" w:hAnsi="宋体" w:cs="宋体"/>
                <w:color w:val="000000"/>
                <w:kern w:val="0"/>
              </w:rPr>
              <w:t>19层医用梯</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399BF504">
            <w:pPr>
              <w:widowControl/>
              <w:textAlignment w:val="center"/>
              <w:rPr>
                <w:rFonts w:ascii="宋体" w:hAnsi="宋体" w:cs="宋体"/>
                <w:color w:val="000000"/>
              </w:rPr>
            </w:pPr>
            <w:r>
              <w:rPr>
                <w:rFonts w:hint="eastAsia" w:ascii="宋体" w:hAnsi="宋体" w:cs="宋体"/>
                <w:color w:val="000000"/>
                <w:kern w:val="0"/>
              </w:rPr>
              <w:t>19层19站</w:t>
            </w:r>
          </w:p>
        </w:tc>
      </w:tr>
      <w:tr w14:paraId="47DAE00D">
        <w:tblPrEx>
          <w:tblCellMar>
            <w:top w:w="0" w:type="dxa"/>
            <w:left w:w="108" w:type="dxa"/>
            <w:bottom w:w="0" w:type="dxa"/>
            <w:right w:w="108" w:type="dxa"/>
          </w:tblCellMar>
        </w:tblPrEx>
        <w:trPr>
          <w:trHeight w:val="411"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0FA14425">
            <w:pPr>
              <w:widowControl/>
              <w:jc w:val="center"/>
              <w:textAlignment w:val="center"/>
              <w:rPr>
                <w:rFonts w:ascii="宋体" w:hAnsi="宋体" w:cs="宋体"/>
                <w:color w:val="000000"/>
              </w:rPr>
            </w:pPr>
            <w:r>
              <w:rPr>
                <w:rFonts w:hint="eastAsia" w:ascii="宋体" w:hAnsi="宋体" w:cs="宋体"/>
                <w:color w:val="000000"/>
                <w:kern w:val="0"/>
              </w:rPr>
              <w:t>4</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527D4590">
            <w:pPr>
              <w:jc w:val="center"/>
              <w:textAlignment w:val="center"/>
              <w:rPr>
                <w:rFonts w:ascii="宋体" w:hAnsi="宋体" w:cs="宋体"/>
                <w:color w:val="000000"/>
              </w:rPr>
            </w:pPr>
            <w:r>
              <w:rPr>
                <w:rFonts w:hint="eastAsia" w:ascii="宋体" w:hAnsi="宋体" w:cs="宋体"/>
                <w:color w:val="000000"/>
                <w:kern w:val="0"/>
              </w:rPr>
              <w:t>手术专用梯</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045F9298">
            <w:pPr>
              <w:widowControl/>
              <w:textAlignment w:val="center"/>
              <w:rPr>
                <w:rFonts w:ascii="宋体" w:hAnsi="宋体" w:cs="宋体"/>
                <w:color w:val="000000"/>
              </w:rPr>
            </w:pPr>
            <w:r>
              <w:rPr>
                <w:rFonts w:hint="eastAsia" w:ascii="宋体" w:hAnsi="宋体" w:cs="宋体"/>
                <w:color w:val="000000"/>
                <w:kern w:val="0"/>
              </w:rPr>
              <w:t>23层23站</w:t>
            </w:r>
          </w:p>
        </w:tc>
      </w:tr>
      <w:tr w14:paraId="413AB32F">
        <w:tblPrEx>
          <w:tblCellMar>
            <w:top w:w="0" w:type="dxa"/>
            <w:left w:w="108" w:type="dxa"/>
            <w:bottom w:w="0" w:type="dxa"/>
            <w:right w:w="108" w:type="dxa"/>
          </w:tblCellMar>
        </w:tblPrEx>
        <w:trPr>
          <w:trHeight w:val="417"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646EFB73">
            <w:pPr>
              <w:widowControl/>
              <w:jc w:val="center"/>
              <w:textAlignment w:val="center"/>
              <w:rPr>
                <w:rFonts w:ascii="宋体" w:hAnsi="宋体" w:cs="宋体"/>
                <w:color w:val="000000"/>
              </w:rPr>
            </w:pPr>
            <w:r>
              <w:rPr>
                <w:rFonts w:hint="eastAsia" w:ascii="宋体" w:hAnsi="宋体" w:cs="宋体"/>
                <w:color w:val="000000"/>
                <w:kern w:val="0"/>
              </w:rPr>
              <w:t>5</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328C4F67">
            <w:pPr>
              <w:jc w:val="center"/>
              <w:textAlignment w:val="center"/>
              <w:rPr>
                <w:rFonts w:ascii="宋体" w:hAnsi="宋体" w:cs="宋体"/>
                <w:color w:val="000000"/>
              </w:rPr>
            </w:pPr>
            <w:r>
              <w:rPr>
                <w:rFonts w:hint="eastAsia" w:ascii="宋体" w:hAnsi="宋体" w:cs="宋体"/>
                <w:color w:val="000000"/>
                <w:kern w:val="0"/>
              </w:rPr>
              <w:t>23层医用梯</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0F4D84EB">
            <w:pPr>
              <w:widowControl/>
              <w:textAlignment w:val="center"/>
              <w:rPr>
                <w:rFonts w:ascii="宋体" w:hAnsi="宋体" w:cs="宋体"/>
                <w:color w:val="000000"/>
              </w:rPr>
            </w:pPr>
            <w:r>
              <w:rPr>
                <w:rFonts w:hint="eastAsia" w:ascii="宋体" w:hAnsi="宋体" w:cs="宋体"/>
                <w:color w:val="000000"/>
                <w:kern w:val="0"/>
              </w:rPr>
              <w:t>23层23站</w:t>
            </w:r>
          </w:p>
        </w:tc>
      </w:tr>
      <w:tr w14:paraId="6D34272A">
        <w:tblPrEx>
          <w:tblCellMar>
            <w:top w:w="0" w:type="dxa"/>
            <w:left w:w="108" w:type="dxa"/>
            <w:bottom w:w="0" w:type="dxa"/>
            <w:right w:w="108" w:type="dxa"/>
          </w:tblCellMar>
        </w:tblPrEx>
        <w:trPr>
          <w:trHeight w:val="408"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4661A070">
            <w:pPr>
              <w:widowControl/>
              <w:jc w:val="center"/>
              <w:textAlignment w:val="center"/>
              <w:rPr>
                <w:rFonts w:ascii="宋体" w:hAnsi="宋体" w:cs="宋体"/>
                <w:color w:val="000000"/>
              </w:rPr>
            </w:pPr>
            <w:r>
              <w:rPr>
                <w:rFonts w:hint="eastAsia" w:ascii="宋体" w:hAnsi="宋体" w:cs="宋体"/>
                <w:color w:val="000000"/>
                <w:kern w:val="0"/>
              </w:rPr>
              <w:t>6</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40CCE8F2">
            <w:pPr>
              <w:widowControl/>
              <w:jc w:val="center"/>
              <w:textAlignment w:val="center"/>
              <w:rPr>
                <w:rFonts w:ascii="宋体" w:hAnsi="宋体" w:cs="宋体"/>
                <w:color w:val="000000"/>
              </w:rPr>
            </w:pPr>
            <w:r>
              <w:rPr>
                <w:rFonts w:hint="eastAsia" w:ascii="宋体" w:hAnsi="宋体" w:cs="宋体"/>
                <w:color w:val="000000"/>
                <w:kern w:val="0"/>
                <w:lang w:val="en-US" w:eastAsia="zh-CN"/>
              </w:rPr>
              <w:t>19</w:t>
            </w:r>
            <w:r>
              <w:rPr>
                <w:rFonts w:hint="eastAsia" w:ascii="宋体" w:hAnsi="宋体" w:cs="宋体"/>
                <w:color w:val="000000"/>
                <w:kern w:val="0"/>
              </w:rPr>
              <w:t>层医用梯</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2D5A1E73">
            <w:pPr>
              <w:widowControl/>
              <w:textAlignment w:val="center"/>
              <w:rPr>
                <w:rFonts w:ascii="宋体" w:hAnsi="宋体" w:cs="宋体"/>
                <w:color w:val="000000"/>
              </w:rPr>
            </w:pPr>
            <w:r>
              <w:rPr>
                <w:rFonts w:hint="eastAsia" w:ascii="宋体" w:hAnsi="宋体" w:cs="宋体"/>
                <w:color w:val="000000"/>
                <w:kern w:val="0"/>
                <w:lang w:val="en-US" w:eastAsia="zh-CN"/>
              </w:rPr>
              <w:t>19</w:t>
            </w:r>
            <w:r>
              <w:rPr>
                <w:rFonts w:hint="eastAsia" w:ascii="宋体" w:hAnsi="宋体" w:cs="宋体"/>
                <w:color w:val="000000"/>
                <w:kern w:val="0"/>
              </w:rPr>
              <w:t>层</w:t>
            </w:r>
            <w:r>
              <w:rPr>
                <w:rFonts w:hint="eastAsia" w:ascii="宋体" w:hAnsi="宋体" w:cs="宋体"/>
                <w:color w:val="000000"/>
                <w:kern w:val="0"/>
                <w:lang w:val="en-US" w:eastAsia="zh-CN"/>
              </w:rPr>
              <w:t>19</w:t>
            </w:r>
            <w:r>
              <w:rPr>
                <w:rFonts w:hint="eastAsia" w:ascii="宋体" w:hAnsi="宋体" w:cs="宋体"/>
                <w:color w:val="000000"/>
                <w:kern w:val="0"/>
              </w:rPr>
              <w:t>站</w:t>
            </w:r>
          </w:p>
        </w:tc>
      </w:tr>
      <w:tr w14:paraId="09AFACF6">
        <w:tblPrEx>
          <w:tblCellMar>
            <w:top w:w="0" w:type="dxa"/>
            <w:left w:w="108" w:type="dxa"/>
            <w:bottom w:w="0" w:type="dxa"/>
            <w:right w:w="108" w:type="dxa"/>
          </w:tblCellMar>
        </w:tblPrEx>
        <w:trPr>
          <w:trHeight w:val="414"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3D513F6D">
            <w:pPr>
              <w:widowControl/>
              <w:jc w:val="center"/>
              <w:textAlignment w:val="center"/>
              <w:rPr>
                <w:rFonts w:ascii="宋体" w:hAnsi="宋体" w:cs="宋体"/>
                <w:color w:val="000000"/>
              </w:rPr>
            </w:pPr>
            <w:r>
              <w:rPr>
                <w:rFonts w:hint="eastAsia" w:ascii="宋体" w:hAnsi="宋体" w:cs="宋体"/>
                <w:color w:val="000000"/>
                <w:kern w:val="0"/>
              </w:rPr>
              <w:t>7</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542AFF41">
            <w:pPr>
              <w:jc w:val="center"/>
              <w:textAlignment w:val="center"/>
              <w:rPr>
                <w:rFonts w:ascii="宋体" w:hAnsi="宋体" w:cs="宋体"/>
                <w:color w:val="000000"/>
              </w:rPr>
            </w:pPr>
            <w:r>
              <w:rPr>
                <w:rFonts w:hint="eastAsia" w:ascii="宋体" w:hAnsi="宋体" w:cs="宋体"/>
                <w:color w:val="000000"/>
                <w:kern w:val="0"/>
                <w:lang w:val="en-US" w:eastAsia="zh-CN"/>
              </w:rPr>
              <w:t>21</w:t>
            </w:r>
            <w:r>
              <w:rPr>
                <w:rFonts w:hint="eastAsia" w:ascii="宋体" w:hAnsi="宋体" w:cs="宋体"/>
                <w:color w:val="000000"/>
                <w:kern w:val="0"/>
              </w:rPr>
              <w:t>污物梯</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5CDFCFFF">
            <w:pPr>
              <w:widowControl/>
              <w:textAlignment w:val="center"/>
              <w:rPr>
                <w:rFonts w:ascii="宋体" w:hAnsi="宋体" w:cs="宋体"/>
                <w:color w:val="000000"/>
              </w:rPr>
            </w:pPr>
            <w:r>
              <w:rPr>
                <w:rFonts w:hint="eastAsia" w:ascii="宋体" w:hAnsi="宋体" w:cs="宋体"/>
                <w:color w:val="000000"/>
                <w:kern w:val="0"/>
              </w:rPr>
              <w:t>21层21站</w:t>
            </w:r>
          </w:p>
        </w:tc>
      </w:tr>
      <w:tr w14:paraId="2C74C47E">
        <w:tblPrEx>
          <w:tblCellMar>
            <w:top w:w="0" w:type="dxa"/>
            <w:left w:w="108" w:type="dxa"/>
            <w:bottom w:w="0" w:type="dxa"/>
            <w:right w:w="108" w:type="dxa"/>
          </w:tblCellMar>
        </w:tblPrEx>
        <w:trPr>
          <w:trHeight w:val="421"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3F7CB272">
            <w:pPr>
              <w:widowControl/>
              <w:jc w:val="center"/>
              <w:textAlignment w:val="center"/>
              <w:rPr>
                <w:rFonts w:ascii="宋体" w:hAnsi="宋体" w:cs="宋体"/>
                <w:color w:val="000000"/>
              </w:rPr>
            </w:pPr>
            <w:r>
              <w:rPr>
                <w:rFonts w:hint="eastAsia" w:ascii="宋体" w:hAnsi="宋体" w:cs="宋体"/>
                <w:color w:val="000000"/>
                <w:kern w:val="0"/>
              </w:rPr>
              <w:t>8</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5D164EBE">
            <w:pPr>
              <w:jc w:val="center"/>
              <w:textAlignment w:val="center"/>
              <w:rPr>
                <w:rFonts w:ascii="宋体" w:hAnsi="宋体" w:cs="宋体"/>
                <w:color w:val="000000"/>
              </w:rPr>
            </w:pPr>
            <w:r>
              <w:rPr>
                <w:rFonts w:hint="eastAsia" w:ascii="宋体" w:hAnsi="宋体" w:cs="宋体"/>
                <w:color w:val="000000"/>
                <w:kern w:val="0"/>
              </w:rPr>
              <w:t>4层无机房</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2FEBA139">
            <w:pPr>
              <w:widowControl/>
              <w:textAlignment w:val="center"/>
              <w:rPr>
                <w:rFonts w:ascii="宋体" w:hAnsi="宋体" w:cs="宋体"/>
                <w:color w:val="000000"/>
              </w:rPr>
            </w:pPr>
            <w:r>
              <w:rPr>
                <w:rFonts w:hint="eastAsia" w:ascii="宋体" w:hAnsi="宋体" w:cs="宋体"/>
                <w:color w:val="000000"/>
                <w:kern w:val="0"/>
              </w:rPr>
              <w:t>4层4站</w:t>
            </w:r>
          </w:p>
        </w:tc>
      </w:tr>
      <w:tr w14:paraId="292E3DD3">
        <w:tblPrEx>
          <w:tblCellMar>
            <w:top w:w="0" w:type="dxa"/>
            <w:left w:w="108" w:type="dxa"/>
            <w:bottom w:w="0" w:type="dxa"/>
            <w:right w:w="108" w:type="dxa"/>
          </w:tblCellMar>
        </w:tblPrEx>
        <w:trPr>
          <w:trHeight w:val="413"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27A9956A">
            <w:pPr>
              <w:widowControl/>
              <w:jc w:val="center"/>
              <w:textAlignment w:val="center"/>
              <w:rPr>
                <w:rFonts w:ascii="宋体" w:hAnsi="宋体" w:cs="宋体"/>
                <w:color w:val="000000"/>
              </w:rPr>
            </w:pPr>
            <w:r>
              <w:rPr>
                <w:rFonts w:hint="eastAsia" w:ascii="宋体" w:hAnsi="宋体" w:cs="宋体"/>
                <w:color w:val="000000"/>
                <w:kern w:val="0"/>
              </w:rPr>
              <w:t>9</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55789E49">
            <w:pPr>
              <w:widowControl/>
              <w:jc w:val="center"/>
              <w:textAlignment w:val="center"/>
              <w:rPr>
                <w:rFonts w:hint="eastAsia" w:ascii="宋体" w:hAnsi="宋体" w:eastAsia="宋体" w:cs="宋体"/>
                <w:color w:val="000000"/>
                <w:lang w:val="en-US" w:eastAsia="zh-CN"/>
              </w:rPr>
            </w:pPr>
            <w:r>
              <w:rPr>
                <w:rFonts w:hint="eastAsia" w:ascii="宋体" w:hAnsi="宋体" w:cs="宋体"/>
                <w:color w:val="000000"/>
                <w:kern w:val="0"/>
              </w:rPr>
              <w:t>后勤综合楼</w:t>
            </w:r>
            <w:r>
              <w:rPr>
                <w:rFonts w:hint="eastAsia" w:ascii="宋体" w:hAnsi="宋体" w:cs="宋体"/>
                <w:color w:val="000000"/>
                <w:kern w:val="0"/>
                <w:lang w:eastAsia="zh-CN"/>
              </w:rPr>
              <w:t>医用</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25A63A48">
            <w:pPr>
              <w:widowControl/>
              <w:textAlignment w:val="center"/>
              <w:rPr>
                <w:rFonts w:ascii="宋体" w:hAnsi="宋体" w:cs="宋体"/>
                <w:color w:val="000000"/>
              </w:rPr>
            </w:pPr>
            <w:r>
              <w:rPr>
                <w:rFonts w:hint="eastAsia" w:ascii="宋体" w:hAnsi="宋体" w:cs="宋体"/>
                <w:color w:val="000000"/>
                <w:kern w:val="0"/>
              </w:rPr>
              <w:t>9层9站</w:t>
            </w:r>
          </w:p>
        </w:tc>
      </w:tr>
      <w:tr w14:paraId="3A812366">
        <w:tblPrEx>
          <w:tblCellMar>
            <w:top w:w="0" w:type="dxa"/>
            <w:left w:w="108" w:type="dxa"/>
            <w:bottom w:w="0" w:type="dxa"/>
            <w:right w:w="108" w:type="dxa"/>
          </w:tblCellMar>
        </w:tblPrEx>
        <w:trPr>
          <w:trHeight w:val="418"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1AE5EE84">
            <w:pPr>
              <w:widowControl/>
              <w:jc w:val="center"/>
              <w:textAlignment w:val="center"/>
              <w:rPr>
                <w:rFonts w:ascii="宋体" w:hAnsi="宋体" w:cs="宋体"/>
                <w:color w:val="000000"/>
              </w:rPr>
            </w:pPr>
            <w:r>
              <w:rPr>
                <w:rFonts w:hint="eastAsia" w:ascii="宋体" w:hAnsi="宋体" w:cs="宋体"/>
                <w:color w:val="000000"/>
                <w:kern w:val="0"/>
              </w:rPr>
              <w:t>10</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288E7662">
            <w:pPr>
              <w:jc w:val="center"/>
              <w:textAlignment w:val="center"/>
              <w:rPr>
                <w:rFonts w:ascii="宋体" w:hAnsi="宋体" w:cs="宋体"/>
                <w:color w:val="000000"/>
              </w:rPr>
            </w:pPr>
            <w:r>
              <w:rPr>
                <w:rFonts w:hint="eastAsia" w:ascii="宋体" w:hAnsi="宋体" w:cs="宋体"/>
                <w:color w:val="000000"/>
                <w:kern w:val="0"/>
              </w:rPr>
              <w:t>内科楼右梯</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2FE36358">
            <w:pPr>
              <w:widowControl/>
              <w:textAlignment w:val="center"/>
              <w:rPr>
                <w:rFonts w:ascii="宋体" w:hAnsi="宋体" w:cs="宋体"/>
                <w:color w:val="000000"/>
              </w:rPr>
            </w:pPr>
            <w:r>
              <w:rPr>
                <w:rFonts w:hint="eastAsia" w:ascii="宋体" w:hAnsi="宋体" w:cs="宋体"/>
                <w:color w:val="000000"/>
                <w:kern w:val="0"/>
              </w:rPr>
              <w:t>11层11站</w:t>
            </w:r>
          </w:p>
        </w:tc>
      </w:tr>
      <w:tr w14:paraId="3D226113">
        <w:tblPrEx>
          <w:tblCellMar>
            <w:top w:w="0" w:type="dxa"/>
            <w:left w:w="108" w:type="dxa"/>
            <w:bottom w:w="0" w:type="dxa"/>
            <w:right w:w="108" w:type="dxa"/>
          </w:tblCellMar>
        </w:tblPrEx>
        <w:trPr>
          <w:trHeight w:val="269"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3E63F549">
            <w:pPr>
              <w:widowControl/>
              <w:jc w:val="center"/>
              <w:textAlignment w:val="center"/>
              <w:rPr>
                <w:rFonts w:ascii="宋体" w:hAnsi="宋体" w:cs="宋体"/>
                <w:color w:val="000000"/>
              </w:rPr>
            </w:pPr>
            <w:r>
              <w:rPr>
                <w:rFonts w:hint="eastAsia" w:ascii="宋体" w:hAnsi="宋体" w:cs="宋体"/>
                <w:color w:val="000000"/>
                <w:kern w:val="0"/>
              </w:rPr>
              <w:t>11</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632B1EEF">
            <w:pPr>
              <w:jc w:val="center"/>
              <w:textAlignment w:val="center"/>
              <w:rPr>
                <w:rFonts w:ascii="宋体" w:hAnsi="宋体" w:cs="宋体"/>
                <w:color w:val="000000"/>
              </w:rPr>
            </w:pPr>
            <w:r>
              <w:rPr>
                <w:rFonts w:hint="eastAsia" w:ascii="宋体" w:hAnsi="宋体" w:cs="宋体"/>
                <w:color w:val="000000"/>
                <w:kern w:val="0"/>
              </w:rPr>
              <w:t>内科楼中梯</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7AC61908">
            <w:pPr>
              <w:widowControl/>
              <w:textAlignment w:val="center"/>
              <w:rPr>
                <w:rFonts w:ascii="宋体" w:hAnsi="宋体" w:cs="宋体"/>
                <w:color w:val="000000"/>
              </w:rPr>
            </w:pPr>
            <w:r>
              <w:rPr>
                <w:rFonts w:hint="eastAsia" w:ascii="宋体" w:hAnsi="宋体" w:cs="宋体"/>
                <w:color w:val="000000"/>
                <w:kern w:val="0"/>
              </w:rPr>
              <w:t>11层11站</w:t>
            </w:r>
          </w:p>
        </w:tc>
      </w:tr>
      <w:tr w14:paraId="3DD1C247">
        <w:tblPrEx>
          <w:tblCellMar>
            <w:top w:w="0" w:type="dxa"/>
            <w:left w:w="108" w:type="dxa"/>
            <w:bottom w:w="0" w:type="dxa"/>
            <w:right w:w="108" w:type="dxa"/>
          </w:tblCellMar>
        </w:tblPrEx>
        <w:trPr>
          <w:trHeight w:val="373"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4D93AA94">
            <w:pPr>
              <w:widowControl/>
              <w:jc w:val="center"/>
              <w:textAlignment w:val="center"/>
              <w:rPr>
                <w:rFonts w:ascii="宋体" w:hAnsi="宋体" w:cs="宋体"/>
                <w:color w:val="000000"/>
              </w:rPr>
            </w:pPr>
            <w:r>
              <w:rPr>
                <w:rFonts w:hint="eastAsia" w:ascii="宋体" w:hAnsi="宋体" w:cs="宋体"/>
                <w:color w:val="000000"/>
                <w:kern w:val="0"/>
              </w:rPr>
              <w:t>12</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6E8DBE42">
            <w:pPr>
              <w:widowControl/>
              <w:jc w:val="center"/>
              <w:textAlignment w:val="center"/>
              <w:rPr>
                <w:rFonts w:ascii="宋体" w:hAnsi="宋体" w:cs="宋体"/>
                <w:color w:val="000000"/>
              </w:rPr>
            </w:pPr>
            <w:r>
              <w:rPr>
                <w:rFonts w:hint="eastAsia" w:ascii="宋体" w:hAnsi="宋体" w:cs="宋体"/>
                <w:color w:val="000000"/>
                <w:kern w:val="0"/>
              </w:rPr>
              <w:t>内科楼左梯</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3777C611">
            <w:pPr>
              <w:widowControl/>
              <w:textAlignment w:val="center"/>
              <w:rPr>
                <w:rFonts w:ascii="宋体" w:hAnsi="宋体" w:cs="宋体"/>
                <w:color w:val="000000"/>
              </w:rPr>
            </w:pPr>
            <w:r>
              <w:rPr>
                <w:rFonts w:hint="eastAsia" w:ascii="宋体" w:hAnsi="宋体" w:cs="宋体"/>
                <w:color w:val="000000"/>
                <w:kern w:val="0"/>
              </w:rPr>
              <w:t>11层11站</w:t>
            </w:r>
          </w:p>
        </w:tc>
      </w:tr>
      <w:tr w14:paraId="38A0D062">
        <w:tblPrEx>
          <w:tblCellMar>
            <w:top w:w="0" w:type="dxa"/>
            <w:left w:w="108" w:type="dxa"/>
            <w:bottom w:w="0" w:type="dxa"/>
            <w:right w:w="108" w:type="dxa"/>
          </w:tblCellMar>
        </w:tblPrEx>
        <w:trPr>
          <w:trHeight w:val="291"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49064F08">
            <w:pPr>
              <w:widowControl/>
              <w:jc w:val="center"/>
              <w:textAlignment w:val="center"/>
              <w:rPr>
                <w:rFonts w:ascii="宋体" w:hAnsi="宋体" w:cs="宋体"/>
                <w:color w:val="000000"/>
              </w:rPr>
            </w:pPr>
            <w:r>
              <w:rPr>
                <w:rFonts w:hint="eastAsia" w:ascii="宋体" w:hAnsi="宋体" w:cs="宋体"/>
                <w:color w:val="000000"/>
                <w:kern w:val="0"/>
              </w:rPr>
              <w:t>13</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6A601408">
            <w:pPr>
              <w:widowControl/>
              <w:jc w:val="center"/>
              <w:textAlignment w:val="center"/>
              <w:rPr>
                <w:rFonts w:ascii="宋体" w:hAnsi="宋体" w:cs="宋体"/>
                <w:color w:val="000000"/>
              </w:rPr>
            </w:pPr>
            <w:r>
              <w:rPr>
                <w:rFonts w:hint="eastAsia" w:ascii="宋体" w:hAnsi="宋体" w:cs="宋体"/>
                <w:color w:val="000000"/>
                <w:kern w:val="0"/>
              </w:rPr>
              <w:t>1上2层扶梯</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3D2E43C9">
            <w:pPr>
              <w:widowControl/>
              <w:textAlignment w:val="center"/>
              <w:rPr>
                <w:rFonts w:ascii="宋体" w:hAnsi="宋体" w:cs="宋体"/>
                <w:color w:val="000000"/>
              </w:rPr>
            </w:pPr>
            <w:r>
              <w:rPr>
                <w:rFonts w:hint="eastAsia" w:ascii="宋体" w:hAnsi="宋体" w:cs="宋体"/>
                <w:color w:val="000000"/>
                <w:kern w:val="0"/>
              </w:rPr>
              <w:t>4.05米</w:t>
            </w:r>
          </w:p>
        </w:tc>
      </w:tr>
      <w:tr w14:paraId="6AB17542">
        <w:tblPrEx>
          <w:tblCellMar>
            <w:top w:w="0" w:type="dxa"/>
            <w:left w:w="108" w:type="dxa"/>
            <w:bottom w:w="0" w:type="dxa"/>
            <w:right w:w="108" w:type="dxa"/>
          </w:tblCellMar>
        </w:tblPrEx>
        <w:trPr>
          <w:trHeight w:val="337" w:hRule="atLeast"/>
        </w:trPr>
        <w:tc>
          <w:tcPr>
            <w:tcW w:w="1167" w:type="dxa"/>
            <w:tcBorders>
              <w:top w:val="single" w:color="000000" w:sz="4" w:space="0"/>
              <w:left w:val="single" w:color="000000" w:sz="4" w:space="0"/>
              <w:bottom w:val="single" w:color="000000" w:sz="4" w:space="0"/>
              <w:right w:val="single" w:color="auto" w:sz="4" w:space="0"/>
            </w:tcBorders>
            <w:noWrap/>
            <w:vAlign w:val="center"/>
          </w:tcPr>
          <w:p w14:paraId="6FC6D7E7">
            <w:pPr>
              <w:widowControl/>
              <w:jc w:val="center"/>
              <w:textAlignment w:val="center"/>
              <w:rPr>
                <w:rFonts w:ascii="宋体" w:hAnsi="宋体" w:cs="宋体"/>
                <w:color w:val="000000"/>
              </w:rPr>
            </w:pPr>
            <w:r>
              <w:rPr>
                <w:rFonts w:hint="eastAsia" w:ascii="宋体" w:hAnsi="宋体" w:cs="宋体"/>
                <w:color w:val="000000"/>
                <w:kern w:val="0"/>
              </w:rPr>
              <w:t>14</w:t>
            </w:r>
          </w:p>
        </w:tc>
        <w:tc>
          <w:tcPr>
            <w:tcW w:w="3104" w:type="dxa"/>
            <w:tcBorders>
              <w:top w:val="single" w:color="000000" w:sz="4" w:space="0"/>
              <w:left w:val="single" w:color="auto" w:sz="4" w:space="0"/>
              <w:bottom w:val="single" w:color="000000" w:sz="4" w:space="0"/>
              <w:right w:val="single" w:color="000000" w:sz="4" w:space="0"/>
            </w:tcBorders>
            <w:noWrap w:val="0"/>
            <w:vAlign w:val="center"/>
          </w:tcPr>
          <w:p w14:paraId="695D8A64">
            <w:pPr>
              <w:widowControl/>
              <w:jc w:val="center"/>
              <w:textAlignment w:val="center"/>
              <w:rPr>
                <w:rFonts w:ascii="宋体" w:hAnsi="宋体" w:cs="宋体"/>
                <w:color w:val="000000"/>
              </w:rPr>
            </w:pPr>
            <w:r>
              <w:rPr>
                <w:rFonts w:hint="eastAsia" w:ascii="宋体" w:hAnsi="宋体" w:cs="宋体"/>
                <w:color w:val="000000"/>
                <w:kern w:val="0"/>
              </w:rPr>
              <w:t>2上3层扶梯</w:t>
            </w:r>
          </w:p>
        </w:tc>
        <w:tc>
          <w:tcPr>
            <w:tcW w:w="2919" w:type="dxa"/>
            <w:tcBorders>
              <w:top w:val="single" w:color="000000" w:sz="4" w:space="0"/>
              <w:left w:val="single" w:color="000000" w:sz="4" w:space="0"/>
              <w:bottom w:val="single" w:color="000000" w:sz="4" w:space="0"/>
              <w:right w:val="single" w:color="auto" w:sz="4" w:space="0"/>
            </w:tcBorders>
            <w:noWrap/>
            <w:vAlign w:val="center"/>
          </w:tcPr>
          <w:p w14:paraId="0C947BA5">
            <w:pPr>
              <w:widowControl/>
              <w:textAlignment w:val="center"/>
              <w:rPr>
                <w:rFonts w:ascii="宋体" w:hAnsi="宋体" w:cs="宋体"/>
                <w:color w:val="000000"/>
              </w:rPr>
            </w:pPr>
            <w:r>
              <w:rPr>
                <w:rFonts w:hint="eastAsia" w:ascii="宋体" w:hAnsi="宋体" w:cs="宋体"/>
                <w:color w:val="000000"/>
                <w:kern w:val="0"/>
              </w:rPr>
              <w:t>3.5米</w:t>
            </w:r>
          </w:p>
        </w:tc>
      </w:tr>
    </w:tbl>
    <w:p w14:paraId="6BEA20E0">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2、服务期限：</w:t>
      </w:r>
    </w:p>
    <w:p w14:paraId="11F821C9">
      <w:pPr>
        <w:snapToGrid w:val="0"/>
        <w:spacing w:line="360" w:lineRule="exact"/>
        <w:ind w:firstLine="424" w:firstLineChars="202"/>
        <w:rPr>
          <w:rFonts w:hint="eastAsia" w:ascii="宋体" w:hAnsi="宋体" w:cs="仿宋"/>
          <w:bCs/>
          <w:szCs w:val="21"/>
          <w:lang w:bidi="ar"/>
        </w:rPr>
      </w:pPr>
      <w:r>
        <w:rPr>
          <w:rFonts w:hint="eastAsia" w:ascii="宋体" w:hAnsi="宋体" w:cs="仿宋"/>
          <w:bCs/>
          <w:szCs w:val="21"/>
          <w:lang w:bidi="ar"/>
        </w:rPr>
        <w:t>服务期限：202</w:t>
      </w:r>
      <w:r>
        <w:rPr>
          <w:rFonts w:hint="eastAsia" w:ascii="宋体" w:hAnsi="宋体" w:cs="仿宋"/>
          <w:bCs/>
          <w:szCs w:val="21"/>
          <w:lang w:val="en-US" w:eastAsia="zh-CN" w:bidi="ar"/>
        </w:rPr>
        <w:t>6</w:t>
      </w:r>
      <w:r>
        <w:rPr>
          <w:rFonts w:hint="eastAsia" w:ascii="宋体" w:hAnsi="宋体" w:cs="仿宋"/>
          <w:bCs/>
          <w:szCs w:val="21"/>
          <w:lang w:bidi="ar"/>
        </w:rPr>
        <w:t>年     月     日至202</w:t>
      </w:r>
      <w:r>
        <w:rPr>
          <w:rFonts w:hint="eastAsia" w:ascii="宋体" w:hAnsi="宋体" w:cs="仿宋"/>
          <w:bCs/>
          <w:szCs w:val="21"/>
          <w:lang w:val="en-US" w:eastAsia="zh-CN" w:bidi="ar"/>
        </w:rPr>
        <w:t>7</w:t>
      </w:r>
      <w:r>
        <w:rPr>
          <w:rFonts w:hint="eastAsia" w:ascii="宋体" w:hAnsi="宋体" w:cs="仿宋"/>
          <w:bCs/>
          <w:szCs w:val="21"/>
          <w:lang w:bidi="ar"/>
        </w:rPr>
        <w:t>年     月     日，乙方为甲方提供</w:t>
      </w:r>
      <w:r>
        <w:rPr>
          <w:rFonts w:hint="eastAsia" w:ascii="宋体" w:hAnsi="宋体" w:cs="仿宋"/>
          <w:bCs/>
          <w:szCs w:val="21"/>
          <w:lang w:val="en-US" w:eastAsia="zh-CN" w:bidi="ar"/>
        </w:rPr>
        <w:t>14</w:t>
      </w:r>
      <w:r>
        <w:rPr>
          <w:rFonts w:hint="eastAsia" w:ascii="宋体" w:hAnsi="宋体" w:cs="仿宋"/>
          <w:bCs/>
          <w:szCs w:val="21"/>
          <w:lang w:bidi="ar"/>
        </w:rPr>
        <w:t>台电梯日常维护保养及24小时应急维保和救援服务。</w:t>
      </w:r>
    </w:p>
    <w:p w14:paraId="2844FF6D">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3、服务费用</w:t>
      </w:r>
    </w:p>
    <w:p w14:paraId="5AC8E5F4">
      <w:pPr>
        <w:snapToGrid w:val="0"/>
        <w:spacing w:line="360" w:lineRule="exact"/>
        <w:ind w:firstLine="424" w:firstLineChars="202"/>
        <w:rPr>
          <w:rFonts w:ascii="宋体" w:hAnsi="宋体" w:cs="仿宋"/>
          <w:bCs/>
          <w:szCs w:val="21"/>
          <w:lang w:bidi="ar"/>
        </w:rPr>
      </w:pPr>
      <w:r>
        <w:rPr>
          <w:rFonts w:ascii="宋体" w:hAnsi="宋体" w:cs="仿宋"/>
          <w:bCs/>
          <w:szCs w:val="21"/>
          <w:lang w:bidi="ar"/>
        </w:rPr>
        <w:t>(1)</w:t>
      </w:r>
      <w:r>
        <w:rPr>
          <w:rFonts w:hint="eastAsia" w:ascii="宋体" w:hAnsi="宋体" w:cs="仿宋"/>
          <w:bCs/>
          <w:szCs w:val="21"/>
          <w:lang w:bidi="ar"/>
        </w:rPr>
        <w:t>本合同电梯维保费用为</w:t>
      </w:r>
      <w:r>
        <w:rPr>
          <w:rFonts w:hint="eastAsia" w:ascii="宋体" w:hAnsi="宋体" w:cs="仿宋"/>
          <w:bCs/>
          <w:szCs w:val="21"/>
          <w:u w:val="single"/>
          <w:lang w:bidi="ar"/>
        </w:rPr>
        <w:t xml:space="preserve"> </w:t>
      </w:r>
      <w:r>
        <w:rPr>
          <w:rFonts w:ascii="宋体" w:hAnsi="宋体" w:cs="仿宋"/>
          <w:bCs/>
          <w:szCs w:val="21"/>
          <w:u w:val="single"/>
          <w:lang w:bidi="ar"/>
        </w:rPr>
        <w:t xml:space="preserve">   </w:t>
      </w:r>
      <w:r>
        <w:rPr>
          <w:rFonts w:hint="eastAsia" w:ascii="宋体" w:hAnsi="宋体" w:cs="仿宋"/>
          <w:bCs/>
          <w:szCs w:val="21"/>
          <w:lang w:bidi="ar"/>
        </w:rPr>
        <w:t>元/年（大写）。服务费分两期支付，采用先服务后支付费用的方式，并参照乙方服务质量考核评分作为支付依据，第一期于完成半年服务后，根据考核结果提交资料申请支付。第二期支付于第一期付款方式一致。乙方应在支付期提交服务质量考核评分表及请款函，并提供等额合法发票，甲方在收到上述资料的30天内支付。</w:t>
      </w:r>
    </w:p>
    <w:p w14:paraId="61D7DBDB">
      <w:pPr>
        <w:snapToGrid w:val="0"/>
        <w:spacing w:line="360" w:lineRule="exact"/>
        <w:ind w:firstLine="424" w:firstLineChars="202"/>
        <w:rPr>
          <w:rFonts w:ascii="宋体" w:hAnsi="宋体" w:cs="仿宋"/>
          <w:bCs/>
          <w:szCs w:val="21"/>
          <w:lang w:bidi="ar"/>
        </w:rPr>
      </w:pPr>
      <w:r>
        <w:rPr>
          <w:rFonts w:ascii="宋体" w:hAnsi="宋体" w:cs="仿宋"/>
          <w:bCs/>
          <w:szCs w:val="21"/>
          <w:lang w:bidi="ar"/>
        </w:rPr>
        <w:t>(2)</w:t>
      </w:r>
      <w:r>
        <w:rPr>
          <w:rFonts w:hint="eastAsia" w:ascii="宋体" w:hAnsi="宋体" w:cs="仿宋"/>
          <w:bCs/>
          <w:szCs w:val="21"/>
          <w:lang w:bidi="ar"/>
        </w:rPr>
        <w:t>维修方面：如合同存续期间产生维修，经采购人复核确认成交供应商书面报价后，易损配件（参考常用配件表）由成交供应商承担，</w:t>
      </w:r>
      <w:r>
        <w:rPr>
          <w:rFonts w:hint="eastAsia" w:ascii="宋体" w:hAnsi="宋体" w:cs="仿宋"/>
          <w:bCs/>
          <w:szCs w:val="21"/>
          <w:lang w:val="en-US" w:eastAsia="zh-CN" w:bidi="ar"/>
        </w:rPr>
        <w:t>5000</w:t>
      </w:r>
      <w:r>
        <w:rPr>
          <w:rFonts w:hint="eastAsia" w:ascii="宋体" w:hAnsi="宋体" w:cs="仿宋"/>
          <w:bCs/>
          <w:szCs w:val="21"/>
          <w:lang w:bidi="ar"/>
        </w:rPr>
        <w:t>元以</w:t>
      </w:r>
      <w:r>
        <w:rPr>
          <w:rFonts w:hint="eastAsia" w:ascii="宋体" w:hAnsi="宋体" w:cs="仿宋"/>
          <w:bCs/>
          <w:szCs w:val="21"/>
          <w:lang w:val="en-US" w:eastAsia="zh-CN" w:bidi="ar"/>
        </w:rPr>
        <w:t>内维修</w:t>
      </w:r>
      <w:r>
        <w:rPr>
          <w:rFonts w:hint="eastAsia" w:ascii="宋体" w:hAnsi="宋体" w:cs="仿宋"/>
          <w:bCs/>
          <w:szCs w:val="21"/>
          <w:lang w:bidi="ar"/>
        </w:rPr>
        <w:t>的由</w:t>
      </w:r>
      <w:r>
        <w:rPr>
          <w:rFonts w:hint="eastAsia" w:ascii="宋体" w:hAnsi="宋体" w:cs="仿宋"/>
          <w:bCs/>
          <w:szCs w:val="21"/>
          <w:lang w:val="en-US" w:eastAsia="zh-CN" w:bidi="ar"/>
        </w:rPr>
        <w:t>采购人内部</w:t>
      </w:r>
      <w:r>
        <w:rPr>
          <w:rFonts w:hint="eastAsia" w:ascii="宋体" w:hAnsi="宋体" w:cs="仿宋"/>
          <w:bCs/>
          <w:szCs w:val="21"/>
          <w:lang w:bidi="ar"/>
        </w:rPr>
        <w:t>审核确认后另行结算支付给成交供应商；</w:t>
      </w:r>
      <w:r>
        <w:rPr>
          <w:rFonts w:hint="eastAsia" w:ascii="宋体" w:hAnsi="宋体" w:cs="仿宋"/>
          <w:bCs/>
          <w:szCs w:val="21"/>
          <w:lang w:val="en-US" w:eastAsia="zh-CN" w:bidi="ar"/>
        </w:rPr>
        <w:t>所有单次维修报价5000元以上的</w:t>
      </w:r>
      <w:r>
        <w:rPr>
          <w:rFonts w:hint="eastAsia" w:ascii="宋体" w:hAnsi="宋体" w:cs="仿宋"/>
          <w:bCs/>
          <w:szCs w:val="21"/>
          <w:lang w:bidi="ar"/>
        </w:rPr>
        <w:t>报价金额每累计1万元时，成交供应商需主动对接采购人，并按采购人要求及时制作和提交送审资料，待采购人初核资料无异议后，报送</w:t>
      </w:r>
      <w:r>
        <w:rPr>
          <w:rFonts w:hint="eastAsia" w:ascii="宋体" w:hAnsi="宋体" w:cs="仿宋"/>
          <w:bCs/>
          <w:szCs w:val="21"/>
          <w:lang w:val="en-US" w:eastAsia="zh-CN" w:bidi="ar"/>
        </w:rPr>
        <w:t>甲方选择的</w:t>
      </w:r>
      <w:r>
        <w:rPr>
          <w:rFonts w:hint="eastAsia" w:ascii="宋体" w:hAnsi="宋体" w:cs="仿宋"/>
          <w:bCs/>
          <w:szCs w:val="21"/>
          <w:lang w:bidi="ar"/>
        </w:rPr>
        <w:t>工程造价咨询机构，待审核结束后由采购人根据审核结果向成交供应商支付费用；合同结束后，成交供应商将剩余未送审维修报价按前述方式送审结算，由甲方根据审核结果向成交供应商支付费用；最终结算金额以工程造价咨询机构对该项目维修送审的审核结果为准。</w:t>
      </w:r>
    </w:p>
    <w:p w14:paraId="3BDA18A4">
      <w:pPr>
        <w:snapToGrid w:val="0"/>
        <w:spacing w:line="360" w:lineRule="exact"/>
        <w:ind w:firstLine="424" w:firstLineChars="202"/>
        <w:rPr>
          <w:rFonts w:hint="eastAsia" w:ascii="宋体" w:hAnsi="宋体" w:cs="仿宋"/>
          <w:bCs/>
          <w:szCs w:val="21"/>
          <w:lang w:bidi="ar"/>
        </w:rPr>
      </w:pPr>
      <w:r>
        <w:rPr>
          <w:rFonts w:ascii="宋体" w:hAnsi="宋体" w:cs="仿宋"/>
          <w:bCs/>
          <w:szCs w:val="21"/>
          <w:lang w:bidi="ar"/>
        </w:rPr>
        <w:t>(3)</w:t>
      </w:r>
      <w:r>
        <w:rPr>
          <w:rFonts w:hint="eastAsia" w:ascii="宋体" w:hAnsi="宋体" w:cs="仿宋"/>
          <w:bCs/>
          <w:szCs w:val="21"/>
          <w:lang w:bidi="ar"/>
        </w:rPr>
        <w:t>成交供应商每次请款，均需按采购人要求提供请款资料和同等金额的合法有效发票给采购人。</w:t>
      </w:r>
    </w:p>
    <w:p w14:paraId="34ED35B7">
      <w:pPr>
        <w:snapToGrid w:val="0"/>
        <w:spacing w:line="360" w:lineRule="exact"/>
        <w:ind w:left="422" w:hanging="422" w:hangingChars="200"/>
        <w:rPr>
          <w:rFonts w:ascii="宋体" w:hAnsi="宋体" w:cs="仿宋"/>
          <w:b/>
          <w:szCs w:val="21"/>
          <w:lang w:bidi="ar"/>
        </w:rPr>
      </w:pPr>
      <w:r>
        <w:rPr>
          <w:rFonts w:hint="eastAsia" w:ascii="宋体" w:hAnsi="宋体" w:cs="仿宋"/>
          <w:b/>
          <w:szCs w:val="21"/>
          <w:lang w:bidi="ar"/>
        </w:rPr>
        <w:t>第七条　履约保证金</w:t>
      </w:r>
    </w:p>
    <w:p w14:paraId="79ADB036">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履约保证金金额：无。</w:t>
      </w:r>
    </w:p>
    <w:p w14:paraId="55213BBC">
      <w:pPr>
        <w:snapToGrid w:val="0"/>
        <w:spacing w:line="360" w:lineRule="exact"/>
        <w:ind w:left="422" w:hanging="422" w:hangingChars="200"/>
        <w:rPr>
          <w:rFonts w:ascii="宋体" w:hAnsi="宋体" w:cs="仿宋"/>
          <w:b/>
          <w:szCs w:val="21"/>
          <w:lang w:bidi="ar"/>
        </w:rPr>
      </w:pPr>
      <w:r>
        <w:rPr>
          <w:rFonts w:hint="eastAsia" w:ascii="宋体" w:hAnsi="宋体" w:cs="仿宋"/>
          <w:b/>
          <w:szCs w:val="21"/>
          <w:lang w:bidi="ar"/>
        </w:rPr>
        <w:t>第八条  税费</w:t>
      </w:r>
    </w:p>
    <w:p w14:paraId="1242165D">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本合同执行中相关的一切税费均由乙方负担。</w:t>
      </w:r>
    </w:p>
    <w:p w14:paraId="7E3DD821">
      <w:pPr>
        <w:snapToGrid w:val="0"/>
        <w:spacing w:line="360" w:lineRule="exact"/>
        <w:ind w:left="422" w:hanging="422" w:hangingChars="200"/>
        <w:rPr>
          <w:rFonts w:ascii="宋体" w:hAnsi="宋体" w:cs="仿宋"/>
          <w:b/>
          <w:szCs w:val="21"/>
          <w:lang w:bidi="ar"/>
        </w:rPr>
      </w:pPr>
      <w:r>
        <w:rPr>
          <w:rFonts w:hint="eastAsia" w:ascii="宋体" w:hAnsi="宋体" w:cs="仿宋"/>
          <w:b/>
          <w:szCs w:val="21"/>
          <w:lang w:bidi="ar"/>
        </w:rPr>
        <w:t>第九条　违约责任</w:t>
      </w:r>
    </w:p>
    <w:p w14:paraId="60C90378">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1、除不可抗力原因外，乙方没有按照合同规定的时间提供服务的，甲方可要求乙方支付违约金。每推迟一天按合同金额的3‰支付违约金。乙方逾期提供服务达到5日及以上的，甲方有权聘请第三方提供相应服务及伴随的货物（含设备零配件及系统升级、维保等），发生的费用全部由乙方承担。每个合同年度逾期达累计到15日或3次，甲方有权单方解除合同，并要求乙方支付合同年度金额15%违约金。</w:t>
      </w:r>
    </w:p>
    <w:p w14:paraId="5A27321B">
      <w:pPr>
        <w:adjustRightInd w:val="0"/>
        <w:snapToGrid w:val="0"/>
        <w:spacing w:line="440" w:lineRule="exact"/>
        <w:ind w:firstLine="275" w:firstLineChars="131"/>
        <w:rPr>
          <w:rFonts w:ascii="宋体" w:hAnsi="宋体" w:cs="仿宋"/>
          <w:bCs/>
          <w:szCs w:val="21"/>
          <w:lang w:bidi="ar"/>
        </w:rPr>
      </w:pPr>
      <w:r>
        <w:rPr>
          <w:rFonts w:hint="eastAsia" w:ascii="宋体" w:hAnsi="宋体" w:cs="仿宋"/>
          <w:bCs/>
          <w:szCs w:val="21"/>
          <w:lang w:bidi="ar"/>
        </w:rPr>
        <w:t>2、因乙方备件库存不充足，导致无法及时（响应文件承诺的时间）按甲方要求更换备件的，甲方可要求乙方支付违约金。每推迟一天按合同金额的3‰支付违约金。乙方逾期更换达到5日的，甲方有权聘请第三方提供相应服务及伴随的货物（含设备零配件及系统升级、维保等），发生的费用全部由乙方承担。每个合同年度逾期达累计到15日或3次，并要求乙方支付合同年度金额15%违约金。</w:t>
      </w:r>
    </w:p>
    <w:p w14:paraId="5295374A">
      <w:pPr>
        <w:adjustRightInd w:val="0"/>
        <w:snapToGrid w:val="0"/>
        <w:spacing w:line="440" w:lineRule="exact"/>
        <w:ind w:firstLine="275" w:firstLineChars="131"/>
        <w:rPr>
          <w:rFonts w:ascii="宋体" w:hAnsi="宋体" w:cs="仿宋"/>
          <w:bCs/>
          <w:szCs w:val="21"/>
          <w:lang w:bidi="ar"/>
        </w:rPr>
      </w:pPr>
      <w:r>
        <w:rPr>
          <w:rFonts w:hint="eastAsia" w:ascii="宋体" w:hAnsi="宋体" w:cs="仿宋"/>
          <w:bCs/>
          <w:szCs w:val="21"/>
          <w:lang w:bidi="ar"/>
        </w:rPr>
        <w:t>3、服务期内设备发生的一切故障，均应由乙方负责维修；如服务期结束后，乙方应负责维修服务期结束前未处理完成的设备故障，直至修复完成</w:t>
      </w:r>
      <w:r>
        <w:rPr>
          <w:rFonts w:ascii="宋体" w:hAnsi="宋体" w:cs="仿宋"/>
          <w:bCs/>
          <w:szCs w:val="21"/>
          <w:lang w:bidi="ar"/>
        </w:rPr>
        <w:t>并保</w:t>
      </w:r>
      <w:r>
        <w:rPr>
          <w:rFonts w:hint="eastAsia" w:ascii="宋体" w:hAnsi="宋体" w:cs="仿宋"/>
          <w:bCs/>
          <w:szCs w:val="21"/>
          <w:lang w:bidi="ar"/>
        </w:rPr>
        <w:t>持1个月内同一处维修点无重复故障发生（如故障需更换配件的，由乙方提供配件免费安装，配件质保期不少于6个月），否则乙方应继续负责维保义务。如发生前述情况，乙方拒绝履行维保义务的，甲方有权单方解除合同，并要求乙方支付合同总金额15%违约金。</w:t>
      </w:r>
    </w:p>
    <w:p w14:paraId="17CDD0A1">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4、服务期内乙方7日内无法修复设备故障，或3个月内重复发生3次同一故障的，甲方有权单方解除合同并拒绝支付服务费用。如造成甲方损失的，则按由乙方承担损失费用（包含但不限于甲方聘请第三方维修的费用）。</w:t>
      </w:r>
    </w:p>
    <w:p w14:paraId="34C555E2">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5、乙方提供的服务（提供的相应零配件、产品）如侵犯了第三方合法权益而引发的任何纠纷或者诉讼，均由乙方负责交涉并承担全部法律责任并赔偿全部损失。因此影响甲方设备正常运转的，甲方要求单方解除合同，并要求乙方支付合同总金额15%违约金。</w:t>
      </w:r>
    </w:p>
    <w:p w14:paraId="7FED2C1A">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6、乙方提供的服务（提供的相应零配件、产品）不符合相关标准或规定，导致甲方设备毁损或因使用存在前述问题的设备导致人员人身伤亡的，均由乙方承担全部责任，视乙方违约具体情节要求乙方支付合同总金额10%-30%的违约金。</w:t>
      </w:r>
    </w:p>
    <w:p w14:paraId="6ABB2EB3">
      <w:pPr>
        <w:snapToGrid w:val="0"/>
        <w:spacing w:line="360" w:lineRule="exact"/>
        <w:ind w:left="422" w:hanging="422" w:hangingChars="200"/>
        <w:rPr>
          <w:rFonts w:ascii="宋体" w:hAnsi="宋体" w:cs="仿宋"/>
          <w:b/>
          <w:szCs w:val="21"/>
          <w:lang w:bidi="ar"/>
        </w:rPr>
      </w:pPr>
      <w:r>
        <w:rPr>
          <w:rFonts w:hint="eastAsia" w:ascii="宋体" w:hAnsi="宋体" w:cs="仿宋"/>
          <w:b/>
          <w:szCs w:val="21"/>
          <w:lang w:bidi="ar"/>
        </w:rPr>
        <w:t>第十条  不可抗力事件处理</w:t>
      </w:r>
    </w:p>
    <w:p w14:paraId="7DC73EBF">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1、在合同有效期内，任何一方因不可抗力事件导致不能履行合同，则合同履行期可延长，其延长期与不可抗力影响期相同。</w:t>
      </w:r>
    </w:p>
    <w:p w14:paraId="4A8B89B5">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2、不可抗力事件发生后，应立即通知对方，并寄送有关权威机构出具的证明。</w:t>
      </w:r>
    </w:p>
    <w:p w14:paraId="2ADF0193">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3、不可抗力事件延续一百二十天以上，双方应通过友好协商，确定是否继续履行合同。</w:t>
      </w:r>
    </w:p>
    <w:p w14:paraId="1C8F3C4E">
      <w:pPr>
        <w:snapToGrid w:val="0"/>
        <w:spacing w:line="360" w:lineRule="exact"/>
        <w:ind w:left="422" w:hanging="422" w:hangingChars="200"/>
        <w:rPr>
          <w:rFonts w:ascii="宋体" w:hAnsi="宋体" w:cs="仿宋"/>
          <w:b/>
          <w:szCs w:val="21"/>
          <w:lang w:bidi="ar"/>
        </w:rPr>
      </w:pPr>
      <w:r>
        <w:rPr>
          <w:rFonts w:hint="eastAsia" w:ascii="宋体" w:hAnsi="宋体" w:cs="仿宋"/>
          <w:b/>
          <w:szCs w:val="21"/>
          <w:lang w:bidi="ar"/>
        </w:rPr>
        <w:t>第十一条  合同争议解决</w:t>
      </w:r>
    </w:p>
    <w:p w14:paraId="633BE7CA">
      <w:pPr>
        <w:snapToGrid w:val="0"/>
        <w:spacing w:line="360" w:lineRule="exact"/>
        <w:ind w:left="61" w:leftChars="29" w:firstLine="424" w:firstLineChars="202"/>
        <w:rPr>
          <w:rFonts w:ascii="宋体" w:hAnsi="宋体" w:cs="仿宋"/>
          <w:szCs w:val="21"/>
          <w:lang w:bidi="ar"/>
        </w:rPr>
      </w:pPr>
      <w:r>
        <w:rPr>
          <w:rFonts w:hint="eastAsia" w:ascii="宋体" w:hAnsi="宋体" w:cs="仿宋"/>
          <w:szCs w:val="21"/>
          <w:lang w:bidi="ar"/>
        </w:rPr>
        <w:t>1、因服务及伴随的货物（含设备零配件及系统升级、维保等）质量问题发生争议的，应邀请国家认可的质量检测机构进行鉴定。服务及伴随的货物（含设备零配件及系统升级、维保等）符合标准的，鉴定费由甲方承担；服务及伴随的货物（含设备零配件及系统升级、维保等）不符合标准的，鉴定费由乙方承担。</w:t>
      </w:r>
    </w:p>
    <w:p w14:paraId="225D3556">
      <w:pPr>
        <w:snapToGrid w:val="0"/>
        <w:spacing w:line="360" w:lineRule="exact"/>
        <w:ind w:left="61" w:leftChars="29" w:firstLine="424" w:firstLineChars="202"/>
        <w:rPr>
          <w:rFonts w:ascii="宋体" w:hAnsi="宋体" w:cs="仿宋"/>
          <w:szCs w:val="21"/>
          <w:lang w:bidi="ar"/>
        </w:rPr>
      </w:pPr>
      <w:r>
        <w:rPr>
          <w:rFonts w:hint="eastAsia" w:ascii="宋体" w:hAnsi="宋体" w:cs="仿宋"/>
          <w:szCs w:val="21"/>
          <w:lang w:bidi="ar"/>
        </w:rPr>
        <w:t>2、因履行本合同引起的或者与本合同有关的争议，甲乙双方应首先通过友好协商解决，如果协商不能解决，可向甲方所在地有管辖权的人民法院提起诉讼。</w:t>
      </w:r>
    </w:p>
    <w:p w14:paraId="3E267CA7">
      <w:pPr>
        <w:snapToGrid w:val="0"/>
        <w:spacing w:line="360" w:lineRule="exact"/>
        <w:ind w:left="61" w:leftChars="29" w:firstLine="424" w:firstLineChars="202"/>
        <w:rPr>
          <w:rFonts w:ascii="宋体" w:hAnsi="宋体" w:cs="仿宋"/>
          <w:b/>
          <w:szCs w:val="21"/>
          <w:lang w:bidi="ar"/>
        </w:rPr>
      </w:pPr>
      <w:r>
        <w:rPr>
          <w:rFonts w:hint="eastAsia" w:ascii="宋体" w:hAnsi="宋体" w:cs="仿宋"/>
          <w:szCs w:val="21"/>
          <w:lang w:bidi="ar"/>
        </w:rPr>
        <w:t>3、诉讼期间，本合同继续履行。</w:t>
      </w:r>
    </w:p>
    <w:p w14:paraId="58664AF8">
      <w:pPr>
        <w:snapToGrid w:val="0"/>
        <w:spacing w:line="360" w:lineRule="exact"/>
        <w:ind w:left="422" w:hanging="422" w:hangingChars="200"/>
        <w:rPr>
          <w:rFonts w:ascii="宋体" w:hAnsi="宋体" w:cs="仿宋"/>
          <w:b/>
          <w:szCs w:val="21"/>
        </w:rPr>
      </w:pPr>
      <w:r>
        <w:rPr>
          <w:rFonts w:hint="eastAsia" w:ascii="宋体" w:hAnsi="宋体" w:cs="仿宋"/>
          <w:b/>
          <w:szCs w:val="21"/>
          <w:lang w:bidi="ar"/>
        </w:rPr>
        <w:t>第十二条  合同生效及其它</w:t>
      </w:r>
    </w:p>
    <w:p w14:paraId="1C9E2A27">
      <w:pPr>
        <w:snapToGrid w:val="0"/>
        <w:spacing w:line="360" w:lineRule="exact"/>
        <w:ind w:firstLine="424" w:firstLineChars="202"/>
        <w:rPr>
          <w:rFonts w:ascii="宋体" w:hAnsi="宋体" w:cs="仿宋"/>
          <w:bCs/>
          <w:szCs w:val="21"/>
        </w:rPr>
      </w:pPr>
      <w:r>
        <w:rPr>
          <w:rFonts w:hint="eastAsia" w:ascii="宋体" w:hAnsi="宋体" w:cs="仿宋"/>
          <w:bCs/>
          <w:szCs w:val="21"/>
          <w:lang w:bidi="ar"/>
        </w:rPr>
        <w:t>1、合同经双方法定代表人或授权代表签字并加盖单位公章后生效。</w:t>
      </w:r>
    </w:p>
    <w:p w14:paraId="45A5DD27">
      <w:pPr>
        <w:snapToGrid w:val="0"/>
        <w:spacing w:line="360" w:lineRule="exact"/>
        <w:ind w:firstLine="424" w:firstLineChars="202"/>
        <w:rPr>
          <w:rFonts w:ascii="宋体" w:hAnsi="宋体" w:cs="仿宋"/>
          <w:bCs/>
          <w:szCs w:val="21"/>
        </w:rPr>
      </w:pPr>
      <w:r>
        <w:rPr>
          <w:rFonts w:hint="eastAsia" w:ascii="宋体" w:hAnsi="宋体" w:cs="仿宋"/>
          <w:bCs/>
          <w:szCs w:val="21"/>
          <w:lang w:bidi="ar"/>
        </w:rPr>
        <w:t>2、合同执行中涉及采购资金和采购内容修改或补充的，须经财政部门审批，并签书面补充协议报财政部门备案，方可作为主合同不可分割的一部分。</w:t>
      </w:r>
    </w:p>
    <w:p w14:paraId="7803262F">
      <w:pPr>
        <w:snapToGrid w:val="0"/>
        <w:spacing w:line="360" w:lineRule="exact"/>
        <w:ind w:firstLine="424" w:firstLineChars="202"/>
        <w:rPr>
          <w:rFonts w:ascii="宋体" w:hAnsi="宋体" w:cs="仿宋"/>
          <w:bCs/>
          <w:szCs w:val="21"/>
        </w:rPr>
      </w:pPr>
      <w:r>
        <w:rPr>
          <w:rFonts w:hint="eastAsia" w:ascii="宋体" w:hAnsi="宋体" w:cs="仿宋"/>
          <w:bCs/>
          <w:szCs w:val="21"/>
          <w:lang w:bidi="ar"/>
        </w:rPr>
        <w:t>3.本合同未尽事宜，遵照《中华人民共和国民法典》有关条文执行。</w:t>
      </w:r>
    </w:p>
    <w:p w14:paraId="3B372383">
      <w:pPr>
        <w:snapToGrid w:val="0"/>
        <w:spacing w:line="360" w:lineRule="exact"/>
        <w:ind w:left="422" w:hanging="422" w:hangingChars="200"/>
        <w:rPr>
          <w:rFonts w:ascii="宋体" w:hAnsi="宋体" w:cs="仿宋"/>
          <w:b/>
          <w:szCs w:val="21"/>
        </w:rPr>
      </w:pPr>
      <w:r>
        <w:rPr>
          <w:rFonts w:hint="eastAsia" w:ascii="宋体" w:hAnsi="宋体" w:cs="仿宋"/>
          <w:b/>
          <w:szCs w:val="21"/>
          <w:lang w:bidi="ar"/>
        </w:rPr>
        <w:t>第十三条  合同的变更、终止与转让</w:t>
      </w:r>
    </w:p>
    <w:p w14:paraId="3E98655D">
      <w:pPr>
        <w:snapToGrid w:val="0"/>
        <w:spacing w:line="360" w:lineRule="exact"/>
        <w:ind w:firstLine="424" w:firstLineChars="202"/>
        <w:rPr>
          <w:rFonts w:ascii="宋体" w:hAnsi="宋体" w:cs="仿宋"/>
          <w:bCs/>
          <w:szCs w:val="21"/>
        </w:rPr>
      </w:pPr>
      <w:r>
        <w:rPr>
          <w:rFonts w:hint="eastAsia" w:ascii="宋体" w:hAnsi="宋体" w:cs="仿宋"/>
          <w:bCs/>
          <w:szCs w:val="21"/>
          <w:lang w:bidi="ar"/>
        </w:rPr>
        <w:t>1、除《中华人民共和国政府采购法》第五十条规定的情形外，本合同一经签订，甲乙双方不得擅自变更、中止或终止。</w:t>
      </w:r>
    </w:p>
    <w:p w14:paraId="11B46771">
      <w:pPr>
        <w:snapToGrid w:val="0"/>
        <w:spacing w:line="360" w:lineRule="exact"/>
        <w:ind w:firstLine="424" w:firstLineChars="202"/>
        <w:rPr>
          <w:rFonts w:ascii="宋体" w:hAnsi="宋体" w:cs="仿宋"/>
          <w:bCs/>
          <w:szCs w:val="21"/>
        </w:rPr>
      </w:pPr>
      <w:r>
        <w:rPr>
          <w:rFonts w:hint="eastAsia" w:ascii="宋体" w:hAnsi="宋体" w:cs="仿宋"/>
          <w:bCs/>
          <w:szCs w:val="21"/>
          <w:lang w:bidi="ar"/>
        </w:rPr>
        <w:t>2、乙方不得擅自转让其应履行的合同义务。</w:t>
      </w:r>
    </w:p>
    <w:p w14:paraId="2111547E">
      <w:pPr>
        <w:snapToGrid w:val="0"/>
        <w:spacing w:line="360" w:lineRule="exact"/>
        <w:ind w:left="422" w:hanging="422" w:hangingChars="200"/>
        <w:rPr>
          <w:rFonts w:ascii="宋体" w:hAnsi="宋体" w:cs="仿宋"/>
          <w:b/>
          <w:szCs w:val="21"/>
        </w:rPr>
      </w:pPr>
      <w:r>
        <w:rPr>
          <w:rFonts w:hint="eastAsia" w:ascii="宋体" w:hAnsi="宋体" w:cs="仿宋"/>
          <w:b/>
          <w:szCs w:val="21"/>
          <w:lang w:bidi="ar"/>
        </w:rPr>
        <w:t>第十四条  签订本合同依据</w:t>
      </w:r>
    </w:p>
    <w:p w14:paraId="2DFCB22F">
      <w:pPr>
        <w:snapToGrid w:val="0"/>
        <w:spacing w:line="360" w:lineRule="exact"/>
        <w:ind w:firstLine="424" w:firstLineChars="202"/>
        <w:rPr>
          <w:rFonts w:ascii="宋体" w:hAnsi="宋体" w:cs="仿宋"/>
          <w:bCs/>
          <w:szCs w:val="21"/>
        </w:rPr>
      </w:pPr>
      <w:r>
        <w:rPr>
          <w:rFonts w:hint="eastAsia" w:ascii="宋体" w:hAnsi="宋体" w:cs="仿宋"/>
          <w:bCs/>
          <w:szCs w:val="21"/>
          <w:lang w:bidi="ar"/>
        </w:rPr>
        <w:t>1、竞争性磋商文件；</w:t>
      </w:r>
    </w:p>
    <w:p w14:paraId="2F80B3B9">
      <w:pPr>
        <w:snapToGrid w:val="0"/>
        <w:spacing w:line="360" w:lineRule="exact"/>
        <w:ind w:firstLine="424" w:firstLineChars="202"/>
        <w:rPr>
          <w:rFonts w:ascii="宋体" w:hAnsi="宋体" w:cs="仿宋"/>
          <w:bCs/>
          <w:szCs w:val="21"/>
        </w:rPr>
      </w:pPr>
      <w:r>
        <w:rPr>
          <w:rFonts w:hint="eastAsia" w:ascii="宋体" w:hAnsi="宋体" w:cs="仿宋"/>
          <w:bCs/>
          <w:szCs w:val="21"/>
          <w:lang w:bidi="ar"/>
        </w:rPr>
        <w:t>2、乙方提供的投标（或澄清）文件；</w:t>
      </w:r>
    </w:p>
    <w:p w14:paraId="3F68CE0E">
      <w:pPr>
        <w:snapToGrid w:val="0"/>
        <w:spacing w:line="360" w:lineRule="exact"/>
        <w:ind w:firstLine="424" w:firstLineChars="202"/>
        <w:rPr>
          <w:rFonts w:ascii="宋体" w:hAnsi="宋体" w:cs="仿宋"/>
          <w:bCs/>
          <w:szCs w:val="21"/>
        </w:rPr>
      </w:pPr>
      <w:r>
        <w:rPr>
          <w:rFonts w:hint="eastAsia" w:ascii="宋体" w:hAnsi="宋体" w:cs="仿宋"/>
          <w:bCs/>
          <w:szCs w:val="21"/>
          <w:lang w:bidi="ar"/>
        </w:rPr>
        <w:t>3、承诺书；</w:t>
      </w:r>
    </w:p>
    <w:p w14:paraId="7D52DEF7">
      <w:pPr>
        <w:snapToGrid w:val="0"/>
        <w:spacing w:line="360" w:lineRule="exact"/>
        <w:ind w:firstLine="424" w:firstLineChars="202"/>
        <w:rPr>
          <w:rFonts w:ascii="宋体" w:hAnsi="宋体" w:cs="仿宋"/>
          <w:bCs/>
          <w:szCs w:val="21"/>
          <w:lang w:bidi="ar"/>
        </w:rPr>
      </w:pPr>
      <w:r>
        <w:rPr>
          <w:rFonts w:hint="eastAsia" w:ascii="宋体" w:hAnsi="宋体" w:cs="仿宋"/>
          <w:bCs/>
          <w:szCs w:val="21"/>
          <w:lang w:bidi="ar"/>
        </w:rPr>
        <w:t>4、中标或成交通知书。</w:t>
      </w:r>
    </w:p>
    <w:p w14:paraId="6758C661">
      <w:pPr>
        <w:snapToGrid w:val="0"/>
        <w:spacing w:line="360" w:lineRule="exact"/>
        <w:ind w:firstLine="424" w:firstLineChars="202"/>
        <w:rPr>
          <w:rFonts w:ascii="宋体" w:hAnsi="宋体" w:cs="仿宋"/>
          <w:bCs/>
          <w:szCs w:val="21"/>
        </w:rPr>
      </w:pPr>
      <w:r>
        <w:rPr>
          <w:rFonts w:hint="eastAsia" w:ascii="宋体" w:hAnsi="宋体" w:cs="仿宋"/>
          <w:bCs/>
          <w:szCs w:val="21"/>
        </w:rPr>
        <w:t>上述合同文件互相补充和解释。如果合同文件之间存在矛盾或者不一致之处，以上述文件的排列顺序在先者为准。</w:t>
      </w:r>
    </w:p>
    <w:p w14:paraId="75BACFEA">
      <w:pPr>
        <w:snapToGrid w:val="0"/>
        <w:spacing w:line="360" w:lineRule="exact"/>
        <w:ind w:left="2"/>
        <w:rPr>
          <w:rFonts w:ascii="宋体" w:hAnsi="宋体" w:cs="仿宋"/>
          <w:b/>
          <w:szCs w:val="21"/>
          <w:lang w:bidi="ar"/>
        </w:rPr>
      </w:pPr>
      <w:r>
        <w:rPr>
          <w:rFonts w:hint="eastAsia" w:ascii="宋体" w:hAnsi="宋体" w:cs="仿宋"/>
          <w:b/>
          <w:szCs w:val="21"/>
          <w:lang w:bidi="ar"/>
        </w:rPr>
        <w:t>第十五条  合同份数与附件</w:t>
      </w:r>
    </w:p>
    <w:p w14:paraId="79288158">
      <w:pPr>
        <w:snapToGrid w:val="0"/>
        <w:spacing w:line="360" w:lineRule="exact"/>
        <w:ind w:left="2" w:firstLine="342" w:firstLineChars="163"/>
        <w:rPr>
          <w:rFonts w:ascii="宋体" w:hAnsi="宋体" w:cs="仿宋"/>
          <w:bCs/>
          <w:szCs w:val="21"/>
        </w:rPr>
      </w:pPr>
      <w:r>
        <w:rPr>
          <w:rFonts w:hint="eastAsia" w:ascii="宋体" w:hAnsi="宋体" w:cs="仿宋"/>
          <w:szCs w:val="21"/>
          <w:lang w:bidi="ar"/>
        </w:rPr>
        <w:t>1</w:t>
      </w:r>
      <w:r>
        <w:rPr>
          <w:rFonts w:hint="eastAsia" w:ascii="宋体" w:hAnsi="宋体" w:cs="仿宋"/>
          <w:bCs/>
          <w:szCs w:val="21"/>
          <w:lang w:bidi="ar"/>
        </w:rPr>
        <w:t>、本合同一式</w:t>
      </w:r>
      <w:r>
        <w:rPr>
          <w:rFonts w:hint="eastAsia" w:ascii="宋体" w:hAnsi="宋体" w:cs="仿宋"/>
          <w:bCs/>
          <w:szCs w:val="21"/>
          <w:lang w:val="en-US" w:eastAsia="zh-CN" w:bidi="ar"/>
        </w:rPr>
        <w:t>伍</w:t>
      </w:r>
      <w:r>
        <w:rPr>
          <w:rFonts w:hint="eastAsia" w:ascii="宋体" w:hAnsi="宋体" w:cs="仿宋"/>
          <w:bCs/>
          <w:szCs w:val="21"/>
          <w:lang w:bidi="ar"/>
        </w:rPr>
        <w:t>份，具有同等法律效力，</w:t>
      </w:r>
      <w:r>
        <w:rPr>
          <w:rFonts w:hint="eastAsia" w:ascii="宋体" w:hAnsi="宋体" w:cs="仿宋"/>
          <w:bCs/>
          <w:szCs w:val="21"/>
          <w:lang w:val="en-US" w:eastAsia="zh-CN" w:bidi="ar"/>
        </w:rPr>
        <w:t>甲方叁分</w:t>
      </w:r>
      <w:r>
        <w:rPr>
          <w:rFonts w:hint="eastAsia" w:ascii="宋体" w:hAnsi="宋体" w:cs="仿宋"/>
          <w:bCs/>
          <w:szCs w:val="21"/>
          <w:lang w:bidi="ar"/>
        </w:rPr>
        <w:t>，</w:t>
      </w:r>
      <w:r>
        <w:rPr>
          <w:rFonts w:hint="eastAsia" w:ascii="宋体" w:hAnsi="宋体" w:cs="仿宋"/>
          <w:bCs/>
          <w:szCs w:val="21"/>
          <w:lang w:val="en-US" w:eastAsia="zh-CN" w:bidi="ar"/>
        </w:rPr>
        <w:t>乙方贰份</w:t>
      </w:r>
      <w:r>
        <w:rPr>
          <w:rFonts w:hint="eastAsia" w:ascii="宋体" w:hAnsi="宋体" w:cs="仿宋"/>
          <w:bCs/>
          <w:szCs w:val="21"/>
          <w:lang w:bidi="ar"/>
        </w:rPr>
        <w:t>（可根据需要另增加）。</w:t>
      </w:r>
    </w:p>
    <w:p w14:paraId="502BF5A6">
      <w:pPr>
        <w:snapToGrid w:val="0"/>
        <w:spacing w:line="360" w:lineRule="exact"/>
        <w:ind w:left="2" w:firstLine="342" w:firstLineChars="163"/>
        <w:rPr>
          <w:rFonts w:ascii="宋体" w:hAnsi="宋体" w:cs="仿宋"/>
          <w:bCs/>
          <w:szCs w:val="21"/>
        </w:rPr>
      </w:pPr>
      <w:r>
        <w:rPr>
          <w:rFonts w:hint="eastAsia" w:ascii="宋体" w:hAnsi="宋体" w:cs="仿宋"/>
          <w:bCs/>
          <w:szCs w:val="21"/>
        </w:rPr>
        <w:t>2、本合同附件：</w:t>
      </w:r>
    </w:p>
    <w:p w14:paraId="048895DA">
      <w:pPr>
        <w:snapToGrid w:val="0"/>
        <w:spacing w:line="360" w:lineRule="exact"/>
        <w:ind w:left="2" w:firstLine="342" w:firstLineChars="163"/>
        <w:rPr>
          <w:rFonts w:ascii="宋体" w:hAnsi="宋体" w:cs="仿宋"/>
          <w:bCs/>
          <w:szCs w:val="21"/>
        </w:rPr>
      </w:pPr>
      <w:r>
        <w:rPr>
          <w:rFonts w:hint="eastAsia" w:ascii="宋体" w:hAnsi="宋体" w:cs="仿宋"/>
          <w:bCs/>
          <w:szCs w:val="21"/>
        </w:rPr>
        <w:t>（1）产品配置清单；</w:t>
      </w:r>
    </w:p>
    <w:p w14:paraId="4264D511">
      <w:pPr>
        <w:snapToGrid w:val="0"/>
        <w:spacing w:line="360" w:lineRule="exact"/>
        <w:ind w:left="2" w:firstLine="342" w:firstLineChars="163"/>
        <w:rPr>
          <w:rFonts w:ascii="宋体" w:hAnsi="宋体" w:cs="仿宋"/>
          <w:bCs/>
          <w:szCs w:val="21"/>
        </w:rPr>
      </w:pPr>
      <w:r>
        <w:rPr>
          <w:rFonts w:hint="eastAsia" w:ascii="宋体" w:hAnsi="宋体" w:cs="仿宋"/>
          <w:bCs/>
          <w:szCs w:val="21"/>
        </w:rPr>
        <w:t>（2）售后服务承诺书；</w:t>
      </w:r>
    </w:p>
    <w:p w14:paraId="489631D2">
      <w:pPr>
        <w:snapToGrid w:val="0"/>
        <w:spacing w:line="360" w:lineRule="exact"/>
        <w:ind w:left="2" w:firstLine="342" w:firstLineChars="163"/>
        <w:rPr>
          <w:rFonts w:ascii="宋体" w:hAnsi="宋体" w:cs="仿宋"/>
          <w:bCs/>
          <w:szCs w:val="21"/>
        </w:rPr>
      </w:pPr>
      <w:r>
        <w:rPr>
          <w:rFonts w:hint="eastAsia" w:ascii="宋体" w:hAnsi="宋体" w:cs="仿宋"/>
          <w:bCs/>
          <w:szCs w:val="21"/>
        </w:rPr>
        <w:t>（3）设备维保考核制度：</w:t>
      </w:r>
    </w:p>
    <w:p w14:paraId="18EC1F09">
      <w:pPr>
        <w:snapToGrid w:val="0"/>
        <w:spacing w:line="360" w:lineRule="exact"/>
        <w:rPr>
          <w:rFonts w:ascii="宋体" w:hAnsi="宋体" w:cs="仿宋"/>
          <w:bCs/>
          <w:szCs w:val="21"/>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BEF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261" w:type="dxa"/>
            <w:tcBorders>
              <w:top w:val="single" w:color="auto" w:sz="4" w:space="0"/>
              <w:left w:val="single" w:color="auto" w:sz="4" w:space="0"/>
              <w:bottom w:val="single" w:color="auto" w:sz="4" w:space="0"/>
              <w:right w:val="single" w:color="auto" w:sz="4" w:space="0"/>
            </w:tcBorders>
            <w:noWrap w:val="0"/>
            <w:vAlign w:val="center"/>
          </w:tcPr>
          <w:p w14:paraId="5EB4A786">
            <w:pPr>
              <w:snapToGrid w:val="0"/>
              <w:ind w:left="480" w:hanging="480" w:hangingChars="200"/>
              <w:rPr>
                <w:rFonts w:ascii="宋体" w:hAnsi="宋体" w:cs="仿宋"/>
                <w:bCs/>
                <w:sz w:val="24"/>
              </w:rPr>
            </w:pPr>
            <w:r>
              <w:rPr>
                <w:rFonts w:hint="eastAsia" w:ascii="宋体" w:hAnsi="宋体" w:cs="仿宋"/>
                <w:bCs/>
                <w:sz w:val="24"/>
                <w:lang w:bidi="ar"/>
              </w:rPr>
              <w:t>甲方（章）</w:t>
            </w:r>
          </w:p>
          <w:p w14:paraId="49ED1AAD">
            <w:pPr>
              <w:snapToGrid w:val="0"/>
              <w:ind w:left="480" w:hanging="480" w:hangingChars="200"/>
              <w:rPr>
                <w:rFonts w:ascii="宋体" w:hAnsi="宋体" w:cs="仿宋"/>
                <w:bCs/>
                <w:sz w:val="24"/>
              </w:rPr>
            </w:pPr>
          </w:p>
          <w:p w14:paraId="3C641827">
            <w:pPr>
              <w:snapToGrid w:val="0"/>
              <w:ind w:left="480" w:hanging="480" w:hangingChars="200"/>
              <w:rPr>
                <w:rFonts w:ascii="宋体" w:hAnsi="宋体" w:cs="仿宋"/>
                <w:bCs/>
                <w:sz w:val="24"/>
              </w:rPr>
            </w:pPr>
            <w:r>
              <w:rPr>
                <w:rFonts w:hint="eastAsia" w:ascii="宋体" w:hAnsi="宋体" w:cs="仿宋"/>
                <w:bCs/>
                <w:sz w:val="24"/>
                <w:lang w:bidi="ar"/>
              </w:rPr>
              <w:t>年   月   日</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05E2925F">
            <w:pPr>
              <w:snapToGrid w:val="0"/>
              <w:ind w:left="480" w:hanging="480" w:hangingChars="200"/>
              <w:rPr>
                <w:rFonts w:ascii="宋体" w:hAnsi="宋体" w:cs="仿宋"/>
                <w:bCs/>
                <w:sz w:val="24"/>
              </w:rPr>
            </w:pPr>
            <w:r>
              <w:rPr>
                <w:rFonts w:hint="eastAsia" w:ascii="宋体" w:hAnsi="宋体" w:cs="仿宋"/>
                <w:bCs/>
                <w:sz w:val="24"/>
                <w:lang w:bidi="ar"/>
              </w:rPr>
              <w:t>乙方（章）</w:t>
            </w:r>
          </w:p>
          <w:p w14:paraId="25DF25F0">
            <w:pPr>
              <w:snapToGrid w:val="0"/>
              <w:ind w:left="480" w:hanging="480" w:hangingChars="200"/>
              <w:rPr>
                <w:rFonts w:ascii="宋体" w:hAnsi="宋体" w:cs="仿宋"/>
                <w:bCs/>
                <w:sz w:val="24"/>
              </w:rPr>
            </w:pPr>
          </w:p>
          <w:p w14:paraId="382BB047">
            <w:pPr>
              <w:snapToGrid w:val="0"/>
              <w:ind w:left="480" w:hanging="480" w:hangingChars="200"/>
              <w:rPr>
                <w:rFonts w:ascii="宋体" w:hAnsi="宋体" w:cs="仿宋"/>
                <w:bCs/>
                <w:sz w:val="24"/>
              </w:rPr>
            </w:pPr>
            <w:r>
              <w:rPr>
                <w:rFonts w:hint="eastAsia" w:ascii="宋体" w:hAnsi="宋体" w:cs="仿宋"/>
                <w:bCs/>
                <w:sz w:val="24"/>
                <w:lang w:bidi="ar"/>
              </w:rPr>
              <w:t xml:space="preserve"> 年   月   日</w:t>
            </w:r>
          </w:p>
        </w:tc>
      </w:tr>
      <w:tr w14:paraId="5EEC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1" w:type="dxa"/>
            <w:tcBorders>
              <w:top w:val="single" w:color="auto" w:sz="4" w:space="0"/>
              <w:left w:val="single" w:color="auto" w:sz="4" w:space="0"/>
              <w:bottom w:val="single" w:color="auto" w:sz="4" w:space="0"/>
              <w:right w:val="single" w:color="auto" w:sz="4" w:space="0"/>
            </w:tcBorders>
            <w:noWrap w:val="0"/>
            <w:vAlign w:val="center"/>
          </w:tcPr>
          <w:p w14:paraId="1949D2D9">
            <w:pPr>
              <w:snapToGrid w:val="0"/>
              <w:ind w:left="420" w:hanging="420" w:hangingChars="200"/>
              <w:rPr>
                <w:rFonts w:ascii="宋体" w:hAnsi="宋体" w:cs="仿宋"/>
                <w:bCs/>
                <w:szCs w:val="21"/>
              </w:rPr>
            </w:pPr>
            <w:r>
              <w:rPr>
                <w:rFonts w:hint="eastAsia" w:ascii="宋体" w:hAnsi="宋体" w:cs="仿宋"/>
                <w:bCs/>
                <w:szCs w:val="21"/>
                <w:lang w:bidi="ar"/>
              </w:rPr>
              <w:t>单位地址：</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698516E1">
            <w:pPr>
              <w:snapToGrid w:val="0"/>
              <w:ind w:left="420" w:hanging="420" w:hangingChars="200"/>
              <w:rPr>
                <w:rFonts w:ascii="宋体" w:hAnsi="宋体" w:cs="仿宋"/>
                <w:bCs/>
                <w:szCs w:val="21"/>
              </w:rPr>
            </w:pPr>
            <w:r>
              <w:rPr>
                <w:rFonts w:hint="eastAsia" w:ascii="宋体" w:hAnsi="宋体" w:cs="仿宋"/>
                <w:bCs/>
                <w:szCs w:val="21"/>
                <w:lang w:bidi="ar"/>
              </w:rPr>
              <w:t>单位地址：</w:t>
            </w:r>
          </w:p>
        </w:tc>
      </w:tr>
      <w:tr w14:paraId="7976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4261" w:type="dxa"/>
            <w:tcBorders>
              <w:top w:val="single" w:color="auto" w:sz="4" w:space="0"/>
              <w:left w:val="single" w:color="auto" w:sz="4" w:space="0"/>
              <w:right w:val="single" w:color="auto" w:sz="4" w:space="0"/>
            </w:tcBorders>
            <w:noWrap w:val="0"/>
            <w:vAlign w:val="center"/>
          </w:tcPr>
          <w:p w14:paraId="52843CA5">
            <w:pPr>
              <w:snapToGrid w:val="0"/>
              <w:ind w:left="420" w:hanging="420" w:hangingChars="200"/>
              <w:rPr>
                <w:rFonts w:ascii="宋体" w:hAnsi="宋体" w:cs="仿宋"/>
                <w:bCs/>
                <w:szCs w:val="21"/>
              </w:rPr>
            </w:pPr>
            <w:r>
              <w:rPr>
                <w:rFonts w:hint="eastAsia" w:ascii="宋体" w:hAnsi="宋体" w:cs="仿宋"/>
                <w:bCs/>
                <w:szCs w:val="21"/>
                <w:lang w:bidi="ar"/>
              </w:rPr>
              <w:t>法定代表人</w:t>
            </w:r>
            <w:r>
              <w:rPr>
                <w:rFonts w:hint="eastAsia" w:ascii="宋体" w:hAnsi="宋体" w:cs="仿宋"/>
                <w:bCs/>
                <w:szCs w:val="21"/>
                <w:lang w:val="en-US" w:eastAsia="zh-CN" w:bidi="ar"/>
              </w:rPr>
              <w:t>或</w:t>
            </w:r>
            <w:r>
              <w:rPr>
                <w:rFonts w:hint="eastAsia" w:ascii="宋体" w:hAnsi="宋体" w:cs="仿宋"/>
                <w:bCs/>
                <w:szCs w:val="21"/>
                <w:lang w:bidi="ar"/>
              </w:rPr>
              <w:t>委托代理人</w:t>
            </w:r>
            <w:r>
              <w:rPr>
                <w:rFonts w:hint="eastAsia" w:ascii="宋体" w:hAnsi="宋体" w:cs="仿宋"/>
                <w:bCs/>
                <w:szCs w:val="21"/>
                <w:lang w:val="en-US" w:eastAsia="zh-CN" w:bidi="ar"/>
              </w:rPr>
              <w:t>签字或盖章</w:t>
            </w:r>
            <w:r>
              <w:rPr>
                <w:rFonts w:hint="eastAsia" w:ascii="宋体" w:hAnsi="宋体" w:cs="仿宋"/>
                <w:bCs/>
                <w:szCs w:val="21"/>
                <w:lang w:bidi="ar"/>
              </w:rPr>
              <w:t>：</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0A066A33">
            <w:pPr>
              <w:snapToGrid w:val="0"/>
              <w:ind w:left="420" w:hanging="420" w:hangingChars="200"/>
              <w:rPr>
                <w:rFonts w:ascii="宋体" w:hAnsi="宋体" w:cs="仿宋"/>
                <w:bCs/>
                <w:szCs w:val="21"/>
              </w:rPr>
            </w:pPr>
            <w:r>
              <w:rPr>
                <w:rFonts w:hint="eastAsia" w:ascii="宋体" w:hAnsi="宋体" w:cs="仿宋"/>
                <w:bCs/>
                <w:szCs w:val="21"/>
                <w:lang w:bidi="ar"/>
              </w:rPr>
              <w:t>法定代表人委托代理人</w:t>
            </w:r>
            <w:r>
              <w:rPr>
                <w:rFonts w:hint="eastAsia" w:ascii="宋体" w:hAnsi="宋体" w:cs="仿宋"/>
                <w:bCs/>
                <w:szCs w:val="21"/>
                <w:lang w:val="en-US" w:eastAsia="zh-CN" w:bidi="ar"/>
              </w:rPr>
              <w:t>签字或盖章</w:t>
            </w:r>
            <w:r>
              <w:rPr>
                <w:rFonts w:hint="eastAsia" w:ascii="宋体" w:hAnsi="宋体" w:cs="仿宋"/>
                <w:bCs/>
                <w:szCs w:val="21"/>
                <w:lang w:bidi="ar"/>
              </w:rPr>
              <w:t>：</w:t>
            </w:r>
          </w:p>
        </w:tc>
      </w:tr>
      <w:tr w14:paraId="6B1E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1" w:type="dxa"/>
            <w:tcBorders>
              <w:top w:val="single" w:color="auto" w:sz="4" w:space="0"/>
              <w:left w:val="single" w:color="auto" w:sz="4" w:space="0"/>
              <w:bottom w:val="single" w:color="auto" w:sz="4" w:space="0"/>
              <w:right w:val="single" w:color="auto" w:sz="4" w:space="0"/>
            </w:tcBorders>
            <w:noWrap w:val="0"/>
            <w:vAlign w:val="center"/>
          </w:tcPr>
          <w:p w14:paraId="6B5378D5">
            <w:pPr>
              <w:snapToGrid w:val="0"/>
              <w:ind w:left="420" w:hanging="420" w:hangingChars="200"/>
              <w:rPr>
                <w:rFonts w:ascii="宋体" w:hAnsi="宋体" w:cs="仿宋"/>
                <w:bCs/>
                <w:szCs w:val="21"/>
              </w:rPr>
            </w:pPr>
            <w:r>
              <w:rPr>
                <w:rFonts w:hint="eastAsia" w:ascii="宋体" w:hAnsi="宋体" w:cs="仿宋"/>
                <w:bCs/>
                <w:szCs w:val="21"/>
                <w:lang w:bidi="ar"/>
              </w:rPr>
              <w:t>电    话：</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3A1E5B94">
            <w:pPr>
              <w:snapToGrid w:val="0"/>
              <w:ind w:left="420" w:hanging="420" w:hangingChars="200"/>
              <w:rPr>
                <w:rFonts w:ascii="宋体" w:hAnsi="宋体" w:cs="仿宋"/>
                <w:bCs/>
                <w:szCs w:val="21"/>
              </w:rPr>
            </w:pPr>
            <w:r>
              <w:rPr>
                <w:rFonts w:hint="eastAsia" w:ascii="宋体" w:hAnsi="宋体" w:cs="仿宋"/>
                <w:bCs/>
                <w:szCs w:val="21"/>
                <w:lang w:bidi="ar"/>
              </w:rPr>
              <w:t>电    话：</w:t>
            </w:r>
          </w:p>
        </w:tc>
      </w:tr>
      <w:tr w14:paraId="47CA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1" w:type="dxa"/>
            <w:tcBorders>
              <w:top w:val="single" w:color="auto" w:sz="4" w:space="0"/>
              <w:left w:val="single" w:color="auto" w:sz="4" w:space="0"/>
              <w:bottom w:val="single" w:color="auto" w:sz="4" w:space="0"/>
              <w:right w:val="single" w:color="auto" w:sz="4" w:space="0"/>
            </w:tcBorders>
            <w:noWrap w:val="0"/>
            <w:vAlign w:val="center"/>
          </w:tcPr>
          <w:p w14:paraId="7B3288B4">
            <w:pPr>
              <w:snapToGrid w:val="0"/>
              <w:ind w:left="420" w:hanging="420" w:hangingChars="200"/>
              <w:rPr>
                <w:rFonts w:ascii="宋体" w:hAnsi="宋体" w:cs="仿宋"/>
                <w:bCs/>
                <w:szCs w:val="21"/>
              </w:rPr>
            </w:pPr>
            <w:r>
              <w:rPr>
                <w:rFonts w:hint="eastAsia" w:ascii="宋体" w:hAnsi="宋体" w:cs="仿宋"/>
                <w:bCs/>
                <w:szCs w:val="21"/>
                <w:lang w:bidi="ar"/>
              </w:rPr>
              <w:t>电子邮箱：</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061F0D99">
            <w:pPr>
              <w:snapToGrid w:val="0"/>
              <w:ind w:left="420" w:hanging="420" w:hangingChars="200"/>
              <w:rPr>
                <w:rFonts w:ascii="宋体" w:hAnsi="宋体" w:cs="仿宋"/>
                <w:bCs/>
                <w:szCs w:val="21"/>
              </w:rPr>
            </w:pPr>
            <w:r>
              <w:rPr>
                <w:rFonts w:hint="eastAsia" w:ascii="宋体" w:hAnsi="宋体" w:cs="仿宋"/>
                <w:bCs/>
                <w:szCs w:val="21"/>
                <w:lang w:bidi="ar"/>
              </w:rPr>
              <w:t>电子邮箱：</w:t>
            </w:r>
          </w:p>
        </w:tc>
      </w:tr>
      <w:tr w14:paraId="6DC2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1" w:type="dxa"/>
            <w:tcBorders>
              <w:top w:val="single" w:color="auto" w:sz="4" w:space="0"/>
              <w:left w:val="single" w:color="auto" w:sz="4" w:space="0"/>
              <w:bottom w:val="single" w:color="auto" w:sz="4" w:space="0"/>
              <w:right w:val="single" w:color="auto" w:sz="4" w:space="0"/>
            </w:tcBorders>
            <w:noWrap w:val="0"/>
            <w:vAlign w:val="center"/>
          </w:tcPr>
          <w:p w14:paraId="2EAA770D">
            <w:pPr>
              <w:snapToGrid w:val="0"/>
              <w:ind w:left="420" w:hanging="420" w:hangingChars="200"/>
              <w:rPr>
                <w:rFonts w:ascii="宋体" w:hAnsi="宋体" w:cs="仿宋"/>
                <w:bCs/>
                <w:szCs w:val="21"/>
              </w:rPr>
            </w:pPr>
            <w:r>
              <w:rPr>
                <w:rFonts w:hint="eastAsia" w:ascii="宋体" w:hAnsi="宋体" w:cs="仿宋"/>
                <w:bCs/>
                <w:szCs w:val="21"/>
                <w:lang w:bidi="ar"/>
              </w:rPr>
              <w:t>开户银行：</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38AF5E9A">
            <w:pPr>
              <w:snapToGrid w:val="0"/>
              <w:ind w:left="420" w:hanging="420" w:hangingChars="200"/>
              <w:rPr>
                <w:rFonts w:ascii="宋体" w:hAnsi="宋体" w:cs="仿宋"/>
                <w:bCs/>
                <w:szCs w:val="21"/>
              </w:rPr>
            </w:pPr>
            <w:r>
              <w:rPr>
                <w:rFonts w:hint="eastAsia" w:ascii="宋体" w:hAnsi="宋体" w:cs="仿宋"/>
                <w:bCs/>
                <w:szCs w:val="21"/>
                <w:lang w:bidi="ar"/>
              </w:rPr>
              <w:t>开户银行：</w:t>
            </w:r>
          </w:p>
        </w:tc>
      </w:tr>
      <w:tr w14:paraId="3BDA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1" w:type="dxa"/>
            <w:tcBorders>
              <w:top w:val="single" w:color="auto" w:sz="4" w:space="0"/>
              <w:left w:val="single" w:color="auto" w:sz="4" w:space="0"/>
              <w:bottom w:val="single" w:color="auto" w:sz="4" w:space="0"/>
              <w:right w:val="single" w:color="auto" w:sz="4" w:space="0"/>
            </w:tcBorders>
            <w:noWrap w:val="0"/>
            <w:vAlign w:val="center"/>
          </w:tcPr>
          <w:p w14:paraId="760E2421">
            <w:pPr>
              <w:snapToGrid w:val="0"/>
              <w:ind w:left="420" w:hanging="420" w:hangingChars="200"/>
              <w:rPr>
                <w:rFonts w:ascii="宋体" w:hAnsi="宋体" w:cs="仿宋"/>
                <w:bCs/>
                <w:szCs w:val="21"/>
              </w:rPr>
            </w:pPr>
            <w:r>
              <w:rPr>
                <w:rFonts w:hint="eastAsia" w:ascii="宋体" w:hAnsi="宋体" w:cs="仿宋"/>
                <w:bCs/>
                <w:szCs w:val="21"/>
                <w:lang w:bidi="ar"/>
              </w:rPr>
              <w:t>账    号：</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3493C5B1">
            <w:pPr>
              <w:snapToGrid w:val="0"/>
              <w:ind w:left="420" w:hanging="420" w:hangingChars="200"/>
              <w:rPr>
                <w:rFonts w:ascii="宋体" w:hAnsi="宋体" w:cs="仿宋"/>
                <w:bCs/>
                <w:szCs w:val="21"/>
              </w:rPr>
            </w:pPr>
            <w:r>
              <w:rPr>
                <w:rFonts w:hint="eastAsia" w:ascii="宋体" w:hAnsi="宋体" w:cs="仿宋"/>
                <w:bCs/>
                <w:szCs w:val="21"/>
                <w:lang w:bidi="ar"/>
              </w:rPr>
              <w:t>账    号：</w:t>
            </w:r>
          </w:p>
        </w:tc>
      </w:tr>
      <w:tr w14:paraId="3D49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61" w:type="dxa"/>
            <w:tcBorders>
              <w:top w:val="single" w:color="auto" w:sz="4" w:space="0"/>
              <w:left w:val="single" w:color="auto" w:sz="4" w:space="0"/>
              <w:bottom w:val="single" w:color="auto" w:sz="4" w:space="0"/>
              <w:right w:val="single" w:color="auto" w:sz="4" w:space="0"/>
            </w:tcBorders>
            <w:noWrap w:val="0"/>
            <w:vAlign w:val="center"/>
          </w:tcPr>
          <w:p w14:paraId="0D41DB46">
            <w:pPr>
              <w:snapToGrid w:val="0"/>
              <w:ind w:left="420" w:hanging="420" w:hangingChars="200"/>
              <w:rPr>
                <w:rFonts w:ascii="宋体" w:hAnsi="宋体" w:cs="仿宋"/>
                <w:bCs/>
                <w:szCs w:val="21"/>
              </w:rPr>
            </w:pPr>
            <w:r>
              <w:rPr>
                <w:rFonts w:hint="eastAsia" w:ascii="宋体" w:hAnsi="宋体" w:cs="仿宋"/>
                <w:bCs/>
                <w:szCs w:val="21"/>
                <w:lang w:bidi="ar"/>
              </w:rPr>
              <w:t>邮政编码：</w:t>
            </w:r>
          </w:p>
        </w:tc>
        <w:tc>
          <w:tcPr>
            <w:tcW w:w="4261" w:type="dxa"/>
            <w:tcBorders>
              <w:top w:val="single" w:color="auto" w:sz="4" w:space="0"/>
              <w:left w:val="single" w:color="auto" w:sz="4" w:space="0"/>
              <w:bottom w:val="single" w:color="auto" w:sz="4" w:space="0"/>
              <w:right w:val="single" w:color="auto" w:sz="4" w:space="0"/>
            </w:tcBorders>
            <w:noWrap w:val="0"/>
            <w:vAlign w:val="center"/>
          </w:tcPr>
          <w:p w14:paraId="50B1FBF8">
            <w:pPr>
              <w:snapToGrid w:val="0"/>
              <w:ind w:left="420" w:hanging="420" w:hangingChars="200"/>
              <w:rPr>
                <w:rFonts w:ascii="宋体" w:hAnsi="宋体" w:cs="仿宋"/>
                <w:bCs/>
                <w:szCs w:val="21"/>
              </w:rPr>
            </w:pPr>
            <w:r>
              <w:rPr>
                <w:rFonts w:hint="eastAsia" w:ascii="宋体" w:hAnsi="宋体" w:cs="仿宋"/>
                <w:bCs/>
                <w:szCs w:val="21"/>
                <w:lang w:bidi="ar"/>
              </w:rPr>
              <w:t>邮政编码：</w:t>
            </w:r>
          </w:p>
        </w:tc>
      </w:tr>
    </w:tbl>
    <w:p w14:paraId="4B944B7F">
      <w:pPr>
        <w:pStyle w:val="16"/>
      </w:pPr>
    </w:p>
    <w:p w14:paraId="695EBA34">
      <w:pPr>
        <w:pStyle w:val="16"/>
      </w:pPr>
    </w:p>
    <w:p w14:paraId="24549C1C">
      <w:pPr>
        <w:pStyle w:val="16"/>
      </w:pPr>
    </w:p>
    <w:p w14:paraId="1E999CFE">
      <w:pPr>
        <w:pStyle w:val="1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2B303CC"/>
    <w:rsid w:val="03DA602B"/>
    <w:rsid w:val="059654CB"/>
    <w:rsid w:val="07C7081E"/>
    <w:rsid w:val="07E8334B"/>
    <w:rsid w:val="09253807"/>
    <w:rsid w:val="093D2076"/>
    <w:rsid w:val="0DCC2160"/>
    <w:rsid w:val="0EC87A33"/>
    <w:rsid w:val="0F9B21B6"/>
    <w:rsid w:val="10404BC1"/>
    <w:rsid w:val="11B3592C"/>
    <w:rsid w:val="160C3F81"/>
    <w:rsid w:val="17173C43"/>
    <w:rsid w:val="17F97576"/>
    <w:rsid w:val="18695DE3"/>
    <w:rsid w:val="1897479D"/>
    <w:rsid w:val="1AB67108"/>
    <w:rsid w:val="1AE24E9D"/>
    <w:rsid w:val="1AF51BB0"/>
    <w:rsid w:val="1C045EE6"/>
    <w:rsid w:val="1DB9050B"/>
    <w:rsid w:val="1DDE75EB"/>
    <w:rsid w:val="20F16975"/>
    <w:rsid w:val="210428E8"/>
    <w:rsid w:val="21107EBB"/>
    <w:rsid w:val="229E6F40"/>
    <w:rsid w:val="259B3C9D"/>
    <w:rsid w:val="25E425C4"/>
    <w:rsid w:val="263F5233"/>
    <w:rsid w:val="273F3658"/>
    <w:rsid w:val="29054853"/>
    <w:rsid w:val="2AAF138F"/>
    <w:rsid w:val="2C5A4909"/>
    <w:rsid w:val="32D262D6"/>
    <w:rsid w:val="33767E8F"/>
    <w:rsid w:val="355359F9"/>
    <w:rsid w:val="36440210"/>
    <w:rsid w:val="371F2748"/>
    <w:rsid w:val="37E961A0"/>
    <w:rsid w:val="38CF5396"/>
    <w:rsid w:val="39DF748F"/>
    <w:rsid w:val="3A5244D1"/>
    <w:rsid w:val="3EF26282"/>
    <w:rsid w:val="3F2F5DAA"/>
    <w:rsid w:val="414C7ECC"/>
    <w:rsid w:val="44B9109C"/>
    <w:rsid w:val="462573E7"/>
    <w:rsid w:val="46794B93"/>
    <w:rsid w:val="482254E2"/>
    <w:rsid w:val="499F7785"/>
    <w:rsid w:val="49A5461D"/>
    <w:rsid w:val="4AE17611"/>
    <w:rsid w:val="4C0257A2"/>
    <w:rsid w:val="4C1E509D"/>
    <w:rsid w:val="4CD62D3F"/>
    <w:rsid w:val="4E661EA1"/>
    <w:rsid w:val="4F3A75B6"/>
    <w:rsid w:val="50306C0B"/>
    <w:rsid w:val="543D5452"/>
    <w:rsid w:val="56886073"/>
    <w:rsid w:val="57041B95"/>
    <w:rsid w:val="58700601"/>
    <w:rsid w:val="599E65CC"/>
    <w:rsid w:val="5A160083"/>
    <w:rsid w:val="5A167370"/>
    <w:rsid w:val="5DEF5A0F"/>
    <w:rsid w:val="5F692F9B"/>
    <w:rsid w:val="5F7A39FE"/>
    <w:rsid w:val="5FD42329"/>
    <w:rsid w:val="606210D6"/>
    <w:rsid w:val="615D5386"/>
    <w:rsid w:val="6280757E"/>
    <w:rsid w:val="63537A09"/>
    <w:rsid w:val="63B318ED"/>
    <w:rsid w:val="63D511F7"/>
    <w:rsid w:val="64BB489D"/>
    <w:rsid w:val="663761A5"/>
    <w:rsid w:val="67437BF9"/>
    <w:rsid w:val="67D87514"/>
    <w:rsid w:val="696D39A5"/>
    <w:rsid w:val="699800FE"/>
    <w:rsid w:val="69DB4BE3"/>
    <w:rsid w:val="6BA50055"/>
    <w:rsid w:val="6BDD07A9"/>
    <w:rsid w:val="6CB95B66"/>
    <w:rsid w:val="6CFE45B9"/>
    <w:rsid w:val="75811D96"/>
    <w:rsid w:val="75B8170A"/>
    <w:rsid w:val="778D53E3"/>
    <w:rsid w:val="7A7E3166"/>
    <w:rsid w:val="7B817CD0"/>
    <w:rsid w:val="7DD54658"/>
    <w:rsid w:val="7ED65E29"/>
    <w:rsid w:val="7F56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qFormat/>
    <w:uiPriority w:val="99"/>
    <w:pPr>
      <w:jc w:val="left"/>
    </w:pPr>
  </w:style>
  <w:style w:type="paragraph" w:styleId="5">
    <w:name w:val="Body Text 3"/>
    <w:basedOn w:val="1"/>
    <w:unhideWhenUsed/>
    <w:qFormat/>
    <w:uiPriority w:val="99"/>
    <w:pPr>
      <w:spacing w:after="120"/>
    </w:pPr>
    <w:rPr>
      <w:sz w:val="16"/>
      <w:szCs w:val="16"/>
    </w:rPr>
  </w:style>
  <w:style w:type="paragraph" w:styleId="6">
    <w:name w:val="Body Text"/>
    <w:basedOn w:val="1"/>
    <w:unhideWhenUsed/>
    <w:qFormat/>
    <w:uiPriority w:val="0"/>
    <w:pPr>
      <w:spacing w:after="120"/>
    </w:pPr>
  </w:style>
  <w:style w:type="paragraph" w:styleId="7">
    <w:name w:val="Body Text Indent"/>
    <w:basedOn w:val="1"/>
    <w:qFormat/>
    <w:uiPriority w:val="0"/>
    <w:pPr>
      <w:ind w:firstLine="830" w:firstLineChars="352"/>
    </w:pPr>
    <w:rPr>
      <w:rFonts w:ascii="仿宋_GB2312" w:eastAsia="仿宋_GB2312"/>
      <w:kern w:val="0"/>
      <w:sz w:val="32"/>
      <w:szCs w:val="20"/>
    </w:rPr>
  </w:style>
  <w:style w:type="paragraph" w:styleId="8">
    <w:name w:val="List 2"/>
    <w:basedOn w:val="1"/>
    <w:unhideWhenUsed/>
    <w:qFormat/>
    <w:uiPriority w:val="99"/>
    <w:pPr>
      <w:ind w:left="100" w:leftChars="200" w:hanging="200" w:hangingChars="200"/>
      <w:contextualSpacing/>
    </w:pPr>
  </w:style>
  <w:style w:type="paragraph" w:styleId="9">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4"/>
    <w:next w:val="4"/>
    <w:link w:val="21"/>
    <w:semiHidden/>
    <w:unhideWhenUsed/>
    <w:qFormat/>
    <w:uiPriority w:val="99"/>
    <w:rPr>
      <w:b/>
      <w:bCs/>
    </w:rPr>
  </w:style>
  <w:style w:type="character" w:styleId="14">
    <w:name w:val="Hyperlink"/>
    <w:qFormat/>
    <w:uiPriority w:val="99"/>
    <w:rPr>
      <w:color w:val="0000FF"/>
      <w:u w:val="single"/>
    </w:rPr>
  </w:style>
  <w:style w:type="character" w:styleId="15">
    <w:name w:val="annotation reference"/>
    <w:semiHidden/>
    <w:qFormat/>
    <w:uiPriority w:val="99"/>
    <w:rPr>
      <w:sz w:val="21"/>
      <w:szCs w:val="21"/>
    </w:rPr>
  </w:style>
  <w:style w:type="paragraph" w:customStyle="1" w:styleId="16">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7">
    <w:name w:val="页眉 字符"/>
    <w:basedOn w:val="13"/>
    <w:link w:val="10"/>
    <w:qFormat/>
    <w:uiPriority w:val="99"/>
    <w:rPr>
      <w:sz w:val="18"/>
      <w:szCs w:val="18"/>
    </w:rPr>
  </w:style>
  <w:style w:type="character" w:customStyle="1" w:styleId="18">
    <w:name w:val="页脚 字符"/>
    <w:basedOn w:val="13"/>
    <w:link w:val="9"/>
    <w:qFormat/>
    <w:uiPriority w:val="99"/>
    <w:rPr>
      <w:sz w:val="18"/>
      <w:szCs w:val="18"/>
    </w:rPr>
  </w:style>
  <w:style w:type="character" w:customStyle="1" w:styleId="19">
    <w:name w:val="批注文字 字符"/>
    <w:basedOn w:val="13"/>
    <w:semiHidden/>
    <w:qFormat/>
    <w:uiPriority w:val="99"/>
    <w:rPr>
      <w:rFonts w:ascii="Times New Roman" w:hAnsi="Times New Roman" w:eastAsia="宋体" w:cs="Times New Roman"/>
      <w:szCs w:val="21"/>
    </w:rPr>
  </w:style>
  <w:style w:type="character" w:customStyle="1" w:styleId="20">
    <w:name w:val="批注文字 Char"/>
    <w:link w:val="4"/>
    <w:semiHidden/>
    <w:qFormat/>
    <w:uiPriority w:val="99"/>
    <w:rPr>
      <w:rFonts w:ascii="Times New Roman" w:hAnsi="Times New Roman" w:eastAsia="宋体" w:cs="Times New Roman"/>
      <w:szCs w:val="21"/>
    </w:rPr>
  </w:style>
  <w:style w:type="character" w:customStyle="1" w:styleId="21">
    <w:name w:val="批注主题 字符"/>
    <w:basedOn w:val="20"/>
    <w:link w:val="11"/>
    <w:semiHidden/>
    <w:qFormat/>
    <w:uiPriority w:val="99"/>
    <w:rPr>
      <w:rFonts w:ascii="Times New Roman" w:hAnsi="Times New Roman" w:eastAsia="宋体" w:cs="Times New Roman"/>
      <w:b/>
      <w:bCs/>
      <w:szCs w:val="21"/>
    </w:rPr>
  </w:style>
  <w:style w:type="paragraph" w:customStyle="1" w:styleId="22">
    <w:name w:val="标4"/>
    <w:basedOn w:val="1"/>
    <w:qFormat/>
    <w:uiPriority w:val="0"/>
    <w:pPr>
      <w:adjustRightInd w:val="0"/>
      <w:spacing w:before="240" w:after="360" w:line="240" w:lineRule="exac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4019</Words>
  <Characters>4117</Characters>
  <Lines>62</Lines>
  <Paragraphs>17</Paragraphs>
  <TotalTime>5</TotalTime>
  <ScaleCrop>false</ScaleCrop>
  <LinksUpToDate>false</LinksUpToDate>
  <CharactersWithSpaces>4349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cp:lastPrinted>2026-05-27T01:01:00Z</cp:lastPrinted>
  <dcterms:modified xsi:type="dcterms:W3CDTF">2026-05-27T07:43:30Z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FBE2C459B23045D1A8ADF3CEF86FACC0_13</vt:lpwstr>
  </property>
  <property fmtid="{D5CDD505-2E9C-101B-9397-08002B2CF9AE}" pid="4" name="KSOTemplateDocerSaveRecord">
    <vt:lpwstr>eyJoZGlkIjoiOTZkZDVmNzBiZGNiZTJiMTNjOTFhZTJiYjI4ZWQ4OTAiLCJ1c2VySWQiOiI0MzU5NDIxNTAifQ==</vt:lpwstr>
  </property>
</Properties>
</file>