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4143E">
      <w:pPr>
        <w:widowControl/>
        <w:jc w:val="left"/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8"/>
          <w:szCs w:val="28"/>
          <w:lang w:val="en-US" w:eastAsia="zh-CN"/>
        </w:rPr>
        <w:t>附件1：</w:t>
      </w:r>
    </w:p>
    <w:p w14:paraId="550D10C2">
      <w:pPr>
        <w:widowControl/>
        <w:ind w:firstLine="4160" w:firstLineChars="1300"/>
        <w:jc w:val="left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/>
        </w:rPr>
        <w:t xml:space="preserve">采购需求 </w:t>
      </w:r>
    </w:p>
    <w:p w14:paraId="3C503549">
      <w:pPr>
        <w:spacing w:line="360" w:lineRule="auto"/>
        <w:ind w:right="2" w:rightChars="1"/>
        <w:jc w:val="left"/>
        <w:rPr>
          <w:rFonts w:ascii="宋体" w:hAnsi="宋体" w:cs="宋体"/>
          <w:b w:val="0"/>
          <w:bCs/>
          <w:color w:val="FF0000"/>
          <w:sz w:val="24"/>
          <w:szCs w:val="24"/>
        </w:rPr>
      </w:pPr>
      <w:r>
        <w:rPr>
          <w:rFonts w:hint="eastAsia" w:ascii="宋体" w:hAnsi="宋体" w:cs="宋体"/>
          <w:b w:val="0"/>
          <w:bCs/>
          <w:color w:val="FF0000"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所有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</w:rPr>
        <w:t>技术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规格参数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</w:rPr>
        <w:t>要求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val="en-US" w:eastAsia="zh-CN"/>
        </w:rPr>
        <w:t>和商务要求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</w:rPr>
        <w:t>均为实质性条款，必须满足或者优于，否则其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投标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</w:rPr>
        <w:t>文件</w:t>
      </w:r>
      <w:r>
        <w:rPr>
          <w:rFonts w:hint="eastAsia" w:ascii="宋体" w:hAnsi="宋体"/>
          <w:b w:val="0"/>
          <w:bCs w:val="0"/>
          <w:color w:val="FF0000"/>
          <w:sz w:val="24"/>
          <w:szCs w:val="24"/>
          <w:lang w:eastAsia="zh-CN"/>
        </w:rPr>
        <w:t>无效</w:t>
      </w:r>
      <w:r>
        <w:rPr>
          <w:rFonts w:hint="eastAsia" w:ascii="宋体" w:hAnsi="宋体" w:cs="宋体"/>
          <w:b w:val="0"/>
          <w:bCs/>
          <w:color w:val="FF0000"/>
          <w:sz w:val="24"/>
          <w:szCs w:val="24"/>
        </w:rPr>
        <w:t>。</w:t>
      </w:r>
    </w:p>
    <w:p w14:paraId="6D914B77">
      <w:pPr>
        <w:spacing w:line="400" w:lineRule="exact"/>
        <w:jc w:val="left"/>
        <w:rPr>
          <w:rFonts w:hint="eastAsia" w:ascii="宋体" w:hAnsi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</w:rPr>
        <w:t>2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.</w:t>
      </w:r>
      <w:r>
        <w:rPr>
          <w:rFonts w:hint="eastAsia" w:ascii="宋体" w:hAnsi="宋体" w:cs="宋体"/>
          <w:b w:val="0"/>
          <w:bCs/>
          <w:sz w:val="24"/>
          <w:szCs w:val="24"/>
        </w:rPr>
        <w:t>投标人所投标货物或服务如国家有强制性要求的按国家规定执行，并提供相关证明材料。若执行标准有修改或更新按最新版本执行。</w:t>
      </w:r>
    </w:p>
    <w:p w14:paraId="475074FF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ind w:left="-708" w:leftChars="-337" w:firstLine="482" w:firstLineChars="200"/>
        <w:jc w:val="left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cs="宋体"/>
          <w:b/>
          <w:bCs/>
        </w:rPr>
        <w:t>（一）采购清单</w:t>
      </w:r>
      <w:r>
        <w:rPr>
          <w:b/>
          <w:bCs/>
        </w:rPr>
        <w:t> </w:t>
      </w:r>
    </w:p>
    <w:tbl>
      <w:tblPr>
        <w:tblStyle w:val="15"/>
        <w:tblpPr w:leftFromText="180" w:rightFromText="180" w:vertAnchor="text" w:horzAnchor="page" w:tblpX="1470" w:tblpY="372"/>
        <w:tblOverlap w:val="never"/>
        <w:tblW w:w="98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763"/>
        <w:gridCol w:w="922"/>
        <w:gridCol w:w="1232"/>
        <w:gridCol w:w="1245"/>
        <w:gridCol w:w="2921"/>
      </w:tblGrid>
      <w:tr w14:paraId="66E0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795" w:type="dxa"/>
            <w:vAlign w:val="center"/>
          </w:tcPr>
          <w:p w14:paraId="4B4CF80D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763" w:type="dxa"/>
            <w:vAlign w:val="center"/>
          </w:tcPr>
          <w:p w14:paraId="58477B09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922" w:type="dxa"/>
            <w:vAlign w:val="center"/>
          </w:tcPr>
          <w:p w14:paraId="5959DD73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232" w:type="dxa"/>
            <w:vAlign w:val="top"/>
          </w:tcPr>
          <w:p w14:paraId="10B93792">
            <w:pPr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上控单价（万元）</w:t>
            </w:r>
          </w:p>
        </w:tc>
        <w:tc>
          <w:tcPr>
            <w:tcW w:w="1245" w:type="dxa"/>
            <w:vAlign w:val="top"/>
          </w:tcPr>
          <w:p w14:paraId="1A4C24F2">
            <w:pPr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上控价小计（万元）</w:t>
            </w:r>
          </w:p>
        </w:tc>
        <w:tc>
          <w:tcPr>
            <w:tcW w:w="2921" w:type="dxa"/>
            <w:vAlign w:val="center"/>
          </w:tcPr>
          <w:p w14:paraId="55AA77AB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技术参数要求</w:t>
            </w:r>
          </w:p>
        </w:tc>
      </w:tr>
      <w:tr w14:paraId="1E600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95" w:type="dxa"/>
            <w:vAlign w:val="center"/>
          </w:tcPr>
          <w:p w14:paraId="46349111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763" w:type="dxa"/>
            <w:vAlign w:val="center"/>
          </w:tcPr>
          <w:p w14:paraId="793BB284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医疗安全（不良）事件及持续改进系统维保服务</w:t>
            </w:r>
          </w:p>
        </w:tc>
        <w:tc>
          <w:tcPr>
            <w:tcW w:w="922" w:type="dxa"/>
            <w:vAlign w:val="center"/>
          </w:tcPr>
          <w:p w14:paraId="46E4A012">
            <w:pPr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1232" w:type="dxa"/>
            <w:vAlign w:val="center"/>
          </w:tcPr>
          <w:p w14:paraId="61A8D62A">
            <w:pPr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1245" w:type="dxa"/>
            <w:vAlign w:val="center"/>
          </w:tcPr>
          <w:p w14:paraId="78710874">
            <w:pPr>
              <w:ind w:firstLine="240" w:firstLineChars="100"/>
              <w:jc w:val="left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5.4</w:t>
            </w:r>
          </w:p>
        </w:tc>
        <w:tc>
          <w:tcPr>
            <w:tcW w:w="2921" w:type="dxa"/>
            <w:vAlign w:val="center"/>
          </w:tcPr>
          <w:p w14:paraId="71B4714E">
            <w:pPr>
              <w:jc w:val="left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详见技术参数、性能（配置）及其他要求</w:t>
            </w:r>
          </w:p>
        </w:tc>
      </w:tr>
    </w:tbl>
    <w:p w14:paraId="3F7FC5C1">
      <w:pPr>
        <w:widowControl/>
        <w:numPr>
          <w:ilvl w:val="0"/>
          <w:numId w:val="0"/>
        </w:numPr>
        <w:spacing w:line="360" w:lineRule="auto"/>
        <w:jc w:val="left"/>
        <w:rPr>
          <w:rFonts w:hint="default" w:eastAsia="宋体"/>
          <w:lang w:val="en-US" w:eastAsia="zh-CN"/>
        </w:rPr>
      </w:pPr>
      <w:r>
        <w:rPr>
          <w:rFonts w:hint="eastAsia" w:cs="宋体"/>
          <w:b/>
          <w:bCs/>
          <w:kern w:val="0"/>
          <w:sz w:val="24"/>
          <w:szCs w:val="24"/>
          <w:lang w:eastAsia="zh-CN"/>
        </w:rPr>
        <w:t>（</w:t>
      </w:r>
      <w:r>
        <w:rPr>
          <w:rFonts w:hint="eastAsia" w:cs="宋体"/>
          <w:b/>
          <w:bCs/>
          <w:kern w:val="0"/>
          <w:sz w:val="24"/>
          <w:szCs w:val="24"/>
          <w:lang w:val="en-US" w:eastAsia="zh-CN"/>
        </w:rPr>
        <w:t>二）维保服务要求</w:t>
      </w:r>
    </w:p>
    <w:p w14:paraId="63AF1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jc w:val="both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1.为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提供在</w:t>
      </w:r>
      <w:r>
        <w:rPr>
          <w:rFonts w:hint="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维</w:t>
      </w:r>
      <w:r>
        <w:rPr>
          <w:rFonts w:hint="eastAsia" w:cs="宋体"/>
          <w:b w:val="0"/>
          <w:bCs w:val="0"/>
          <w:kern w:val="0"/>
          <w:sz w:val="24"/>
          <w:szCs w:val="24"/>
          <w:lang w:eastAsia="zh-CN"/>
        </w:rPr>
        <w:t>护协议期内</w:t>
      </w:r>
      <w:r>
        <w:rPr>
          <w:rFonts w:hint="eastAsia" w:cs="宋体"/>
          <w:b w:val="0"/>
          <w:bCs w:val="0"/>
          <w:kern w:val="0"/>
          <w:sz w:val="24"/>
          <w:szCs w:val="24"/>
          <w:lang w:val="en-US" w:eastAsia="zh-CN"/>
        </w:rPr>
        <w:t>采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购人</w:t>
      </w:r>
      <w:r>
        <w:rPr>
          <w:rFonts w:hint="eastAsia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有的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《医疗安全（不良）事件及持续改进系统》常规售后服务，免费修改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和维护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系统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BUG或产生的一切错误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，免费提供的系统软件及应用软件升级服务，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免费提供新增系统接口对接服务，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使软件系统能够便于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业务适应国家卫生统计调查制度的变化及向更专业层次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发展；</w:t>
      </w:r>
    </w:p>
    <w:p w14:paraId="0EAFF5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提供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400售后电话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及时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为采购人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提供技术支持；</w:t>
      </w:r>
    </w:p>
    <w:p w14:paraId="68C69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3.在维护协议期内，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中标供应商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为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提供7*24小时电话、远程技术支持（含法定节假日）。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在通过电话、信函或传真向客户服务中心提出维护申请，能远程解决的，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中标供应商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服务工程师要在30分钟内响应并提供远程协助，一般问题应在3小时内解决，重大问题应在12小时内解决，若无法通过网络或其他方式处理的情况下，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中标供应商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服务工程师需在24小时内免费到达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现场提供服务；</w:t>
      </w:r>
    </w:p>
    <w:p w14:paraId="765AD5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4.在应急情况下，为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免费提供解决方案，帮助医院尽量降低或避免因为外部因素造成的不利影响。如因硬件或其他原因造成的数据库系统损坏情况的发生，</w:t>
      </w:r>
      <w:r>
        <w:rPr>
          <w:rFonts w:hint="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方有责任到现场，利用备份或现有介质文件恢复系统数据，保证系统的正常运行；</w:t>
      </w:r>
    </w:p>
    <w:p w14:paraId="45CBA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5.免费为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提供利用信函、电话、传真等手段解答用户有关医疗安全（不良）事件及持续改进系统培训、安装异常、操作异常、运行管理、数据维护等问题；</w:t>
      </w:r>
    </w:p>
    <w:p w14:paraId="4E0C3C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6.免费为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提供利用网络为用户提供远程通讯服务、在线解决技术问题、及软件下载服务；</w:t>
      </w:r>
    </w:p>
    <w:p w14:paraId="685B15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480" w:firstLineChars="200"/>
        <w:textAlignment w:val="auto"/>
        <w:outlineLvl w:val="9"/>
        <w:rPr>
          <w:rFonts w:hint="eastAsia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7.现场工程师在维护完毕后，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由采购人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对数据的正确性及完整性进行现场检查后签字确认，并以文字方式将有关注意事项留给</w:t>
      </w:r>
      <w:r>
        <w:rPr>
          <w:rFonts w:hint="eastAsia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采购人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6072081D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left="-708" w:leftChars="-337" w:right="0" w:rightChars="0" w:firstLine="964" w:firstLineChars="400"/>
        <w:jc w:val="left"/>
        <w:textAlignment w:val="auto"/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）商务要求</w:t>
      </w:r>
    </w:p>
    <w:p w14:paraId="3E055473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 w:val="0"/>
          <w:bCs w:val="0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1.其他服务</w:t>
      </w:r>
      <w:r>
        <w:rPr>
          <w:rFonts w:hint="eastAsia" w:cs="宋体"/>
          <w:b w:val="0"/>
          <w:bCs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01DEB5B1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right="0" w:rightChars="0" w:firstLine="480" w:firstLineChars="20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投标人所投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参数应同等或优于以上各项参数要求，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且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符合国家相关规范。</w:t>
      </w:r>
    </w:p>
    <w:p w14:paraId="24DF169F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right="0" w:rightChars="0" w:firstLine="480" w:firstLineChars="200"/>
        <w:jc w:val="left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投标人应保证所提供的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服务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不会侵犯任何第三方的专利权、商标权等，如在使用过程中出现的一切经济和法律责任均由投标人负责。</w:t>
      </w:r>
    </w:p>
    <w:p w14:paraId="18D9F241">
      <w:pPr>
        <w:pStyle w:val="19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="0" w:after="0" w:line="440" w:lineRule="exact"/>
        <w:ind w:left="15" w:leftChars="7" w:right="0" w:rightChars="0" w:firstLine="480" w:firstLineChars="200"/>
        <w:jc w:val="left"/>
        <w:textAlignment w:val="auto"/>
        <w:rPr>
          <w:rFonts w:hint="eastAsia" w:cs="Times New Roman"/>
          <w:b/>
          <w:bCs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（3）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投标总价必须包含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服务期内为医院提供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《医疗安全（不良）事件及持续改进系统》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所有维保服务所需费用的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总和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，不得以任何理由另外加收服务费用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 w14:paraId="6B94B3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Chars="-338" w:right="0" w:rightChars="0" w:firstLine="960" w:firstLineChars="400"/>
        <w:jc w:val="left"/>
        <w:textAlignment w:val="auto"/>
        <w:rPr>
          <w:rFonts w:hint="eastAsia" w:ascii="宋体" w:hAnsi="宋体" w:cs="宋体"/>
          <w:b w:val="0"/>
          <w:bCs w:val="0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Times New Roman" w:hAnsi="Times New Roman" w:eastAsia="宋体" w:cs="Times New Roman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付款</w:t>
      </w:r>
      <w:r>
        <w:rPr>
          <w:rFonts w:hint="eastAsia" w:cs="Times New Roman"/>
          <w:b w:val="0"/>
          <w:bCs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方式：</w:t>
      </w:r>
    </w:p>
    <w:p w14:paraId="23DC2C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-48" w:leftChars="-23" w:right="0" w:rightChars="0" w:firstLine="0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第一期付款：在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签订合同后，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中标人开出合同总金额1/3的正规发票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采购人在收到发票后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10个工作日内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对公转账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7A0FD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-48" w:leftChars="-23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第二期付款：中标人在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合同签订12个月后开出合同总金额1/3的正规发票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采购人收到发票后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对公转账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 w14:paraId="39EB683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ind w:left="-48" w:leftChars="-23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第三期付款：中标人在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合同签订24个月后开出合同总金额1/3的正规发票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采购人收到发票后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10 个工作日内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eastAsia="zh-CN"/>
          <w14:textFill>
            <w14:solidFill>
              <w14:schemeClr w14:val="tx1"/>
            </w14:solidFill>
          </w14:textFill>
        </w:rPr>
        <w:t>对公转账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到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中标人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账户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182EEF6A">
      <w:pPr>
        <w:widowControl/>
        <w:numPr>
          <w:ilvl w:val="0"/>
          <w:numId w:val="0"/>
        </w:numPr>
        <w:spacing w:line="360" w:lineRule="auto"/>
        <w:ind w:leftChars="-138" w:firstLine="482" w:firstLineChars="200"/>
        <w:jc w:val="left"/>
        <w:rPr>
          <w:rFonts w:hint="eastAsia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b/>
          <w:bCs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cs="宋体"/>
          <w:b/>
          <w:bCs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合同签订</w:t>
      </w:r>
    </w:p>
    <w:p w14:paraId="092EA728">
      <w:pPr>
        <w:widowControl/>
        <w:numPr>
          <w:ilvl w:val="0"/>
          <w:numId w:val="0"/>
        </w:numPr>
        <w:spacing w:line="360" w:lineRule="auto"/>
        <w:ind w:leftChars="-138" w:firstLine="480" w:firstLineChars="200"/>
        <w:jc w:val="left"/>
        <w:rPr>
          <w:rFonts w:hint="eastAsia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招标人和中标人应当自公示结束后</w:t>
      </w:r>
      <w:sdt>
        <w:sdtPr>
          <w:rPr>
            <w:rFonts w:hint="eastAsia" w:cs="宋体"/>
            <w:color w:val="000000" w:themeColor="text1"/>
            <w:kern w:val="0"/>
            <w:sz w:val="24"/>
            <w:szCs w:val="24"/>
            <w14:textFill>
              <w14:solidFill>
                <w14:schemeClr w14:val="tx1"/>
              </w14:solidFill>
            </w14:textFill>
          </w:rPr>
          <w:alias w:val="无特殊情况不建议修改"/>
          <w:tag w:val="无特殊情况不建议修改"/>
          <w:id w:val="-183904816"/>
          <w:placeholder>
            <w:docPart w:val="DefaultPlaceholder_-1854013440"/>
          </w:placeholder>
          <w15:color w:val="FF0000"/>
        </w:sdtPr>
        <w:sdtEndPr>
          <w:rPr>
            <w:rFonts w:hint="eastAsia" w:cs="宋体"/>
            <w:color w:val="000000" w:themeColor="text1"/>
            <w:kern w:val="0"/>
            <w:sz w:val="24"/>
            <w:szCs w:val="24"/>
            <w:u w:val="single"/>
            <w14:textFill>
              <w14:solidFill>
                <w14:schemeClr w14:val="tx1"/>
              </w14:solidFill>
            </w14:textFill>
          </w:rPr>
        </w:sdtEndPr>
        <w:sdtContent>
          <w:r>
            <w:rPr>
              <w:rFonts w:hint="eastAsia" w:cs="宋体"/>
              <w:color w:val="000000" w:themeColor="text1"/>
              <w:kern w:val="0"/>
              <w:sz w:val="24"/>
              <w:szCs w:val="24"/>
              <w:u w:val="single"/>
              <w:lang w:val="en-US" w:eastAsia="zh-CN"/>
              <w14:textFill>
                <w14:solidFill>
                  <w14:schemeClr w14:val="tx1"/>
                </w14:solidFill>
              </w14:textFill>
            </w:rPr>
            <w:t>25</w:t>
          </w:r>
        </w:sdtContent>
      </w:sdt>
      <w:r>
        <w:rPr>
          <w:rFonts w:hint="eastAsia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</w:t>
      </w:r>
      <w:r>
        <w:rPr>
          <w:rFonts w:hint="eastAsia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内签订采购合同</w:t>
      </w:r>
      <w:r>
        <w:rPr>
          <w:rFonts w:hint="eastAsia" w:cs="宋体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服务期限为</w:t>
      </w:r>
      <w:bookmarkStart w:id="0" w:name="_GoBack"/>
      <w:bookmarkEnd w:id="0"/>
      <w:r>
        <w:rPr>
          <w:rFonts w:hint="eastAsia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自合同签订之日起3年。</w:t>
      </w:r>
    </w:p>
    <w:p w14:paraId="0295C0E0">
      <w:pPr>
        <w:pStyle w:val="19"/>
        <w:jc w:val="left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yYmY4MjA0MzAxNjIyZGNjMDk1MmY5N2E0MzMwOWEifQ=="/>
    <w:docVar w:name="KY_MEDREF_DOCUID" w:val="{642EBB7A-05DF-4F7F-990F-180E42AE779D}"/>
    <w:docVar w:name="KY_MEDREF_VERSION" w:val="3"/>
  </w:docVars>
  <w:rsids>
    <w:rsidRoot w:val="004C7EB2"/>
    <w:rsid w:val="00066185"/>
    <w:rsid w:val="00080292"/>
    <w:rsid w:val="0008196D"/>
    <w:rsid w:val="00095D83"/>
    <w:rsid w:val="000A6C18"/>
    <w:rsid w:val="000B7E2D"/>
    <w:rsid w:val="000E1AA6"/>
    <w:rsid w:val="00204183"/>
    <w:rsid w:val="00241CD6"/>
    <w:rsid w:val="002C7944"/>
    <w:rsid w:val="003C3AB5"/>
    <w:rsid w:val="003E7DC1"/>
    <w:rsid w:val="00474079"/>
    <w:rsid w:val="004C7EB2"/>
    <w:rsid w:val="004D08F5"/>
    <w:rsid w:val="004D2825"/>
    <w:rsid w:val="004F5A76"/>
    <w:rsid w:val="005007DD"/>
    <w:rsid w:val="005D491D"/>
    <w:rsid w:val="00654BC6"/>
    <w:rsid w:val="00684BD7"/>
    <w:rsid w:val="006E5543"/>
    <w:rsid w:val="00707A97"/>
    <w:rsid w:val="007814EA"/>
    <w:rsid w:val="007A5910"/>
    <w:rsid w:val="007F6F70"/>
    <w:rsid w:val="00813BDB"/>
    <w:rsid w:val="00825B15"/>
    <w:rsid w:val="008553F8"/>
    <w:rsid w:val="008A5DC5"/>
    <w:rsid w:val="008D3A6F"/>
    <w:rsid w:val="009530DC"/>
    <w:rsid w:val="00A2105C"/>
    <w:rsid w:val="00A44D5C"/>
    <w:rsid w:val="00A83F43"/>
    <w:rsid w:val="00AC0EA5"/>
    <w:rsid w:val="00B8409A"/>
    <w:rsid w:val="00BA3521"/>
    <w:rsid w:val="00C33384"/>
    <w:rsid w:val="00C762C8"/>
    <w:rsid w:val="00C97AD7"/>
    <w:rsid w:val="00CC2DEE"/>
    <w:rsid w:val="00CD27A2"/>
    <w:rsid w:val="00D2685D"/>
    <w:rsid w:val="00D41CB5"/>
    <w:rsid w:val="00D57065"/>
    <w:rsid w:val="00DB5864"/>
    <w:rsid w:val="00DC4B54"/>
    <w:rsid w:val="00E14108"/>
    <w:rsid w:val="00E72BBE"/>
    <w:rsid w:val="00EB1C9B"/>
    <w:rsid w:val="00ED5546"/>
    <w:rsid w:val="01124992"/>
    <w:rsid w:val="01A43ED9"/>
    <w:rsid w:val="01CB43E2"/>
    <w:rsid w:val="02615DF0"/>
    <w:rsid w:val="02F20B8C"/>
    <w:rsid w:val="033B04D0"/>
    <w:rsid w:val="03B56736"/>
    <w:rsid w:val="03CD4A5F"/>
    <w:rsid w:val="04AE0DE7"/>
    <w:rsid w:val="04CF143B"/>
    <w:rsid w:val="07E61381"/>
    <w:rsid w:val="094E71DE"/>
    <w:rsid w:val="0A6A7BF7"/>
    <w:rsid w:val="0A795D65"/>
    <w:rsid w:val="0CC05EEA"/>
    <w:rsid w:val="0D8916FC"/>
    <w:rsid w:val="0DAB0B9B"/>
    <w:rsid w:val="0DE17E27"/>
    <w:rsid w:val="0E6B1369"/>
    <w:rsid w:val="0E8C22E1"/>
    <w:rsid w:val="0ECE5049"/>
    <w:rsid w:val="10445B09"/>
    <w:rsid w:val="10C97A40"/>
    <w:rsid w:val="10EC6F96"/>
    <w:rsid w:val="111563A0"/>
    <w:rsid w:val="11300E3E"/>
    <w:rsid w:val="113941D9"/>
    <w:rsid w:val="11AC7198"/>
    <w:rsid w:val="122B15C9"/>
    <w:rsid w:val="12713099"/>
    <w:rsid w:val="12C97D37"/>
    <w:rsid w:val="13925D68"/>
    <w:rsid w:val="1461070D"/>
    <w:rsid w:val="14B97D87"/>
    <w:rsid w:val="157601E9"/>
    <w:rsid w:val="15982097"/>
    <w:rsid w:val="15FB473D"/>
    <w:rsid w:val="162B6179"/>
    <w:rsid w:val="166F4544"/>
    <w:rsid w:val="17BF5E77"/>
    <w:rsid w:val="188C387F"/>
    <w:rsid w:val="1A622AE9"/>
    <w:rsid w:val="1B0B13D3"/>
    <w:rsid w:val="1B513EBB"/>
    <w:rsid w:val="1E4F7829"/>
    <w:rsid w:val="1E622ABE"/>
    <w:rsid w:val="1E742B96"/>
    <w:rsid w:val="1EBA72DE"/>
    <w:rsid w:val="21B710F4"/>
    <w:rsid w:val="2218153E"/>
    <w:rsid w:val="22486A69"/>
    <w:rsid w:val="23720241"/>
    <w:rsid w:val="23CD191B"/>
    <w:rsid w:val="25773183"/>
    <w:rsid w:val="26431704"/>
    <w:rsid w:val="26834A1B"/>
    <w:rsid w:val="26BE392F"/>
    <w:rsid w:val="26CD4569"/>
    <w:rsid w:val="27D01D3D"/>
    <w:rsid w:val="27D34CA5"/>
    <w:rsid w:val="28110468"/>
    <w:rsid w:val="293A4A87"/>
    <w:rsid w:val="2B547517"/>
    <w:rsid w:val="2BD650E5"/>
    <w:rsid w:val="2C3C1132"/>
    <w:rsid w:val="2CD07D87"/>
    <w:rsid w:val="2E44559E"/>
    <w:rsid w:val="2FEA431E"/>
    <w:rsid w:val="311834AF"/>
    <w:rsid w:val="316C5529"/>
    <w:rsid w:val="318469E5"/>
    <w:rsid w:val="3194337D"/>
    <w:rsid w:val="32F04CDF"/>
    <w:rsid w:val="3341553A"/>
    <w:rsid w:val="35723D2E"/>
    <w:rsid w:val="35924144"/>
    <w:rsid w:val="35D22DC1"/>
    <w:rsid w:val="364A2958"/>
    <w:rsid w:val="36A92904"/>
    <w:rsid w:val="3737378F"/>
    <w:rsid w:val="3806606D"/>
    <w:rsid w:val="3825367C"/>
    <w:rsid w:val="397701BE"/>
    <w:rsid w:val="3A7106CE"/>
    <w:rsid w:val="3B546CEC"/>
    <w:rsid w:val="3EA21DFC"/>
    <w:rsid w:val="3F8769CB"/>
    <w:rsid w:val="41366ED0"/>
    <w:rsid w:val="41B810BD"/>
    <w:rsid w:val="41D6495D"/>
    <w:rsid w:val="43081BD1"/>
    <w:rsid w:val="43087A46"/>
    <w:rsid w:val="434B320F"/>
    <w:rsid w:val="447A1AFE"/>
    <w:rsid w:val="44B84B29"/>
    <w:rsid w:val="459322F9"/>
    <w:rsid w:val="472C46C8"/>
    <w:rsid w:val="474F4272"/>
    <w:rsid w:val="484D14FE"/>
    <w:rsid w:val="48733F90"/>
    <w:rsid w:val="48D85C25"/>
    <w:rsid w:val="49A95790"/>
    <w:rsid w:val="4A5A77BB"/>
    <w:rsid w:val="4A6022F2"/>
    <w:rsid w:val="4B1420CD"/>
    <w:rsid w:val="4B920BD1"/>
    <w:rsid w:val="4C1C5576"/>
    <w:rsid w:val="4C3E6663"/>
    <w:rsid w:val="4C7B1D87"/>
    <w:rsid w:val="4CD9638C"/>
    <w:rsid w:val="4D442BFB"/>
    <w:rsid w:val="4D583754"/>
    <w:rsid w:val="4D781BD4"/>
    <w:rsid w:val="4D8956B7"/>
    <w:rsid w:val="4DA009DA"/>
    <w:rsid w:val="4DA97E72"/>
    <w:rsid w:val="4DB9683E"/>
    <w:rsid w:val="4F3D41BA"/>
    <w:rsid w:val="4F6F4D85"/>
    <w:rsid w:val="50502E0F"/>
    <w:rsid w:val="51794369"/>
    <w:rsid w:val="51B2246F"/>
    <w:rsid w:val="52A96C6B"/>
    <w:rsid w:val="537F5EDF"/>
    <w:rsid w:val="539906F6"/>
    <w:rsid w:val="54136627"/>
    <w:rsid w:val="556130B2"/>
    <w:rsid w:val="55D712FC"/>
    <w:rsid w:val="562437FE"/>
    <w:rsid w:val="56327239"/>
    <w:rsid w:val="57783371"/>
    <w:rsid w:val="589150FF"/>
    <w:rsid w:val="591470C9"/>
    <w:rsid w:val="59B8001F"/>
    <w:rsid w:val="5AA53C9C"/>
    <w:rsid w:val="5C797243"/>
    <w:rsid w:val="5C7B116A"/>
    <w:rsid w:val="5D1A4465"/>
    <w:rsid w:val="5DCD43FF"/>
    <w:rsid w:val="5E761C8C"/>
    <w:rsid w:val="5ECE3876"/>
    <w:rsid w:val="5EE138EE"/>
    <w:rsid w:val="5FFD63C3"/>
    <w:rsid w:val="603E4948"/>
    <w:rsid w:val="62DE3608"/>
    <w:rsid w:val="635822A8"/>
    <w:rsid w:val="6402117A"/>
    <w:rsid w:val="64CA4726"/>
    <w:rsid w:val="65706B30"/>
    <w:rsid w:val="67EF0C5A"/>
    <w:rsid w:val="681A7B2C"/>
    <w:rsid w:val="682B5544"/>
    <w:rsid w:val="68D65365"/>
    <w:rsid w:val="695829EA"/>
    <w:rsid w:val="6A513DD5"/>
    <w:rsid w:val="6BF540D9"/>
    <w:rsid w:val="6C1A722C"/>
    <w:rsid w:val="6CA20189"/>
    <w:rsid w:val="6D682209"/>
    <w:rsid w:val="6DD0797D"/>
    <w:rsid w:val="6E1A0EFE"/>
    <w:rsid w:val="6F0937DE"/>
    <w:rsid w:val="702E7F23"/>
    <w:rsid w:val="70421BC0"/>
    <w:rsid w:val="709E26BF"/>
    <w:rsid w:val="70E352C5"/>
    <w:rsid w:val="712A3BD4"/>
    <w:rsid w:val="71754026"/>
    <w:rsid w:val="729E2959"/>
    <w:rsid w:val="73452E97"/>
    <w:rsid w:val="73A11102"/>
    <w:rsid w:val="73E75CD1"/>
    <w:rsid w:val="74051691"/>
    <w:rsid w:val="74B5471E"/>
    <w:rsid w:val="75FA7A38"/>
    <w:rsid w:val="77E41C8F"/>
    <w:rsid w:val="77FF632E"/>
    <w:rsid w:val="79322EE8"/>
    <w:rsid w:val="7B036868"/>
    <w:rsid w:val="7B14665D"/>
    <w:rsid w:val="7BA36E17"/>
    <w:rsid w:val="7BF02C26"/>
    <w:rsid w:val="7CA915F3"/>
    <w:rsid w:val="7D843D95"/>
    <w:rsid w:val="7E0E16F5"/>
    <w:rsid w:val="7E2766A8"/>
    <w:rsid w:val="7FF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nhideWhenUsed="0" w:uiPriority="99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Document Map"/>
    <w:basedOn w:val="1"/>
    <w:next w:val="4"/>
    <w:unhideWhenUsed/>
    <w:qFormat/>
    <w:uiPriority w:val="99"/>
    <w:rPr>
      <w:rFonts w:ascii="宋体"/>
      <w:sz w:val="18"/>
      <w:szCs w:val="18"/>
    </w:rPr>
  </w:style>
  <w:style w:type="paragraph" w:styleId="4">
    <w:name w:val="toc 3"/>
    <w:basedOn w:val="1"/>
    <w:next w:val="1"/>
    <w:unhideWhenUsed/>
    <w:qFormat/>
    <w:uiPriority w:val="39"/>
    <w:pPr>
      <w:ind w:left="840" w:leftChars="400"/>
    </w:pPr>
  </w:style>
  <w:style w:type="paragraph" w:styleId="5">
    <w:name w:val="annotation text"/>
    <w:basedOn w:val="1"/>
    <w:link w:val="23"/>
    <w:qFormat/>
    <w:uiPriority w:val="99"/>
    <w:pPr>
      <w:jc w:val="left"/>
    </w:pPr>
  </w:style>
  <w:style w:type="paragraph" w:styleId="6">
    <w:name w:val="Body Text"/>
    <w:basedOn w:val="1"/>
    <w:semiHidden/>
    <w:qFormat/>
    <w:uiPriority w:val="99"/>
    <w:pPr>
      <w:spacing w:after="120"/>
    </w:pPr>
  </w:style>
  <w:style w:type="paragraph" w:styleId="7">
    <w:name w:val="Plain Text"/>
    <w:basedOn w:val="1"/>
    <w:next w:val="1"/>
    <w:link w:val="25"/>
    <w:qFormat/>
    <w:uiPriority w:val="99"/>
    <w:rPr>
      <w:rFonts w:ascii="宋体" w:hAnsi="Courier New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9"/>
    <w:basedOn w:val="1"/>
    <w:next w:val="1"/>
    <w:qFormat/>
    <w:uiPriority w:val="99"/>
    <w:pPr>
      <w:ind w:left="1470"/>
      <w:jc w:val="left"/>
    </w:pPr>
    <w:rPr>
      <w:sz w:val="20"/>
      <w:szCs w:val="20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240" w:line="720" w:lineRule="auto"/>
      <w:jc w:val="center"/>
      <w:outlineLvl w:val="0"/>
    </w:pPr>
    <w:rPr>
      <w:rFonts w:ascii="方正小标宋简体" w:hAnsi="黑体" w:eastAsia="方正小标宋简体" w:cs="Times New Roman"/>
      <w:bCs/>
      <w:kern w:val="2"/>
      <w:sz w:val="52"/>
      <w:szCs w:val="52"/>
      <w:lang w:val="en-US" w:eastAsia="zh-CN" w:bidi="ar-SA"/>
    </w:rPr>
  </w:style>
  <w:style w:type="paragraph" w:styleId="13">
    <w:name w:val="annotation subject"/>
    <w:basedOn w:val="5"/>
    <w:next w:val="5"/>
    <w:link w:val="24"/>
    <w:semiHidden/>
    <w:unhideWhenUsed/>
    <w:qFormat/>
    <w:uiPriority w:val="99"/>
    <w:rPr>
      <w:b/>
      <w:bCs/>
    </w:rPr>
  </w:style>
  <w:style w:type="paragraph" w:styleId="14">
    <w:name w:val="Body Text First Indent"/>
    <w:basedOn w:val="6"/>
    <w:qFormat/>
    <w:uiPriority w:val="0"/>
    <w:pPr>
      <w:ind w:firstLine="420" w:firstLineChars="100"/>
    </w:pPr>
  </w:style>
  <w:style w:type="table" w:styleId="16">
    <w:name w:val="Table Grid"/>
    <w:basedOn w:val="15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annotation reference"/>
    <w:semiHidden/>
    <w:qFormat/>
    <w:uiPriority w:val="99"/>
    <w:rPr>
      <w:sz w:val="21"/>
      <w:szCs w:val="21"/>
    </w:rPr>
  </w:style>
  <w:style w:type="paragraph" w:customStyle="1" w:styleId="19">
    <w:name w:val="Default"/>
    <w:basedOn w:val="12"/>
    <w:next w:val="20"/>
    <w:qFormat/>
    <w:uiPriority w:val="99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paragraph" w:customStyle="1" w:styleId="20">
    <w:name w:val="TOC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21">
    <w:name w:val="表格文字"/>
    <w:basedOn w:val="1"/>
    <w:qFormat/>
    <w:uiPriority w:val="0"/>
    <w:pPr>
      <w:spacing w:before="25" w:after="25"/>
      <w:jc w:val="left"/>
    </w:pPr>
    <w:rPr>
      <w:rFonts w:ascii="Calibri" w:hAnsi="Calibri"/>
      <w:bCs/>
      <w:spacing w:val="10"/>
      <w:kern w:val="0"/>
      <w:sz w:val="24"/>
      <w:szCs w:val="20"/>
    </w:rPr>
  </w:style>
  <w:style w:type="character" w:customStyle="1" w:styleId="22">
    <w:name w:val="批注文字 字符"/>
    <w:basedOn w:val="17"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3">
    <w:name w:val="批注文字 字符1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4">
    <w:name w:val="批注主题 字符"/>
    <w:basedOn w:val="23"/>
    <w:link w:val="13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25">
    <w:name w:val="纯文本 字符"/>
    <w:basedOn w:val="17"/>
    <w:link w:val="7"/>
    <w:qFormat/>
    <w:uiPriority w:val="99"/>
    <w:rPr>
      <w:rFonts w:ascii="宋体" w:hAnsi="Courier New" w:eastAsia="宋体" w:cs="Times New Roman"/>
      <w:szCs w:val="21"/>
    </w:rPr>
  </w:style>
  <w:style w:type="character" w:customStyle="1" w:styleId="26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27">
    <w:name w:val="页眉 字符"/>
    <w:basedOn w:val="17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basedOn w:val="17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styleId="29">
    <w:name w:val="Placeholder Text"/>
    <w:basedOn w:val="17"/>
    <w:semiHidden/>
    <w:qFormat/>
    <w:uiPriority w:val="99"/>
    <w:rPr>
      <w:color w:val="808080"/>
    </w:rPr>
  </w:style>
  <w:style w:type="paragraph" w:customStyle="1" w:styleId="30">
    <w:name w:val="样式1"/>
    <w:basedOn w:val="1"/>
    <w:qFormat/>
    <w:uiPriority w:val="0"/>
  </w:style>
  <w:style w:type="table" w:customStyle="1" w:styleId="31">
    <w:name w:val="网格型2"/>
    <w:basedOn w:val="15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2">
    <w:name w:val="p16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33">
    <w:name w:val="List Paragraph2"/>
    <w:basedOn w:val="1"/>
    <w:qFormat/>
    <w:uiPriority w:val="0"/>
    <w:pPr>
      <w:ind w:firstLine="420" w:firstLineChars="200"/>
    </w:pPr>
  </w:style>
  <w:style w:type="paragraph" w:customStyle="1" w:styleId="34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3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32AFAC4-F775-4A19-8224-BF45E683C7C0}"/>
      </w:docPartPr>
      <w:docPartBody>
        <w:p w14:paraId="69E85663">
          <w:r>
            <w:rPr>
              <w:rStyle w:val="4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5A"/>
    <w:rsid w:val="00013D5D"/>
    <w:rsid w:val="00102898"/>
    <w:rsid w:val="001B2DBA"/>
    <w:rsid w:val="0048475D"/>
    <w:rsid w:val="007311C2"/>
    <w:rsid w:val="0080285A"/>
    <w:rsid w:val="00F2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360F420097394E1B8F5C294379C713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7D4063EF51294538A22B0E574C99417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1208</Words>
  <Characters>1245</Characters>
  <Lines>26</Lines>
  <Paragraphs>7</Paragraphs>
  <TotalTime>0</TotalTime>
  <ScaleCrop>false</ScaleCrop>
  <LinksUpToDate>false</LinksUpToDate>
  <CharactersWithSpaces>1254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2021-01-18T01:58:00Z</dcterms:created>
  <dc:creator>c k</dc:creator>
  <cp:lastModifiedBy>老阳</cp:lastModifiedBy>
  <cp:lastPrinted>2021-01-18T07:59:00Z</cp:lastPrinted>
  <dcterms:modified xsi:type="dcterms:W3CDTF">2026-06-05T07:47:43Z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B1C8ADB6A08C49D88EF48001F8D355A1_13</vt:lpwstr>
  </property>
  <property fmtid="{D5CDD505-2E9C-101B-9397-08002B2CF9AE}" pid="4" name="KSOTemplateDocerSaveRecord">
    <vt:lpwstr>eyJoZGlkIjoiOTZkZDVmNzBiZGNiZTJiMTNjOTFhZTJiYjI4ZWQ4OTAiLCJ1c2VySWQiOiI0MzU5NDIxNTAifQ==</vt:lpwstr>
  </property>
</Properties>
</file>