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ADD43">
      <w:pPr>
        <w:widowControl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附件1：</w:t>
      </w:r>
    </w:p>
    <w:p w14:paraId="4E4F886D">
      <w:pPr>
        <w:widowControl/>
        <w:ind w:firstLine="4160" w:firstLineChars="1300"/>
        <w:jc w:val="left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/>
        </w:rPr>
        <w:t xml:space="preserve">采购需求 </w:t>
      </w:r>
    </w:p>
    <w:p w14:paraId="6068680A">
      <w:pPr>
        <w:spacing w:line="360" w:lineRule="auto"/>
        <w:ind w:right="2" w:rightChars="1"/>
        <w:jc w:val="left"/>
        <w:rPr>
          <w:rFonts w:ascii="宋体" w:hAnsi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所有</w:t>
      </w:r>
      <w:r>
        <w:rPr>
          <w:rFonts w:hint="eastAsia" w:ascii="宋体" w:hAnsi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宋体" w:hAnsi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规格参数</w:t>
      </w:r>
      <w:r>
        <w:rPr>
          <w:rFonts w:hint="eastAsia" w:ascii="宋体" w:hAnsi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宋体" w:hAnsi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和商务要求</w:t>
      </w:r>
      <w:r>
        <w:rPr>
          <w:rFonts w:hint="eastAsia" w:ascii="宋体" w:hAnsi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均为实质性条款，必须满足或者优于，否则其</w:t>
      </w:r>
      <w:r>
        <w:rPr>
          <w:rFonts w:hint="eastAsia" w:ascii="宋体" w:hAnsi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宋体" w:hAnsi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无效</w:t>
      </w: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56D17CC7">
      <w:pPr>
        <w:spacing w:line="400" w:lineRule="exact"/>
        <w:jc w:val="left"/>
        <w:rPr>
          <w:rFonts w:hint="eastAsia" w:ascii="宋体" w:hAnsi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</w:rPr>
        <w:t>2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b w:val="0"/>
          <w:bCs/>
          <w:sz w:val="24"/>
          <w:szCs w:val="24"/>
        </w:rPr>
        <w:t>投标人所投标货物或服务如国家有强制性要求的按国家规定执行，并提供相关证明材料。若执行标准有修改或更新按最新版本执行。</w:t>
      </w:r>
    </w:p>
    <w:p w14:paraId="6F093E2A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ind w:left="-708" w:leftChars="-337" w:firstLine="482" w:firstLineChars="200"/>
        <w:jc w:val="left"/>
        <w:textAlignment w:val="auto"/>
        <w:rPr>
          <w:rFonts w:hint="default" w:eastAsia="宋体"/>
          <w:b/>
          <w:bCs/>
          <w:lang w:val="en-US" w:eastAsia="zh-CN"/>
        </w:rPr>
      </w:pPr>
      <w:r>
        <w:rPr>
          <w:rFonts w:hint="eastAsia" w:cs="宋体"/>
          <w:b/>
          <w:bCs/>
        </w:rPr>
        <w:t>（一）采购清单</w:t>
      </w:r>
      <w:r>
        <w:rPr>
          <w:b/>
          <w:bCs/>
        </w:rPr>
        <w:t> </w:t>
      </w:r>
    </w:p>
    <w:tbl>
      <w:tblPr>
        <w:tblStyle w:val="15"/>
        <w:tblpPr w:leftFromText="180" w:rightFromText="180" w:vertAnchor="text" w:horzAnchor="page" w:tblpX="1470" w:tblpY="372"/>
        <w:tblOverlap w:val="never"/>
        <w:tblW w:w="9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763"/>
        <w:gridCol w:w="922"/>
        <w:gridCol w:w="1232"/>
        <w:gridCol w:w="1245"/>
        <w:gridCol w:w="2921"/>
      </w:tblGrid>
      <w:tr w14:paraId="0BD2D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95" w:type="dxa"/>
            <w:vAlign w:val="center"/>
          </w:tcPr>
          <w:p w14:paraId="153E6EA4">
            <w:pPr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763" w:type="dxa"/>
            <w:vAlign w:val="center"/>
          </w:tcPr>
          <w:p w14:paraId="641218D0">
            <w:pPr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922" w:type="dxa"/>
            <w:vAlign w:val="center"/>
          </w:tcPr>
          <w:p w14:paraId="60745000">
            <w:pPr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32" w:type="dxa"/>
            <w:vAlign w:val="top"/>
          </w:tcPr>
          <w:p w14:paraId="52342932">
            <w:pPr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上控单价（万元）</w:t>
            </w:r>
          </w:p>
        </w:tc>
        <w:tc>
          <w:tcPr>
            <w:tcW w:w="1245" w:type="dxa"/>
            <w:vAlign w:val="top"/>
          </w:tcPr>
          <w:p w14:paraId="6E9EF7B2">
            <w:pPr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上控价小计（万元）</w:t>
            </w:r>
          </w:p>
        </w:tc>
        <w:tc>
          <w:tcPr>
            <w:tcW w:w="2921" w:type="dxa"/>
            <w:vAlign w:val="center"/>
          </w:tcPr>
          <w:p w14:paraId="4B673F2B">
            <w:pPr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技术参数要求</w:t>
            </w:r>
          </w:p>
        </w:tc>
      </w:tr>
      <w:tr w14:paraId="5D4FC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Align w:val="center"/>
          </w:tcPr>
          <w:p w14:paraId="39D07037">
            <w:pPr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63" w:type="dxa"/>
            <w:vAlign w:val="center"/>
          </w:tcPr>
          <w:p w14:paraId="5AC9B5F1">
            <w:pPr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VTE辅助决策管理系统维保服务</w:t>
            </w:r>
          </w:p>
        </w:tc>
        <w:tc>
          <w:tcPr>
            <w:tcW w:w="922" w:type="dxa"/>
            <w:vAlign w:val="center"/>
          </w:tcPr>
          <w:p w14:paraId="5CF12FB5">
            <w:pPr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1232" w:type="dxa"/>
            <w:vAlign w:val="center"/>
          </w:tcPr>
          <w:p w14:paraId="42A16D25">
            <w:pPr>
              <w:ind w:firstLine="240" w:firstLineChars="100"/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4.2</w:t>
            </w:r>
          </w:p>
        </w:tc>
        <w:tc>
          <w:tcPr>
            <w:tcW w:w="1245" w:type="dxa"/>
            <w:vAlign w:val="center"/>
          </w:tcPr>
          <w:p w14:paraId="36915D38">
            <w:pPr>
              <w:ind w:firstLine="240" w:firstLineChars="100"/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4.2</w:t>
            </w:r>
          </w:p>
        </w:tc>
        <w:tc>
          <w:tcPr>
            <w:tcW w:w="2921" w:type="dxa"/>
            <w:vAlign w:val="center"/>
          </w:tcPr>
          <w:p w14:paraId="352AC28C">
            <w:pPr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详见技术参数、性能（配置）及其他要求</w:t>
            </w:r>
          </w:p>
        </w:tc>
      </w:tr>
    </w:tbl>
    <w:p w14:paraId="5BB0D797">
      <w:pPr>
        <w:widowControl/>
        <w:numPr>
          <w:ilvl w:val="0"/>
          <w:numId w:val="0"/>
        </w:numPr>
        <w:spacing w:line="360" w:lineRule="auto"/>
        <w:jc w:val="left"/>
        <w:rPr>
          <w:rFonts w:hint="default" w:eastAsia="宋体"/>
          <w:lang w:val="en-US" w:eastAsia="zh-CN"/>
        </w:rPr>
      </w:pPr>
      <w:r>
        <w:rPr>
          <w:rFonts w:hint="eastAsia" w:cs="宋体"/>
          <w:b/>
          <w:bCs/>
          <w:kern w:val="0"/>
          <w:sz w:val="24"/>
          <w:szCs w:val="24"/>
          <w:lang w:eastAsia="zh-CN"/>
        </w:rPr>
        <w:t>（</w:t>
      </w:r>
      <w:r>
        <w:rPr>
          <w:rFonts w:hint="eastAsia" w:cs="宋体"/>
          <w:b/>
          <w:bCs/>
          <w:kern w:val="0"/>
          <w:sz w:val="24"/>
          <w:szCs w:val="24"/>
          <w:lang w:val="en-US" w:eastAsia="zh-CN"/>
        </w:rPr>
        <w:t>二）维保服务要求</w:t>
      </w:r>
    </w:p>
    <w:p w14:paraId="169B5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color w:val="auto"/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color w:val="auto"/>
          <w:sz w:val="24"/>
          <w:szCs w:val="24"/>
        </w:rPr>
        <w:t>为</w:t>
      </w:r>
      <w:r>
        <w:rPr>
          <w:rFonts w:hint="eastAsia"/>
          <w:color w:val="auto"/>
          <w:sz w:val="24"/>
          <w:szCs w:val="24"/>
          <w:lang w:val="en-US" w:eastAsia="zh-CN"/>
        </w:rPr>
        <w:t>采购人</w:t>
      </w:r>
      <w:r>
        <w:rPr>
          <w:rFonts w:hint="eastAsia"/>
          <w:color w:val="auto"/>
          <w:sz w:val="24"/>
          <w:szCs w:val="24"/>
        </w:rPr>
        <w:t>提供在维护协议期内</w:t>
      </w:r>
      <w:r>
        <w:rPr>
          <w:rFonts w:hint="eastAsia"/>
          <w:color w:val="auto"/>
          <w:sz w:val="24"/>
          <w:szCs w:val="24"/>
          <w:lang w:val="en-US" w:eastAsia="zh-CN"/>
        </w:rPr>
        <w:t>采购人</w:t>
      </w:r>
      <w:r>
        <w:rPr>
          <w:rFonts w:hint="eastAsia"/>
          <w:color w:val="auto"/>
          <w:sz w:val="24"/>
          <w:szCs w:val="24"/>
          <w:lang w:eastAsia="zh-CN"/>
        </w:rPr>
        <w:t>现有的《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VTE辅助决策管理系统</w:t>
      </w:r>
      <w:r>
        <w:rPr>
          <w:rFonts w:hint="eastAsia"/>
          <w:color w:val="auto"/>
          <w:sz w:val="24"/>
          <w:szCs w:val="24"/>
          <w:lang w:eastAsia="zh-CN"/>
        </w:rPr>
        <w:t>》</w:t>
      </w:r>
      <w:r>
        <w:rPr>
          <w:rFonts w:hint="eastAsia"/>
          <w:color w:val="auto"/>
          <w:sz w:val="24"/>
          <w:szCs w:val="24"/>
        </w:rPr>
        <w:t>常规售后服务，免费修改</w:t>
      </w:r>
      <w:r>
        <w:rPr>
          <w:rFonts w:hint="eastAsia"/>
          <w:color w:val="auto"/>
          <w:sz w:val="24"/>
          <w:szCs w:val="24"/>
          <w:lang w:eastAsia="zh-CN"/>
        </w:rPr>
        <w:t>和维护</w:t>
      </w:r>
      <w:r>
        <w:rPr>
          <w:rFonts w:hint="eastAsia"/>
          <w:color w:val="auto"/>
          <w:sz w:val="24"/>
          <w:szCs w:val="24"/>
        </w:rPr>
        <w:t>系统</w:t>
      </w:r>
      <w:r>
        <w:rPr>
          <w:rFonts w:hint="eastAsia"/>
          <w:color w:val="auto"/>
          <w:sz w:val="24"/>
          <w:szCs w:val="24"/>
          <w:lang w:val="en-US" w:eastAsia="zh-CN"/>
        </w:rPr>
        <w:t>BUG或产生的一切错误</w:t>
      </w:r>
      <w:r>
        <w:rPr>
          <w:rFonts w:hint="eastAsia"/>
          <w:color w:val="auto"/>
          <w:sz w:val="24"/>
          <w:szCs w:val="24"/>
        </w:rPr>
        <w:t>，免费提供的系统软件及应用软件</w:t>
      </w:r>
      <w:bookmarkStart w:id="0" w:name="_GoBack"/>
      <w:bookmarkEnd w:id="0"/>
      <w:r>
        <w:rPr>
          <w:rFonts w:hint="eastAsia"/>
          <w:color w:val="auto"/>
          <w:sz w:val="24"/>
          <w:szCs w:val="24"/>
          <w:lang w:eastAsia="zh-CN"/>
        </w:rPr>
        <w:t>现有功能模块范围的</w:t>
      </w:r>
      <w:r>
        <w:rPr>
          <w:rFonts w:hint="eastAsia"/>
          <w:color w:val="auto"/>
          <w:sz w:val="24"/>
          <w:szCs w:val="24"/>
        </w:rPr>
        <w:t>升级服务，</w:t>
      </w:r>
      <w:r>
        <w:rPr>
          <w:rFonts w:hint="eastAsia"/>
          <w:color w:val="auto"/>
          <w:sz w:val="24"/>
          <w:szCs w:val="24"/>
          <w:lang w:eastAsia="zh-CN"/>
        </w:rPr>
        <w:t>免费提供新增系统接口对接服务，</w:t>
      </w:r>
      <w:r>
        <w:rPr>
          <w:rFonts w:hint="eastAsia"/>
          <w:color w:val="auto"/>
          <w:sz w:val="24"/>
          <w:szCs w:val="24"/>
        </w:rPr>
        <w:t>使软件系统能够便于</w:t>
      </w:r>
      <w:r>
        <w:rPr>
          <w:rFonts w:hint="eastAsia"/>
          <w:color w:val="auto"/>
          <w:sz w:val="24"/>
          <w:szCs w:val="24"/>
          <w:lang w:val="en-US" w:eastAsia="zh-CN"/>
        </w:rPr>
        <w:t>采购人</w:t>
      </w:r>
      <w:r>
        <w:rPr>
          <w:rFonts w:hint="eastAsia"/>
          <w:color w:val="auto"/>
          <w:sz w:val="24"/>
          <w:szCs w:val="24"/>
        </w:rPr>
        <w:t>业务适应国家</w:t>
      </w:r>
      <w:r>
        <w:rPr>
          <w:rFonts w:hint="eastAsia"/>
          <w:color w:val="auto"/>
          <w:sz w:val="24"/>
          <w:szCs w:val="24"/>
          <w:lang w:eastAsia="zh-CN"/>
        </w:rPr>
        <w:t>卫生部相关数据统计和质控管理</w:t>
      </w:r>
      <w:r>
        <w:rPr>
          <w:rFonts w:hint="eastAsia"/>
          <w:color w:val="auto"/>
          <w:sz w:val="24"/>
          <w:szCs w:val="24"/>
        </w:rPr>
        <w:t>制度的变化及向更专业层次</w:t>
      </w:r>
      <w:r>
        <w:rPr>
          <w:rFonts w:hint="eastAsia"/>
          <w:color w:val="auto"/>
          <w:sz w:val="24"/>
          <w:szCs w:val="24"/>
          <w:lang w:eastAsia="zh-CN"/>
        </w:rPr>
        <w:t>的</w:t>
      </w:r>
      <w:r>
        <w:rPr>
          <w:rFonts w:hint="eastAsia"/>
          <w:color w:val="auto"/>
          <w:sz w:val="24"/>
          <w:szCs w:val="24"/>
        </w:rPr>
        <w:t>发展；</w:t>
      </w:r>
    </w:p>
    <w:p w14:paraId="4B7F02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color w:val="auto"/>
          <w:sz w:val="24"/>
          <w:szCs w:val="24"/>
        </w:rPr>
        <w:t>在维护协议期内，</w:t>
      </w:r>
      <w:r>
        <w:rPr>
          <w:rFonts w:hint="eastAsia"/>
          <w:color w:val="auto"/>
          <w:sz w:val="24"/>
          <w:szCs w:val="24"/>
          <w:lang w:val="en-US" w:eastAsia="zh-CN"/>
        </w:rPr>
        <w:t>中标供应商</w:t>
      </w:r>
      <w:r>
        <w:rPr>
          <w:rFonts w:hint="eastAsia"/>
          <w:color w:val="auto"/>
          <w:sz w:val="24"/>
          <w:szCs w:val="24"/>
        </w:rPr>
        <w:t>为</w:t>
      </w:r>
      <w:r>
        <w:rPr>
          <w:rFonts w:hint="eastAsia"/>
          <w:color w:val="auto"/>
          <w:sz w:val="24"/>
          <w:szCs w:val="24"/>
          <w:lang w:val="en-US" w:eastAsia="zh-CN"/>
        </w:rPr>
        <w:t>采购人</w:t>
      </w:r>
      <w:r>
        <w:rPr>
          <w:rFonts w:hint="eastAsia"/>
          <w:color w:val="auto"/>
          <w:sz w:val="24"/>
          <w:szCs w:val="24"/>
        </w:rPr>
        <w:t>提供7*24小时电话、远程技术支持（含法定节假日）。</w:t>
      </w:r>
      <w:r>
        <w:rPr>
          <w:rFonts w:hint="eastAsia"/>
          <w:color w:val="auto"/>
          <w:sz w:val="24"/>
          <w:szCs w:val="24"/>
          <w:lang w:val="en-US" w:eastAsia="zh-CN"/>
        </w:rPr>
        <w:t>采购人</w:t>
      </w:r>
      <w:r>
        <w:rPr>
          <w:rFonts w:hint="eastAsia"/>
          <w:color w:val="auto"/>
          <w:sz w:val="24"/>
          <w:szCs w:val="24"/>
        </w:rPr>
        <w:t>在通过电话、信函或传真向客户服务中心提出维护申请，能远程解决的，</w:t>
      </w:r>
      <w:r>
        <w:rPr>
          <w:rFonts w:hint="eastAsia"/>
          <w:color w:val="auto"/>
          <w:sz w:val="24"/>
          <w:szCs w:val="24"/>
          <w:lang w:val="en-US" w:eastAsia="zh-CN"/>
        </w:rPr>
        <w:t>中标供应商</w:t>
      </w:r>
      <w:r>
        <w:rPr>
          <w:rFonts w:hint="eastAsia"/>
          <w:color w:val="auto"/>
          <w:sz w:val="24"/>
          <w:szCs w:val="24"/>
        </w:rPr>
        <w:t>服务工程师要在</w:t>
      </w:r>
      <w:r>
        <w:rPr>
          <w:rFonts w:hint="eastAsia"/>
          <w:color w:val="auto"/>
          <w:sz w:val="24"/>
          <w:szCs w:val="24"/>
          <w:lang w:val="en-US" w:eastAsia="zh-CN"/>
        </w:rPr>
        <w:t>1小时</w:t>
      </w:r>
      <w:r>
        <w:rPr>
          <w:rFonts w:hint="eastAsia"/>
          <w:color w:val="auto"/>
          <w:sz w:val="24"/>
          <w:szCs w:val="24"/>
        </w:rPr>
        <w:t>内响应并提供远程协助，一般问题应在3小时内解决，重大问题应在12小时内解决，若无法通过网络或其他方式处理的情况下，</w:t>
      </w:r>
      <w:r>
        <w:rPr>
          <w:rFonts w:hint="eastAsia"/>
          <w:color w:val="auto"/>
          <w:sz w:val="24"/>
          <w:szCs w:val="24"/>
          <w:lang w:val="en-US" w:eastAsia="zh-CN"/>
        </w:rPr>
        <w:t>中标供应商</w:t>
      </w:r>
      <w:r>
        <w:rPr>
          <w:rFonts w:hint="eastAsia"/>
          <w:color w:val="auto"/>
          <w:sz w:val="24"/>
          <w:szCs w:val="24"/>
        </w:rPr>
        <w:t>服务工程师需在</w:t>
      </w:r>
      <w:r>
        <w:rPr>
          <w:rFonts w:hint="eastAsia"/>
          <w:color w:val="auto"/>
          <w:sz w:val="24"/>
          <w:szCs w:val="24"/>
          <w:lang w:val="en-US" w:eastAsia="zh-CN"/>
        </w:rPr>
        <w:t>4</w:t>
      </w:r>
      <w:r>
        <w:rPr>
          <w:rFonts w:hint="eastAsia"/>
          <w:color w:val="auto"/>
          <w:sz w:val="24"/>
          <w:szCs w:val="24"/>
        </w:rPr>
        <w:t>小时内免费到达</w:t>
      </w:r>
      <w:r>
        <w:rPr>
          <w:rFonts w:hint="eastAsia"/>
          <w:color w:val="auto"/>
          <w:sz w:val="24"/>
          <w:szCs w:val="24"/>
          <w:lang w:val="en-US" w:eastAsia="zh-CN"/>
        </w:rPr>
        <w:t>采购人</w:t>
      </w:r>
      <w:r>
        <w:rPr>
          <w:rFonts w:hint="eastAsia"/>
          <w:color w:val="auto"/>
          <w:sz w:val="24"/>
          <w:szCs w:val="24"/>
        </w:rPr>
        <w:t>现场提供服务</w:t>
      </w:r>
      <w:r>
        <w:rPr>
          <w:rFonts w:hint="eastAsia"/>
          <w:sz w:val="24"/>
          <w:szCs w:val="24"/>
        </w:rPr>
        <w:t>；</w:t>
      </w:r>
    </w:p>
    <w:p w14:paraId="61D686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textAlignment w:val="auto"/>
        <w:outlineLvl w:val="9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3.定时巡检：中标方提供每月一次的定期巡检服务，并出具巡检报告留存，对用户应用软件的软硬件环境进行检查；及时发现系统隐患保障系统稳定运行。</w:t>
      </w:r>
    </w:p>
    <w:p w14:paraId="09294D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color w:val="auto"/>
          <w:sz w:val="24"/>
          <w:szCs w:val="24"/>
        </w:rPr>
        <w:t>在应急情况下，为</w:t>
      </w:r>
      <w:r>
        <w:rPr>
          <w:rFonts w:hint="eastAsia"/>
          <w:color w:val="auto"/>
          <w:sz w:val="24"/>
          <w:szCs w:val="24"/>
          <w:lang w:val="en-US" w:eastAsia="zh-CN"/>
        </w:rPr>
        <w:t>采购人</w:t>
      </w:r>
      <w:r>
        <w:rPr>
          <w:rFonts w:hint="eastAsia"/>
          <w:color w:val="auto"/>
          <w:sz w:val="24"/>
          <w:szCs w:val="24"/>
        </w:rPr>
        <w:t>免费提供解决方案，帮助医院尽量降低或避免因为外部因素造成的不利影响。如因硬件或其他原因造成的数据库系统损坏情况的发生，</w:t>
      </w:r>
      <w:r>
        <w:rPr>
          <w:rFonts w:hint="eastAsia"/>
          <w:color w:val="auto"/>
          <w:sz w:val="24"/>
          <w:szCs w:val="24"/>
          <w:lang w:eastAsia="zh-CN"/>
        </w:rPr>
        <w:t>中标</w:t>
      </w:r>
      <w:r>
        <w:rPr>
          <w:rFonts w:hint="eastAsia"/>
          <w:color w:val="auto"/>
          <w:sz w:val="24"/>
          <w:szCs w:val="24"/>
        </w:rPr>
        <w:t>方有责任到现场，利用备份或现有介质文件恢复系统数据，保证系统的正常运行；</w:t>
      </w:r>
    </w:p>
    <w:p w14:paraId="2253B2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color w:val="auto"/>
          <w:sz w:val="24"/>
          <w:szCs w:val="24"/>
        </w:rPr>
        <w:t>免费为</w:t>
      </w:r>
      <w:r>
        <w:rPr>
          <w:rFonts w:hint="eastAsia"/>
          <w:color w:val="auto"/>
          <w:sz w:val="24"/>
          <w:szCs w:val="24"/>
          <w:lang w:val="en-US" w:eastAsia="zh-CN"/>
        </w:rPr>
        <w:t>采购人</w:t>
      </w:r>
      <w:r>
        <w:rPr>
          <w:rFonts w:hint="eastAsia"/>
          <w:color w:val="auto"/>
          <w:sz w:val="24"/>
          <w:szCs w:val="24"/>
        </w:rPr>
        <w:t>提供利用信函、电话、传真等手段解答用户有关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VTE辅助决策管理系统</w:t>
      </w:r>
      <w:r>
        <w:rPr>
          <w:rFonts w:hint="eastAsia"/>
          <w:color w:val="auto"/>
          <w:sz w:val="24"/>
          <w:szCs w:val="24"/>
        </w:rPr>
        <w:t>培训、安装异常、操作异常、运行管理、数据维护等问题</w:t>
      </w:r>
      <w:r>
        <w:rPr>
          <w:rFonts w:hint="eastAsia"/>
          <w:sz w:val="24"/>
          <w:szCs w:val="24"/>
        </w:rPr>
        <w:t>；</w:t>
      </w:r>
    </w:p>
    <w:p w14:paraId="64D63F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color w:val="auto"/>
          <w:sz w:val="24"/>
          <w:szCs w:val="24"/>
        </w:rPr>
        <w:t>免费为</w:t>
      </w:r>
      <w:r>
        <w:rPr>
          <w:rFonts w:hint="eastAsia"/>
          <w:color w:val="auto"/>
          <w:sz w:val="24"/>
          <w:szCs w:val="24"/>
          <w:lang w:val="en-US" w:eastAsia="zh-CN"/>
        </w:rPr>
        <w:t>采购人</w:t>
      </w:r>
      <w:r>
        <w:rPr>
          <w:rFonts w:hint="eastAsia"/>
          <w:color w:val="auto"/>
          <w:sz w:val="24"/>
          <w:szCs w:val="24"/>
        </w:rPr>
        <w:t>提供利用网络为用户提供远程通讯服务、在线解决技术问题、及软件下载服务</w:t>
      </w:r>
      <w:r>
        <w:rPr>
          <w:rFonts w:hint="eastAsia"/>
          <w:sz w:val="24"/>
          <w:szCs w:val="24"/>
        </w:rPr>
        <w:t>；</w:t>
      </w:r>
    </w:p>
    <w:p w14:paraId="5BF942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textAlignment w:val="auto"/>
        <w:outlineLvl w:val="9"/>
        <w:rPr>
          <w:rFonts w:hint="eastAsia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color w:val="auto"/>
          <w:sz w:val="24"/>
          <w:szCs w:val="24"/>
        </w:rPr>
        <w:t>现场工程师在维护完毕后，</w:t>
      </w:r>
      <w:r>
        <w:rPr>
          <w:rFonts w:hint="eastAsia"/>
          <w:color w:val="auto"/>
          <w:sz w:val="24"/>
          <w:szCs w:val="24"/>
          <w:lang w:val="en-US" w:eastAsia="zh-CN"/>
        </w:rPr>
        <w:t>由采购人</w:t>
      </w:r>
      <w:r>
        <w:rPr>
          <w:rFonts w:hint="eastAsia"/>
          <w:color w:val="auto"/>
          <w:sz w:val="24"/>
          <w:szCs w:val="24"/>
        </w:rPr>
        <w:t>对数据的正确性及完整性进行现场检查后签字确认，并以文字方式将有关注意事项留给</w:t>
      </w:r>
      <w:r>
        <w:rPr>
          <w:rFonts w:hint="eastAsia"/>
          <w:color w:val="auto"/>
          <w:sz w:val="24"/>
          <w:szCs w:val="24"/>
          <w:lang w:val="en-US" w:eastAsia="zh-CN"/>
        </w:rPr>
        <w:t>采购人</w:t>
      </w:r>
      <w:r>
        <w:rPr>
          <w:rFonts w:hint="eastAsia"/>
          <w:sz w:val="24"/>
          <w:szCs w:val="24"/>
        </w:rPr>
        <w:t>。</w:t>
      </w:r>
    </w:p>
    <w:p w14:paraId="60A25CAC">
      <w:pPr>
        <w:pStyle w:val="19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after="0" w:line="440" w:lineRule="exact"/>
        <w:ind w:left="-708" w:leftChars="-337" w:right="0" w:rightChars="0" w:firstLine="964" w:firstLineChars="400"/>
        <w:jc w:val="left"/>
        <w:textAlignment w:val="auto"/>
        <w:rPr>
          <w:rFonts w:hint="eastAsia" w:cs="宋体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（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cs="宋体"/>
          <w:b/>
          <w:bCs/>
          <w:sz w:val="24"/>
          <w:szCs w:val="24"/>
        </w:rPr>
        <w:t>）商务要求</w:t>
      </w:r>
    </w:p>
    <w:p w14:paraId="1FAD530E"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1.其他服务</w:t>
      </w:r>
      <w:r>
        <w:rPr>
          <w:rFonts w:hint="eastAsia" w:cs="宋体"/>
          <w:b w:val="0"/>
          <w:bCs w:val="0"/>
          <w:color w:val="000000"/>
          <w:kern w:val="0"/>
          <w:sz w:val="24"/>
          <w:szCs w:val="24"/>
        </w:rPr>
        <w:t>要求</w:t>
      </w:r>
    </w:p>
    <w:p w14:paraId="7847622B">
      <w:pPr>
        <w:pStyle w:val="19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after="0" w:line="440" w:lineRule="exact"/>
        <w:ind w:right="0" w:rightChars="0" w:firstLine="480" w:firstLineChars="200"/>
        <w:jc w:val="left"/>
        <w:textAlignment w:val="auto"/>
        <w:rPr>
          <w:color w:val="auto"/>
        </w:rPr>
      </w:pPr>
      <w:r>
        <w:rPr>
          <w:rFonts w:hint="eastAsia"/>
          <w:color w:val="auto"/>
          <w:lang w:val="en-US" w:eastAsia="zh-CN"/>
        </w:rPr>
        <w:t>（1）</w:t>
      </w:r>
      <w:r>
        <w:rPr>
          <w:rFonts w:hint="eastAsia"/>
          <w:color w:val="auto"/>
        </w:rPr>
        <w:t>投标人所投</w:t>
      </w:r>
      <w:r>
        <w:rPr>
          <w:rFonts w:hint="eastAsia"/>
          <w:color w:val="auto"/>
          <w:lang w:eastAsia="zh-CN"/>
        </w:rPr>
        <w:t>服务</w:t>
      </w:r>
      <w:r>
        <w:rPr>
          <w:rFonts w:hint="eastAsia"/>
          <w:color w:val="auto"/>
        </w:rPr>
        <w:t>参数应同等或优于以上各项参数要求，</w:t>
      </w:r>
      <w:r>
        <w:rPr>
          <w:rFonts w:hint="eastAsia"/>
          <w:color w:val="auto"/>
          <w:lang w:eastAsia="zh-CN"/>
        </w:rPr>
        <w:t>且</w:t>
      </w:r>
      <w:r>
        <w:rPr>
          <w:rFonts w:hint="eastAsia"/>
          <w:color w:val="auto"/>
        </w:rPr>
        <w:t>符合国家相关规范。</w:t>
      </w:r>
    </w:p>
    <w:p w14:paraId="1E050EAA">
      <w:pPr>
        <w:pStyle w:val="19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after="0" w:line="440" w:lineRule="exact"/>
        <w:ind w:right="0" w:rightChars="0" w:firstLine="480" w:firstLineChars="200"/>
        <w:jc w:val="left"/>
        <w:textAlignment w:val="auto"/>
        <w:rPr>
          <w:color w:val="auto"/>
        </w:rPr>
      </w:pPr>
      <w:r>
        <w:rPr>
          <w:rFonts w:hint="eastAsia"/>
          <w:color w:val="auto"/>
          <w:lang w:val="en-US" w:eastAsia="zh-CN"/>
        </w:rPr>
        <w:t>（2）</w:t>
      </w:r>
      <w:r>
        <w:rPr>
          <w:rFonts w:hint="eastAsia"/>
          <w:color w:val="auto"/>
        </w:rPr>
        <w:t>投标人应保证所提供的</w:t>
      </w:r>
      <w:r>
        <w:rPr>
          <w:rFonts w:hint="eastAsia"/>
          <w:color w:val="auto"/>
          <w:lang w:eastAsia="zh-CN"/>
        </w:rPr>
        <w:t>服务</w:t>
      </w:r>
      <w:r>
        <w:rPr>
          <w:rFonts w:hint="eastAsia"/>
          <w:color w:val="auto"/>
        </w:rPr>
        <w:t>不会侵犯任何第三方的专利权、商标权等，如在使用过程中出现的一切经济和法律责任均由投标人负责。</w:t>
      </w:r>
    </w:p>
    <w:p w14:paraId="27B0041F">
      <w:pPr>
        <w:pStyle w:val="19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after="0" w:line="440" w:lineRule="exact"/>
        <w:ind w:left="15" w:leftChars="7" w:right="0" w:rightChars="0" w:firstLine="480" w:firstLineChars="200"/>
        <w:jc w:val="left"/>
        <w:textAlignment w:val="auto"/>
        <w:rPr>
          <w:rFonts w:hint="eastAsia" w:cs="Times New Roman"/>
          <w:b/>
          <w:bCs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/>
          <w:color w:val="auto"/>
          <w:lang w:val="en-US" w:eastAsia="zh-CN"/>
        </w:rPr>
        <w:t>（3）</w:t>
      </w:r>
      <w:r>
        <w:rPr>
          <w:rFonts w:hint="eastAsia"/>
          <w:color w:val="auto"/>
        </w:rPr>
        <w:t>投标总价必须包含</w:t>
      </w:r>
      <w:r>
        <w:rPr>
          <w:rFonts w:hint="eastAsia"/>
          <w:color w:val="auto"/>
          <w:lang w:eastAsia="zh-CN"/>
        </w:rPr>
        <w:t>服务期内为医院提供《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VTE辅助决策管理系统</w:t>
      </w:r>
      <w:r>
        <w:rPr>
          <w:rFonts w:hint="eastAsia"/>
          <w:color w:val="auto"/>
          <w:lang w:eastAsia="zh-CN"/>
        </w:rPr>
        <w:t>》所有维保服务所需费用的</w:t>
      </w:r>
      <w:r>
        <w:rPr>
          <w:rFonts w:hint="eastAsia"/>
          <w:color w:val="auto"/>
        </w:rPr>
        <w:t>总和</w:t>
      </w:r>
      <w:r>
        <w:rPr>
          <w:rFonts w:hint="eastAsia"/>
          <w:color w:val="auto"/>
          <w:lang w:eastAsia="zh-CN"/>
        </w:rPr>
        <w:t>，不得以任何理由另外加收服务费用</w:t>
      </w:r>
      <w:r>
        <w:rPr>
          <w:rFonts w:hint="eastAsia"/>
          <w:color w:val="auto"/>
        </w:rPr>
        <w:t>。</w:t>
      </w:r>
    </w:p>
    <w:p w14:paraId="5FF162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leftChars="-338" w:right="0" w:rightChars="0" w:firstLine="960" w:firstLineChars="400"/>
        <w:jc w:val="left"/>
        <w:textAlignment w:val="auto"/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2.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付款</w:t>
      </w:r>
      <w:r>
        <w:rPr>
          <w:rFonts w:hint="eastAsia" w:cs="Times New Roman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方式：</w:t>
      </w:r>
    </w:p>
    <w:p w14:paraId="23DC2C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left="-48" w:leftChars="-23" w:right="0" w:rightChars="0" w:firstLine="0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第一期付款：在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签订合同后，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中标人开出合同总金额1/3的正规发票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采购人在收到发票后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10个工作日内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对公转账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账户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A0FDC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left="-48" w:leftChars="-23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第二期付款：中标人在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合同签订12个月后开出合同总金额1/3的正规发票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采购人收到发票后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10个工作日内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对公转账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账户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FF4F6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left="-48" w:leftChars="-23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第三期付款：中标人在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合同签订24个月后开出合同总金额1/3的正规发票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采购人收到发票后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10 个工作日内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对公转账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账户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56E0107">
      <w:pPr>
        <w:widowControl/>
        <w:numPr>
          <w:ilvl w:val="0"/>
          <w:numId w:val="0"/>
        </w:numPr>
        <w:spacing w:line="360" w:lineRule="auto"/>
        <w:ind w:leftChars="-138" w:firstLine="482" w:firstLineChars="200"/>
        <w:jc w:val="left"/>
        <w:rPr>
          <w:rFonts w:hint="eastAsia" w:cs="宋体"/>
          <w:b/>
          <w:bCs/>
          <w:kern w:val="0"/>
          <w:sz w:val="24"/>
          <w:szCs w:val="24"/>
        </w:rPr>
      </w:pPr>
      <w:r>
        <w:rPr>
          <w:rFonts w:hint="eastAsia" w:cs="宋体"/>
          <w:b/>
          <w:bCs/>
          <w:kern w:val="0"/>
          <w:sz w:val="24"/>
          <w:szCs w:val="24"/>
          <w:lang w:val="en-US" w:eastAsia="zh-CN"/>
        </w:rPr>
        <w:t>二、</w:t>
      </w:r>
      <w:r>
        <w:rPr>
          <w:rFonts w:hint="eastAsia" w:cs="宋体"/>
          <w:b/>
          <w:bCs/>
          <w:kern w:val="0"/>
          <w:sz w:val="24"/>
          <w:szCs w:val="24"/>
        </w:rPr>
        <w:t>合同签订</w:t>
      </w:r>
    </w:p>
    <w:p w14:paraId="600A723B">
      <w:pPr>
        <w:widowControl/>
        <w:numPr>
          <w:ilvl w:val="0"/>
          <w:numId w:val="0"/>
        </w:numPr>
        <w:spacing w:line="360" w:lineRule="auto"/>
        <w:ind w:leftChars="-138" w:firstLine="480" w:firstLineChars="200"/>
        <w:jc w:val="left"/>
        <w:rPr>
          <w:rFonts w:hint="default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cs="宋体"/>
          <w:kern w:val="0"/>
          <w:sz w:val="24"/>
          <w:szCs w:val="24"/>
        </w:rPr>
        <w:t>招标人和中标人应当自公示结束后</w:t>
      </w:r>
      <w:sdt>
        <w:sdtPr>
          <w:rPr>
            <w:rFonts w:hint="eastAsia" w:cs="宋体"/>
            <w:kern w:val="0"/>
            <w:sz w:val="24"/>
            <w:szCs w:val="24"/>
          </w:rPr>
          <w:alias w:val="无特殊情况不建议修改"/>
          <w:tag w:val="无特殊情况不建议修改"/>
          <w:id w:val="-183904816"/>
          <w:placeholder>
            <w:docPart w:val="DefaultPlaceholder_-1854013440"/>
          </w:placeholder>
          <w15:color w:val="FF0000"/>
        </w:sdtPr>
        <w:sdtEndPr>
          <w:rPr>
            <w:rFonts w:hint="eastAsia" w:cs="宋体"/>
            <w:color w:val="FF0000"/>
            <w:kern w:val="0"/>
            <w:sz w:val="24"/>
            <w:szCs w:val="24"/>
            <w:u w:val="single"/>
          </w:rPr>
        </w:sdtEndPr>
        <w:sdtContent>
          <w:r>
            <w:rPr>
              <w:rFonts w:hint="eastAsia" w:cs="宋体"/>
              <w:color w:val="FF0000"/>
              <w:kern w:val="0"/>
              <w:sz w:val="24"/>
              <w:szCs w:val="24"/>
              <w:u w:val="single"/>
              <w:lang w:val="en-US" w:eastAsia="zh-CN"/>
            </w:rPr>
            <w:t>25</w:t>
          </w:r>
        </w:sdtContent>
      </w:sdt>
      <w:r>
        <w:rPr>
          <w:rFonts w:hint="eastAsia" w:cs="宋体"/>
          <w:kern w:val="0"/>
          <w:sz w:val="24"/>
          <w:szCs w:val="24"/>
          <w:lang w:val="en-US" w:eastAsia="zh-CN"/>
        </w:rPr>
        <w:t>日</w:t>
      </w:r>
      <w:r>
        <w:rPr>
          <w:rFonts w:hint="eastAsia" w:cs="宋体"/>
          <w:kern w:val="0"/>
          <w:sz w:val="24"/>
          <w:szCs w:val="24"/>
        </w:rPr>
        <w:t>内签订采购合同</w:t>
      </w:r>
      <w:r>
        <w:rPr>
          <w:rFonts w:hint="eastAsia" w:cs="宋体"/>
          <w:kern w:val="0"/>
          <w:sz w:val="24"/>
          <w:szCs w:val="24"/>
          <w:lang w:eastAsia="zh-CN"/>
        </w:rPr>
        <w:t>，</w:t>
      </w:r>
      <w:r>
        <w:rPr>
          <w:rFonts w:hint="eastAsia" w:cs="宋体"/>
          <w:kern w:val="0"/>
          <w:sz w:val="24"/>
          <w:szCs w:val="24"/>
          <w:lang w:val="en-US" w:eastAsia="zh-CN"/>
        </w:rPr>
        <w:t>合同期限为自签订之日起3年。</w:t>
      </w:r>
    </w:p>
    <w:p w14:paraId="5D916D04">
      <w:pPr>
        <w:widowControl/>
        <w:numPr>
          <w:ilvl w:val="0"/>
          <w:numId w:val="0"/>
        </w:numPr>
        <w:spacing w:line="360" w:lineRule="auto"/>
        <w:ind w:leftChars="-138" w:firstLine="480" w:firstLineChars="200"/>
        <w:jc w:val="left"/>
        <w:rPr>
          <w:rFonts w:hint="eastAsia" w:eastAsia="宋体" w:cs="宋体"/>
          <w:kern w:val="0"/>
          <w:sz w:val="24"/>
          <w:szCs w:val="24"/>
          <w:lang w:eastAsia="zh-CN"/>
        </w:rPr>
      </w:pPr>
    </w:p>
    <w:p w14:paraId="455BDF68">
      <w:pPr>
        <w:pStyle w:val="19"/>
        <w:jc w:val="left"/>
        <w:rPr>
          <w:sz w:val="24"/>
          <w:szCs w:val="24"/>
        </w:rPr>
      </w:pPr>
    </w:p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yYmY4MjA0MzAxNjIyZGNjMDk1MmY5N2E0MzMwOWEifQ=="/>
    <w:docVar w:name="KY_MEDREF_DOCUID" w:val="{642EBB7A-05DF-4F7F-990F-180E42AE779D}"/>
    <w:docVar w:name="KY_MEDREF_VERSION" w:val="3"/>
  </w:docVars>
  <w:rsids>
    <w:rsidRoot w:val="004C7EB2"/>
    <w:rsid w:val="00066185"/>
    <w:rsid w:val="00080292"/>
    <w:rsid w:val="0008196D"/>
    <w:rsid w:val="00095D83"/>
    <w:rsid w:val="000A6C18"/>
    <w:rsid w:val="000B7E2D"/>
    <w:rsid w:val="000E1AA6"/>
    <w:rsid w:val="00204183"/>
    <w:rsid w:val="00241CD6"/>
    <w:rsid w:val="002C7944"/>
    <w:rsid w:val="003C3AB5"/>
    <w:rsid w:val="003E7DC1"/>
    <w:rsid w:val="00474079"/>
    <w:rsid w:val="004C7EB2"/>
    <w:rsid w:val="004D08F5"/>
    <w:rsid w:val="004D2825"/>
    <w:rsid w:val="004F5A76"/>
    <w:rsid w:val="005007DD"/>
    <w:rsid w:val="005D491D"/>
    <w:rsid w:val="00654BC6"/>
    <w:rsid w:val="00684BD7"/>
    <w:rsid w:val="006E5543"/>
    <w:rsid w:val="00707A97"/>
    <w:rsid w:val="007814EA"/>
    <w:rsid w:val="007A5910"/>
    <w:rsid w:val="007F6F70"/>
    <w:rsid w:val="00813BDB"/>
    <w:rsid w:val="00825B15"/>
    <w:rsid w:val="008553F8"/>
    <w:rsid w:val="008A5DC5"/>
    <w:rsid w:val="008D3A6F"/>
    <w:rsid w:val="009530DC"/>
    <w:rsid w:val="00A2105C"/>
    <w:rsid w:val="00A44D5C"/>
    <w:rsid w:val="00A83F43"/>
    <w:rsid w:val="00AC0EA5"/>
    <w:rsid w:val="00B8409A"/>
    <w:rsid w:val="00BA3521"/>
    <w:rsid w:val="00C33384"/>
    <w:rsid w:val="00C762C8"/>
    <w:rsid w:val="00C97AD7"/>
    <w:rsid w:val="00CC2DEE"/>
    <w:rsid w:val="00CD27A2"/>
    <w:rsid w:val="00D2685D"/>
    <w:rsid w:val="00D41CB5"/>
    <w:rsid w:val="00D57065"/>
    <w:rsid w:val="00DB5864"/>
    <w:rsid w:val="00DC4B54"/>
    <w:rsid w:val="00E14108"/>
    <w:rsid w:val="00E72BBE"/>
    <w:rsid w:val="00EB1C9B"/>
    <w:rsid w:val="00ED5546"/>
    <w:rsid w:val="01124992"/>
    <w:rsid w:val="01A43ED9"/>
    <w:rsid w:val="01CB43E2"/>
    <w:rsid w:val="02615DF0"/>
    <w:rsid w:val="02F20B8C"/>
    <w:rsid w:val="033B04D0"/>
    <w:rsid w:val="03B56736"/>
    <w:rsid w:val="03CD4A5F"/>
    <w:rsid w:val="04AE0DE7"/>
    <w:rsid w:val="04CF143B"/>
    <w:rsid w:val="07E61381"/>
    <w:rsid w:val="094E71DE"/>
    <w:rsid w:val="0A3E7F31"/>
    <w:rsid w:val="0A6A7BF7"/>
    <w:rsid w:val="0A795D65"/>
    <w:rsid w:val="0CC05EEA"/>
    <w:rsid w:val="0D8916FC"/>
    <w:rsid w:val="0DAB0B9B"/>
    <w:rsid w:val="0DE17E27"/>
    <w:rsid w:val="0E6B1369"/>
    <w:rsid w:val="0E8C22E1"/>
    <w:rsid w:val="0ECE5049"/>
    <w:rsid w:val="10445B09"/>
    <w:rsid w:val="10C97A40"/>
    <w:rsid w:val="10EC6F96"/>
    <w:rsid w:val="111563A0"/>
    <w:rsid w:val="11300E3E"/>
    <w:rsid w:val="113941D9"/>
    <w:rsid w:val="11AC7198"/>
    <w:rsid w:val="122B15C9"/>
    <w:rsid w:val="12713099"/>
    <w:rsid w:val="12C97D37"/>
    <w:rsid w:val="13362447"/>
    <w:rsid w:val="13925D68"/>
    <w:rsid w:val="1461070D"/>
    <w:rsid w:val="14B97D87"/>
    <w:rsid w:val="157601E9"/>
    <w:rsid w:val="15982097"/>
    <w:rsid w:val="15FB473D"/>
    <w:rsid w:val="166F4544"/>
    <w:rsid w:val="17BF5E77"/>
    <w:rsid w:val="188C387F"/>
    <w:rsid w:val="1A622AE9"/>
    <w:rsid w:val="1B0B13D3"/>
    <w:rsid w:val="1B513EBB"/>
    <w:rsid w:val="1E4F7829"/>
    <w:rsid w:val="1E622ABE"/>
    <w:rsid w:val="1E742B96"/>
    <w:rsid w:val="1EBA72DE"/>
    <w:rsid w:val="21B710F4"/>
    <w:rsid w:val="2218153E"/>
    <w:rsid w:val="22486A69"/>
    <w:rsid w:val="23352945"/>
    <w:rsid w:val="23720241"/>
    <w:rsid w:val="23CD191B"/>
    <w:rsid w:val="25773183"/>
    <w:rsid w:val="26431704"/>
    <w:rsid w:val="26834A1B"/>
    <w:rsid w:val="26BE392F"/>
    <w:rsid w:val="26CD4569"/>
    <w:rsid w:val="27D01D3D"/>
    <w:rsid w:val="27D34CA5"/>
    <w:rsid w:val="28110468"/>
    <w:rsid w:val="293A4A87"/>
    <w:rsid w:val="2B547517"/>
    <w:rsid w:val="2BD650E5"/>
    <w:rsid w:val="2C3C1132"/>
    <w:rsid w:val="2CD07D87"/>
    <w:rsid w:val="2E44559E"/>
    <w:rsid w:val="2FEA431E"/>
    <w:rsid w:val="311834AF"/>
    <w:rsid w:val="316C5529"/>
    <w:rsid w:val="318469E5"/>
    <w:rsid w:val="3194337D"/>
    <w:rsid w:val="32F04CDF"/>
    <w:rsid w:val="3341553A"/>
    <w:rsid w:val="35723D2E"/>
    <w:rsid w:val="35924144"/>
    <w:rsid w:val="35D22DC1"/>
    <w:rsid w:val="364A2958"/>
    <w:rsid w:val="36A92904"/>
    <w:rsid w:val="3737378F"/>
    <w:rsid w:val="3806606D"/>
    <w:rsid w:val="3825367C"/>
    <w:rsid w:val="397701BE"/>
    <w:rsid w:val="3B546CEC"/>
    <w:rsid w:val="3EA21DFC"/>
    <w:rsid w:val="3F8769CB"/>
    <w:rsid w:val="41366ED0"/>
    <w:rsid w:val="41B810BD"/>
    <w:rsid w:val="41D6495D"/>
    <w:rsid w:val="43081BD1"/>
    <w:rsid w:val="43087A46"/>
    <w:rsid w:val="4332051F"/>
    <w:rsid w:val="434B320F"/>
    <w:rsid w:val="447A1AFE"/>
    <w:rsid w:val="44B84B29"/>
    <w:rsid w:val="459322F9"/>
    <w:rsid w:val="472C46C8"/>
    <w:rsid w:val="474F4272"/>
    <w:rsid w:val="484D14FE"/>
    <w:rsid w:val="48733F90"/>
    <w:rsid w:val="48D85C25"/>
    <w:rsid w:val="49A95790"/>
    <w:rsid w:val="4A5A77BB"/>
    <w:rsid w:val="4A6022F2"/>
    <w:rsid w:val="4B1420CD"/>
    <w:rsid w:val="4B920BD1"/>
    <w:rsid w:val="4C1C5576"/>
    <w:rsid w:val="4C3E6663"/>
    <w:rsid w:val="4C7B1D87"/>
    <w:rsid w:val="4CD9638C"/>
    <w:rsid w:val="4D442BFB"/>
    <w:rsid w:val="4D583754"/>
    <w:rsid w:val="4D781BD4"/>
    <w:rsid w:val="4D8956B7"/>
    <w:rsid w:val="4DA009DA"/>
    <w:rsid w:val="4DA97E72"/>
    <w:rsid w:val="4DB9683E"/>
    <w:rsid w:val="4F3D41BA"/>
    <w:rsid w:val="4F6F4D85"/>
    <w:rsid w:val="50502E0F"/>
    <w:rsid w:val="51794369"/>
    <w:rsid w:val="51B2246F"/>
    <w:rsid w:val="52A96C6B"/>
    <w:rsid w:val="537F5EDF"/>
    <w:rsid w:val="539906F6"/>
    <w:rsid w:val="54136627"/>
    <w:rsid w:val="556130B2"/>
    <w:rsid w:val="55D712FC"/>
    <w:rsid w:val="562437FE"/>
    <w:rsid w:val="56327239"/>
    <w:rsid w:val="57783371"/>
    <w:rsid w:val="589150FF"/>
    <w:rsid w:val="591470C9"/>
    <w:rsid w:val="59B8001F"/>
    <w:rsid w:val="5C797243"/>
    <w:rsid w:val="5C7B116A"/>
    <w:rsid w:val="5D1A4465"/>
    <w:rsid w:val="5DCD43FF"/>
    <w:rsid w:val="5E761C8C"/>
    <w:rsid w:val="5E846C46"/>
    <w:rsid w:val="5ECE3876"/>
    <w:rsid w:val="5EE138EE"/>
    <w:rsid w:val="5FFD63C3"/>
    <w:rsid w:val="603E4948"/>
    <w:rsid w:val="62DE3608"/>
    <w:rsid w:val="635822A8"/>
    <w:rsid w:val="6402117A"/>
    <w:rsid w:val="64CA4726"/>
    <w:rsid w:val="65706B30"/>
    <w:rsid w:val="67EF0C5A"/>
    <w:rsid w:val="681A7B2C"/>
    <w:rsid w:val="682B5544"/>
    <w:rsid w:val="68D65365"/>
    <w:rsid w:val="695829EA"/>
    <w:rsid w:val="6A513DD5"/>
    <w:rsid w:val="6BF540D9"/>
    <w:rsid w:val="6C1A722C"/>
    <w:rsid w:val="6CA20189"/>
    <w:rsid w:val="6D682209"/>
    <w:rsid w:val="6DD0797D"/>
    <w:rsid w:val="6E1A0EFE"/>
    <w:rsid w:val="6F0937DE"/>
    <w:rsid w:val="702E7F23"/>
    <w:rsid w:val="70421BC0"/>
    <w:rsid w:val="709E26BF"/>
    <w:rsid w:val="712A3BD4"/>
    <w:rsid w:val="71754026"/>
    <w:rsid w:val="729E2959"/>
    <w:rsid w:val="73452E97"/>
    <w:rsid w:val="73A11102"/>
    <w:rsid w:val="73E75CD1"/>
    <w:rsid w:val="74051691"/>
    <w:rsid w:val="74B5471E"/>
    <w:rsid w:val="75FA7A38"/>
    <w:rsid w:val="77E41C8F"/>
    <w:rsid w:val="77FF632E"/>
    <w:rsid w:val="79322EE8"/>
    <w:rsid w:val="7B036868"/>
    <w:rsid w:val="7B14665D"/>
    <w:rsid w:val="7BA36E17"/>
    <w:rsid w:val="7BF02C26"/>
    <w:rsid w:val="7CA915F3"/>
    <w:rsid w:val="7D843D95"/>
    <w:rsid w:val="7E0E16F5"/>
    <w:rsid w:val="7E2766A8"/>
    <w:rsid w:val="7FF4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nhideWhenUsed="0" w:uiPriority="9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szCs w:val="20"/>
    </w:rPr>
  </w:style>
  <w:style w:type="paragraph" w:styleId="3">
    <w:name w:val="Document Map"/>
    <w:basedOn w:val="1"/>
    <w:next w:val="4"/>
    <w:unhideWhenUsed/>
    <w:qFormat/>
    <w:uiPriority w:val="99"/>
    <w:rPr>
      <w:rFonts w:ascii="宋体"/>
      <w:sz w:val="18"/>
      <w:szCs w:val="18"/>
    </w:rPr>
  </w:style>
  <w:style w:type="paragraph" w:styleId="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5">
    <w:name w:val="annotation text"/>
    <w:basedOn w:val="1"/>
    <w:link w:val="23"/>
    <w:qFormat/>
    <w:uiPriority w:val="99"/>
    <w:pPr>
      <w:jc w:val="left"/>
    </w:pPr>
  </w:style>
  <w:style w:type="paragraph" w:styleId="6">
    <w:name w:val="Body Text"/>
    <w:basedOn w:val="1"/>
    <w:semiHidden/>
    <w:qFormat/>
    <w:uiPriority w:val="99"/>
    <w:pPr>
      <w:spacing w:after="120"/>
    </w:pPr>
  </w:style>
  <w:style w:type="paragraph" w:styleId="7">
    <w:name w:val="Plain Text"/>
    <w:basedOn w:val="1"/>
    <w:next w:val="1"/>
    <w:link w:val="25"/>
    <w:qFormat/>
    <w:uiPriority w:val="99"/>
    <w:rPr>
      <w:rFonts w:ascii="宋体" w:hAnsi="Courier New"/>
    </w:rPr>
  </w:style>
  <w:style w:type="paragraph" w:styleId="8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9"/>
    <w:basedOn w:val="1"/>
    <w:next w:val="1"/>
    <w:qFormat/>
    <w:uiPriority w:val="99"/>
    <w:pPr>
      <w:ind w:left="1470"/>
      <w:jc w:val="left"/>
    </w:pPr>
    <w:rPr>
      <w:sz w:val="20"/>
      <w:szCs w:val="20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qFormat/>
    <w:uiPriority w:val="10"/>
    <w:pPr>
      <w:spacing w:before="240" w:after="240" w:line="720" w:lineRule="auto"/>
      <w:jc w:val="center"/>
      <w:outlineLvl w:val="0"/>
    </w:pPr>
    <w:rPr>
      <w:rFonts w:ascii="方正小标宋简体" w:hAnsi="黑体" w:eastAsia="方正小标宋简体" w:cs="Times New Roman"/>
      <w:bCs/>
      <w:kern w:val="2"/>
      <w:sz w:val="52"/>
      <w:szCs w:val="52"/>
      <w:lang w:val="en-US" w:eastAsia="zh-CN" w:bidi="ar-SA"/>
    </w:rPr>
  </w:style>
  <w:style w:type="paragraph" w:styleId="13">
    <w:name w:val="annotation subject"/>
    <w:basedOn w:val="5"/>
    <w:next w:val="5"/>
    <w:link w:val="24"/>
    <w:semiHidden/>
    <w:unhideWhenUsed/>
    <w:qFormat/>
    <w:uiPriority w:val="99"/>
    <w:rPr>
      <w:b/>
      <w:bCs/>
    </w:rPr>
  </w:style>
  <w:style w:type="paragraph" w:styleId="14">
    <w:name w:val="Body Text First Indent"/>
    <w:basedOn w:val="6"/>
    <w:qFormat/>
    <w:uiPriority w:val="0"/>
    <w:pPr>
      <w:ind w:firstLine="420" w:firstLineChars="100"/>
    </w:pPr>
  </w:style>
  <w:style w:type="table" w:styleId="16">
    <w:name w:val="Table Grid"/>
    <w:basedOn w:val="1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semiHidden/>
    <w:qFormat/>
    <w:uiPriority w:val="99"/>
    <w:rPr>
      <w:sz w:val="21"/>
      <w:szCs w:val="21"/>
    </w:rPr>
  </w:style>
  <w:style w:type="paragraph" w:customStyle="1" w:styleId="19">
    <w:name w:val="Default"/>
    <w:basedOn w:val="12"/>
    <w:next w:val="20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20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1">
    <w:name w:val="表格文字"/>
    <w:basedOn w:val="1"/>
    <w:qFormat/>
    <w:uiPriority w:val="0"/>
    <w:pPr>
      <w:spacing w:before="25" w:after="25"/>
      <w:jc w:val="left"/>
    </w:pPr>
    <w:rPr>
      <w:rFonts w:ascii="Calibri" w:hAnsi="Calibri"/>
      <w:bCs/>
      <w:spacing w:val="10"/>
      <w:kern w:val="0"/>
      <w:sz w:val="24"/>
      <w:szCs w:val="20"/>
    </w:rPr>
  </w:style>
  <w:style w:type="character" w:customStyle="1" w:styleId="22">
    <w:name w:val="批注文字 字符"/>
    <w:basedOn w:val="17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3">
    <w:name w:val="批注文字 字符1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4">
    <w:name w:val="批注主题 字符"/>
    <w:basedOn w:val="23"/>
    <w:link w:val="13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25">
    <w:name w:val="纯文本 字符"/>
    <w:basedOn w:val="17"/>
    <w:link w:val="7"/>
    <w:qFormat/>
    <w:uiPriority w:val="99"/>
    <w:rPr>
      <w:rFonts w:ascii="宋体" w:hAnsi="Courier New" w:eastAsia="宋体" w:cs="Times New Roman"/>
      <w:szCs w:val="21"/>
    </w:rPr>
  </w:style>
  <w:style w:type="character" w:customStyle="1" w:styleId="26">
    <w:name w:val="fontstyle0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27">
    <w:name w:val="页眉 字符"/>
    <w:basedOn w:val="17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basedOn w:val="17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styleId="29">
    <w:name w:val="Placeholder Text"/>
    <w:basedOn w:val="17"/>
    <w:semiHidden/>
    <w:qFormat/>
    <w:uiPriority w:val="99"/>
    <w:rPr>
      <w:color w:val="808080"/>
    </w:rPr>
  </w:style>
  <w:style w:type="paragraph" w:customStyle="1" w:styleId="30">
    <w:name w:val="样式1"/>
    <w:basedOn w:val="1"/>
    <w:qFormat/>
    <w:uiPriority w:val="0"/>
  </w:style>
  <w:style w:type="table" w:customStyle="1" w:styleId="31">
    <w:name w:val="网格型2"/>
    <w:basedOn w:val="15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2">
    <w:name w:val="p16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33">
    <w:name w:val="List Paragraph2"/>
    <w:basedOn w:val="1"/>
    <w:qFormat/>
    <w:uiPriority w:val="0"/>
    <w:pPr>
      <w:ind w:firstLine="420" w:firstLineChars="200"/>
    </w:pPr>
  </w:style>
  <w:style w:type="paragraph" w:customStyle="1" w:styleId="3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styleId="3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2AFAC4-F775-4A19-8224-BF45E683C7C0}"/>
      </w:docPartPr>
      <w:docPartBody>
        <w:p w14:paraId="2BEFA4FE">
          <w:r>
            <w:rPr>
              <w:rStyle w:val="4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5A"/>
    <w:rsid w:val="00013D5D"/>
    <w:rsid w:val="00102898"/>
    <w:rsid w:val="001B2DBA"/>
    <w:rsid w:val="0048475D"/>
    <w:rsid w:val="007311C2"/>
    <w:rsid w:val="0080285A"/>
    <w:rsid w:val="00F2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360F420097394E1B8F5C294379C713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D4063EF51294538A22B0E574C99417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1253</Words>
  <Characters>1294</Characters>
  <Lines>26</Lines>
  <Paragraphs>7</Paragraphs>
  <TotalTime>0</TotalTime>
  <ScaleCrop>false</ScaleCrop>
  <LinksUpToDate>false</LinksUpToDate>
  <CharactersWithSpaces>1303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2021-01-18T01:58:00Z</dcterms:created>
  <dc:creator>c k</dc:creator>
  <cp:lastModifiedBy>老阳</cp:lastModifiedBy>
  <cp:lastPrinted>2021-01-18T07:59:00Z</cp:lastPrinted>
  <dcterms:modified xsi:type="dcterms:W3CDTF">2026-06-08T00:22:01Z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B1C8ADB6A08C49D88EF48001F8D355A1_13</vt:lpwstr>
  </property>
  <property fmtid="{D5CDD505-2E9C-101B-9397-08002B2CF9AE}" pid="4" name="KSOTemplateDocerSaveRecord">
    <vt:lpwstr>eyJoZGlkIjoiOTZkZDVmNzBiZGNiZTJiMTNjOTFhZTJiYjI4ZWQ4OTAiLCJ1c2VySWQiOiI0MzU5NDIxNTAifQ==</vt:lpwstr>
  </property>
</Properties>
</file>