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F52CB">
      <w:pPr>
        <w:pStyle w:val="2"/>
        <w:keepNext w:val="0"/>
        <w:keepLines w:val="0"/>
        <w:pageBreakBefore w:val="0"/>
        <w:kinsoku/>
        <w:wordWrap/>
        <w:overflowPunct/>
        <w:topLinePunct w:val="0"/>
        <w:bidi w:val="0"/>
        <w:spacing w:line="360" w:lineRule="exact"/>
        <w:ind w:left="0" w:leftChars="0" w:firstLine="0" w:firstLineChars="0"/>
        <w:rPr>
          <w:rFonts w:hint="eastAsia" w:ascii="宋体" w:hAnsi="宋体"/>
          <w:b w:val="0"/>
          <w:bCs w:val="0"/>
          <w:color w:val="000000" w:themeColor="text1"/>
          <w:sz w:val="28"/>
          <w:szCs w:val="28"/>
          <w:lang w:val="en-US" w:eastAsia="zh-CN"/>
          <w14:textFill>
            <w14:solidFill>
              <w14:schemeClr w14:val="tx1"/>
            </w14:solidFill>
          </w14:textFill>
        </w:rPr>
      </w:pPr>
      <w:r>
        <w:rPr>
          <w:rFonts w:hint="eastAsia" w:ascii="宋体" w:hAnsi="宋体"/>
          <w:b w:val="0"/>
          <w:bCs w:val="0"/>
          <w:color w:val="000000" w:themeColor="text1"/>
          <w:sz w:val="28"/>
          <w:szCs w:val="28"/>
          <w:lang w:val="en-US" w:eastAsia="zh-CN"/>
          <w14:textFill>
            <w14:solidFill>
              <w14:schemeClr w14:val="tx1"/>
            </w14:solidFill>
          </w14:textFill>
        </w:rPr>
        <w:t>附件1：</w:t>
      </w:r>
    </w:p>
    <w:p w14:paraId="10C5D76A">
      <w:pPr>
        <w:pStyle w:val="13"/>
        <w:ind w:firstLine="880" w:firstLineChars="200"/>
        <w:rPr>
          <w:rFonts w:hint="eastAsia" w:ascii="宋体" w:hAnsi="宋体"/>
          <w:b w:val="0"/>
          <w:bCs w:val="0"/>
          <w:color w:val="000000" w:themeColor="text1"/>
          <w:sz w:val="44"/>
          <w:szCs w:val="44"/>
          <w:lang w:val="en-US" w:eastAsia="zh-CN"/>
          <w14:textFill>
            <w14:solidFill>
              <w14:schemeClr w14:val="tx1"/>
            </w14:solidFill>
          </w14:textFill>
        </w:rPr>
      </w:pPr>
      <w:r>
        <w:rPr>
          <w:rFonts w:hint="eastAsia" w:ascii="宋体" w:hAnsi="宋体"/>
          <w:b w:val="0"/>
          <w:bCs w:val="0"/>
          <w:color w:val="000000" w:themeColor="text1"/>
          <w:sz w:val="44"/>
          <w:szCs w:val="44"/>
          <w:lang w:val="en-US" w:eastAsia="zh-CN"/>
          <w14:textFill>
            <w14:solidFill>
              <w14:schemeClr w14:val="tx1"/>
            </w14:solidFill>
          </w14:textFill>
        </w:rPr>
        <w:t>采购需求</w:t>
      </w:r>
    </w:p>
    <w:p w14:paraId="135ED9DA">
      <w:pPr>
        <w:rPr>
          <w:rFonts w:hint="default"/>
          <w:lang w:val="en-US" w:eastAsia="zh-CN"/>
        </w:rPr>
      </w:pPr>
    </w:p>
    <w:p w14:paraId="7D30B307">
      <w:pPr>
        <w:pStyle w:val="2"/>
        <w:keepNext w:val="0"/>
        <w:keepLines w:val="0"/>
        <w:pageBreakBefore w:val="0"/>
        <w:kinsoku/>
        <w:wordWrap/>
        <w:overflowPunct/>
        <w:topLinePunct w:val="0"/>
        <w:bidi w:val="0"/>
        <w:spacing w:line="360" w:lineRule="exact"/>
        <w:ind w:left="0" w:leftChars="0" w:firstLine="0" w:firstLineChars="0"/>
        <w:rPr>
          <w:rFonts w:hint="eastAsia" w:ascii="宋体" w:hAnsi="宋体"/>
          <w:b/>
          <w:bCs w:val="0"/>
          <w:color w:val="FF0000"/>
          <w:lang w:val="en-US" w:eastAsia="zh-CN"/>
        </w:rPr>
      </w:pPr>
      <w:r>
        <w:rPr>
          <w:rFonts w:hint="eastAsia" w:ascii="宋体" w:hAnsi="宋体"/>
          <w:b w:val="0"/>
          <w:bCs w:val="0"/>
          <w:color w:val="000000" w:themeColor="text1"/>
          <w:lang w:eastAsia="zh-CN"/>
          <w14:textFill>
            <w14:solidFill>
              <w14:schemeClr w14:val="tx1"/>
            </w14:solidFill>
          </w14:textFill>
        </w:rPr>
        <w:t>所有</w:t>
      </w:r>
      <w:r>
        <w:rPr>
          <w:rFonts w:hint="eastAsia" w:ascii="宋体" w:hAnsi="宋体"/>
          <w:b w:val="0"/>
          <w:bCs w:val="0"/>
          <w:color w:val="000000" w:themeColor="text1"/>
          <w14:textFill>
            <w14:solidFill>
              <w14:schemeClr w14:val="tx1"/>
            </w14:solidFill>
          </w14:textFill>
        </w:rPr>
        <w:t>技术</w:t>
      </w:r>
      <w:r>
        <w:rPr>
          <w:rFonts w:hint="eastAsia" w:ascii="宋体" w:hAnsi="宋体"/>
          <w:b w:val="0"/>
          <w:bCs w:val="0"/>
          <w:color w:val="000000" w:themeColor="text1"/>
          <w:lang w:eastAsia="zh-CN"/>
          <w14:textFill>
            <w14:solidFill>
              <w14:schemeClr w14:val="tx1"/>
            </w14:solidFill>
          </w14:textFill>
        </w:rPr>
        <w:t>规格参数</w:t>
      </w:r>
      <w:r>
        <w:rPr>
          <w:rFonts w:hint="eastAsia" w:ascii="宋体" w:hAnsi="宋体"/>
          <w:b w:val="0"/>
          <w:bCs w:val="0"/>
          <w:color w:val="000000" w:themeColor="text1"/>
          <w14:textFill>
            <w14:solidFill>
              <w14:schemeClr w14:val="tx1"/>
            </w14:solidFill>
          </w14:textFill>
        </w:rPr>
        <w:t>要求均为实质性条款，必须满足或者优于，否则其</w:t>
      </w:r>
      <w:r>
        <w:rPr>
          <w:rFonts w:hint="eastAsia" w:ascii="宋体" w:hAnsi="宋体"/>
          <w:b w:val="0"/>
          <w:bCs w:val="0"/>
          <w:color w:val="000000" w:themeColor="text1"/>
          <w:lang w:eastAsia="zh-CN"/>
          <w14:textFill>
            <w14:solidFill>
              <w14:schemeClr w14:val="tx1"/>
            </w14:solidFill>
          </w14:textFill>
        </w:rPr>
        <w:t>投标</w:t>
      </w:r>
      <w:r>
        <w:rPr>
          <w:rFonts w:hint="eastAsia" w:ascii="宋体" w:hAnsi="宋体"/>
          <w:b w:val="0"/>
          <w:bCs w:val="0"/>
          <w:color w:val="000000" w:themeColor="text1"/>
          <w14:textFill>
            <w14:solidFill>
              <w14:schemeClr w14:val="tx1"/>
            </w14:solidFill>
          </w14:textFill>
        </w:rPr>
        <w:t>文件</w:t>
      </w:r>
      <w:r>
        <w:rPr>
          <w:rFonts w:hint="eastAsia" w:ascii="宋体" w:hAnsi="宋体"/>
          <w:b w:val="0"/>
          <w:bCs w:val="0"/>
          <w:color w:val="000000" w:themeColor="text1"/>
          <w:lang w:eastAsia="zh-CN"/>
          <w14:textFill>
            <w14:solidFill>
              <w14:schemeClr w14:val="tx1"/>
            </w14:solidFill>
          </w14:textFill>
        </w:rPr>
        <w:t>无效</w:t>
      </w:r>
    </w:p>
    <w:p w14:paraId="11BBA451">
      <w:pPr>
        <w:pStyle w:val="2"/>
        <w:keepNext w:val="0"/>
        <w:keepLines w:val="0"/>
        <w:pageBreakBefore w:val="0"/>
        <w:kinsoku/>
        <w:wordWrap/>
        <w:overflowPunct/>
        <w:topLinePunct w:val="0"/>
        <w:bidi w:val="0"/>
        <w:spacing w:line="360" w:lineRule="exact"/>
        <w:ind w:left="0" w:leftChars="0"/>
        <w:rPr>
          <w:rFonts w:cs="宋体"/>
          <w:b w:val="0"/>
          <w:bCs w:val="0"/>
          <w:sz w:val="28"/>
          <w:szCs w:val="28"/>
        </w:rPr>
      </w:pPr>
      <w:r>
        <w:rPr>
          <w:rFonts w:hint="eastAsia" w:cs="宋体"/>
          <w:b w:val="0"/>
          <w:bCs w:val="0"/>
          <w:sz w:val="28"/>
          <w:szCs w:val="28"/>
        </w:rPr>
        <w:t>一、采购清单、技术规格参数、质量标准和要求</w:t>
      </w:r>
    </w:p>
    <w:p w14:paraId="515CA7BA">
      <w:pPr>
        <w:pStyle w:val="2"/>
        <w:keepNext w:val="0"/>
        <w:keepLines w:val="0"/>
        <w:pageBreakBefore w:val="0"/>
        <w:kinsoku/>
        <w:wordWrap/>
        <w:overflowPunct/>
        <w:topLinePunct w:val="0"/>
        <w:bidi w:val="0"/>
        <w:spacing w:line="360" w:lineRule="exact"/>
        <w:ind w:left="0" w:leftChars="0"/>
        <w:rPr>
          <w:b/>
          <w:bCs/>
        </w:rPr>
      </w:pPr>
      <w:r>
        <w:rPr>
          <w:rFonts w:hint="eastAsia" w:cs="宋体"/>
          <w:b/>
          <w:bCs/>
        </w:rPr>
        <w:t>（一）采购清单</w:t>
      </w:r>
      <w:r>
        <w:rPr>
          <w:b/>
          <w:bCs/>
        </w:rPr>
        <w:t> </w:t>
      </w:r>
    </w:p>
    <w:p w14:paraId="73EA55EE">
      <w:pPr>
        <w:pStyle w:val="2"/>
        <w:keepNext w:val="0"/>
        <w:keepLines w:val="0"/>
        <w:pageBreakBefore w:val="0"/>
        <w:kinsoku/>
        <w:wordWrap/>
        <w:overflowPunct/>
        <w:topLinePunct w:val="0"/>
        <w:bidi w:val="0"/>
        <w:spacing w:line="360" w:lineRule="exact"/>
        <w:ind w:left="0" w:leftChars="0"/>
        <w:rPr>
          <w:rFonts w:hint="eastAsia"/>
          <w:b/>
          <w:bCs/>
          <w:vertAlign w:val="baseline"/>
          <w:lang w:val="en-US" w:eastAsia="zh-CN"/>
        </w:rPr>
      </w:pPr>
      <w:r>
        <w:rPr>
          <w:rFonts w:hint="eastAsia"/>
          <w:b/>
          <w:bCs/>
          <w:lang w:val="en-US" w:eastAsia="zh-CN"/>
        </w:rPr>
        <w:t xml:space="preserve">     </w:t>
      </w:r>
    </w:p>
    <w:tbl>
      <w:tblPr>
        <w:tblStyle w:val="10"/>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786"/>
        <w:gridCol w:w="1052"/>
        <w:gridCol w:w="1269"/>
        <w:gridCol w:w="1597"/>
        <w:gridCol w:w="2753"/>
      </w:tblGrid>
      <w:tr w14:paraId="0566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14:paraId="79F0CC7B">
            <w:pPr>
              <w:pStyle w:val="2"/>
              <w:keepNext w:val="0"/>
              <w:keepLines w:val="0"/>
              <w:pageBreakBefore w:val="0"/>
              <w:kinsoku/>
              <w:wordWrap/>
              <w:overflowPunct/>
              <w:topLinePunct w:val="0"/>
              <w:bidi w:val="0"/>
              <w:spacing w:line="360" w:lineRule="exact"/>
              <w:ind w:left="0" w:leftChars="0"/>
              <w:jc w:val="both"/>
              <w:rPr>
                <w:rFonts w:hint="default"/>
                <w:b/>
                <w:bCs/>
                <w:vertAlign w:val="baseline"/>
                <w:lang w:val="en-US" w:eastAsia="zh-CN"/>
              </w:rPr>
            </w:pPr>
            <w:r>
              <w:rPr>
                <w:rFonts w:hint="eastAsia"/>
                <w:b/>
                <w:bCs/>
                <w:vertAlign w:val="baseline"/>
                <w:lang w:val="en-US" w:eastAsia="zh-CN"/>
              </w:rPr>
              <w:t>序号</w:t>
            </w:r>
          </w:p>
        </w:tc>
        <w:tc>
          <w:tcPr>
            <w:tcW w:w="1786" w:type="dxa"/>
          </w:tcPr>
          <w:p w14:paraId="0CE425C8">
            <w:pPr>
              <w:pStyle w:val="2"/>
              <w:keepNext w:val="0"/>
              <w:keepLines w:val="0"/>
              <w:pageBreakBefore w:val="0"/>
              <w:kinsoku/>
              <w:wordWrap/>
              <w:overflowPunct/>
              <w:topLinePunct w:val="0"/>
              <w:bidi w:val="0"/>
              <w:spacing w:line="360" w:lineRule="exact"/>
              <w:ind w:left="0" w:leftChars="0" w:firstLine="241" w:firstLineChars="100"/>
              <w:jc w:val="both"/>
              <w:rPr>
                <w:rFonts w:hint="default"/>
                <w:b/>
                <w:bCs/>
                <w:vertAlign w:val="baseline"/>
                <w:lang w:val="en-US" w:eastAsia="zh-CN"/>
              </w:rPr>
            </w:pPr>
            <w:r>
              <w:rPr>
                <w:rFonts w:hint="eastAsia"/>
                <w:b/>
                <w:bCs/>
                <w:vertAlign w:val="baseline"/>
                <w:lang w:val="en-US" w:eastAsia="zh-CN"/>
              </w:rPr>
              <w:t>项目名称</w:t>
            </w:r>
          </w:p>
        </w:tc>
        <w:tc>
          <w:tcPr>
            <w:tcW w:w="1052" w:type="dxa"/>
          </w:tcPr>
          <w:p w14:paraId="5BDDBDE3">
            <w:pPr>
              <w:pStyle w:val="2"/>
              <w:keepNext w:val="0"/>
              <w:keepLines w:val="0"/>
              <w:pageBreakBefore w:val="0"/>
              <w:kinsoku/>
              <w:wordWrap/>
              <w:overflowPunct/>
              <w:topLinePunct w:val="0"/>
              <w:bidi w:val="0"/>
              <w:spacing w:line="360" w:lineRule="exact"/>
              <w:ind w:left="0" w:leftChars="0"/>
              <w:jc w:val="both"/>
              <w:rPr>
                <w:rFonts w:hint="default"/>
                <w:b/>
                <w:bCs/>
                <w:vertAlign w:val="baseline"/>
                <w:lang w:val="en-US" w:eastAsia="zh-CN"/>
              </w:rPr>
            </w:pPr>
            <w:r>
              <w:rPr>
                <w:rFonts w:hint="eastAsia"/>
                <w:b/>
                <w:bCs/>
                <w:vertAlign w:val="baseline"/>
                <w:lang w:val="en-US" w:eastAsia="zh-CN"/>
              </w:rPr>
              <w:t>数量</w:t>
            </w:r>
          </w:p>
        </w:tc>
        <w:tc>
          <w:tcPr>
            <w:tcW w:w="1269" w:type="dxa"/>
          </w:tcPr>
          <w:p w14:paraId="3982FC44">
            <w:pPr>
              <w:pStyle w:val="2"/>
              <w:keepNext w:val="0"/>
              <w:keepLines w:val="0"/>
              <w:pageBreakBefore w:val="0"/>
              <w:kinsoku/>
              <w:wordWrap/>
              <w:overflowPunct/>
              <w:topLinePunct w:val="0"/>
              <w:bidi w:val="0"/>
              <w:spacing w:line="360" w:lineRule="exact"/>
              <w:ind w:left="0" w:leftChars="0"/>
              <w:jc w:val="both"/>
              <w:rPr>
                <w:rFonts w:hint="default"/>
                <w:b/>
                <w:bCs/>
                <w:vertAlign w:val="baseline"/>
                <w:lang w:val="en-US" w:eastAsia="zh-CN"/>
              </w:rPr>
            </w:pPr>
            <w:r>
              <w:rPr>
                <w:rFonts w:hint="eastAsia"/>
                <w:b/>
                <w:bCs/>
                <w:vertAlign w:val="baseline"/>
                <w:lang w:val="en-US" w:eastAsia="zh-CN"/>
              </w:rPr>
              <w:t>上控单价</w:t>
            </w:r>
          </w:p>
        </w:tc>
        <w:tc>
          <w:tcPr>
            <w:tcW w:w="1597" w:type="dxa"/>
          </w:tcPr>
          <w:p w14:paraId="25F152CC">
            <w:pPr>
              <w:pStyle w:val="2"/>
              <w:keepNext w:val="0"/>
              <w:keepLines w:val="0"/>
              <w:pageBreakBefore w:val="0"/>
              <w:kinsoku/>
              <w:wordWrap/>
              <w:overflowPunct/>
              <w:topLinePunct w:val="0"/>
              <w:bidi w:val="0"/>
              <w:spacing w:line="360" w:lineRule="exact"/>
              <w:ind w:left="0" w:leftChars="0"/>
              <w:jc w:val="both"/>
              <w:rPr>
                <w:rFonts w:hint="default"/>
                <w:b/>
                <w:bCs/>
                <w:vertAlign w:val="baseline"/>
                <w:lang w:val="en-US" w:eastAsia="zh-CN"/>
              </w:rPr>
            </w:pPr>
            <w:r>
              <w:rPr>
                <w:rFonts w:hint="eastAsia"/>
                <w:b/>
                <w:bCs/>
                <w:vertAlign w:val="baseline"/>
                <w:lang w:val="en-US" w:eastAsia="zh-CN"/>
              </w:rPr>
              <w:t>总上控价</w:t>
            </w:r>
          </w:p>
        </w:tc>
        <w:tc>
          <w:tcPr>
            <w:tcW w:w="2753" w:type="dxa"/>
          </w:tcPr>
          <w:p w14:paraId="5BF1303E">
            <w:pPr>
              <w:pStyle w:val="2"/>
              <w:keepNext w:val="0"/>
              <w:keepLines w:val="0"/>
              <w:pageBreakBefore w:val="0"/>
              <w:kinsoku/>
              <w:wordWrap/>
              <w:overflowPunct/>
              <w:topLinePunct w:val="0"/>
              <w:bidi w:val="0"/>
              <w:spacing w:line="360" w:lineRule="exact"/>
              <w:ind w:left="0" w:leftChars="0"/>
              <w:jc w:val="both"/>
              <w:rPr>
                <w:rFonts w:hint="eastAsia"/>
                <w:b/>
                <w:bCs/>
                <w:vertAlign w:val="baseline"/>
                <w:lang w:val="en-US" w:eastAsia="zh-CN"/>
              </w:rPr>
            </w:pPr>
          </w:p>
        </w:tc>
      </w:tr>
      <w:tr w14:paraId="04E8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14:paraId="0CA5AC56">
            <w:pPr>
              <w:pStyle w:val="2"/>
              <w:keepNext w:val="0"/>
              <w:keepLines w:val="0"/>
              <w:pageBreakBefore w:val="0"/>
              <w:kinsoku/>
              <w:wordWrap/>
              <w:overflowPunct/>
              <w:topLinePunct w:val="0"/>
              <w:bidi w:val="0"/>
              <w:spacing w:line="360" w:lineRule="exact"/>
              <w:ind w:left="0" w:leftChars="0"/>
              <w:jc w:val="center"/>
              <w:rPr>
                <w:rFonts w:hint="default" w:cs="宋体"/>
                <w:sz w:val="24"/>
                <w:szCs w:val="24"/>
                <w:lang w:val="en-US" w:eastAsia="zh-CN"/>
              </w:rPr>
            </w:pPr>
            <w:r>
              <w:rPr>
                <w:rFonts w:hint="eastAsia" w:cs="宋体"/>
                <w:sz w:val="24"/>
                <w:szCs w:val="24"/>
                <w:lang w:val="en-US" w:eastAsia="zh-CN"/>
              </w:rPr>
              <w:t>1</w:t>
            </w:r>
          </w:p>
        </w:tc>
        <w:tc>
          <w:tcPr>
            <w:tcW w:w="1786" w:type="dxa"/>
            <w:vAlign w:val="center"/>
          </w:tcPr>
          <w:p w14:paraId="32425AEC">
            <w:pPr>
              <w:pStyle w:val="2"/>
              <w:keepNext w:val="0"/>
              <w:keepLines w:val="0"/>
              <w:pageBreakBefore w:val="0"/>
              <w:kinsoku/>
              <w:wordWrap/>
              <w:overflowPunct/>
              <w:topLinePunct w:val="0"/>
              <w:bidi w:val="0"/>
              <w:spacing w:line="360" w:lineRule="exact"/>
              <w:ind w:left="0" w:leftChars="0"/>
              <w:jc w:val="center"/>
              <w:rPr>
                <w:rFonts w:hint="eastAsia" w:cs="宋体"/>
                <w:sz w:val="24"/>
                <w:szCs w:val="24"/>
                <w:lang w:val="en-US" w:eastAsia="zh-CN"/>
              </w:rPr>
            </w:pPr>
            <w:r>
              <w:rPr>
                <w:rFonts w:hint="eastAsia" w:cs="宋体"/>
                <w:sz w:val="24"/>
                <w:szCs w:val="24"/>
                <w:lang w:val="en-US" w:eastAsia="zh-CN"/>
              </w:rPr>
              <w:t>ICU落地可移动式设备塔</w:t>
            </w:r>
          </w:p>
        </w:tc>
        <w:tc>
          <w:tcPr>
            <w:tcW w:w="1052" w:type="dxa"/>
            <w:vAlign w:val="center"/>
          </w:tcPr>
          <w:p w14:paraId="2E5336D2">
            <w:pPr>
              <w:pStyle w:val="2"/>
              <w:keepNext w:val="0"/>
              <w:keepLines w:val="0"/>
              <w:pageBreakBefore w:val="0"/>
              <w:kinsoku/>
              <w:wordWrap/>
              <w:overflowPunct/>
              <w:topLinePunct w:val="0"/>
              <w:bidi w:val="0"/>
              <w:spacing w:line="360" w:lineRule="exact"/>
              <w:ind w:left="0" w:leftChars="0"/>
              <w:jc w:val="center"/>
              <w:rPr>
                <w:rFonts w:hint="default" w:cs="宋体"/>
                <w:sz w:val="24"/>
                <w:szCs w:val="24"/>
                <w:lang w:val="en-US" w:eastAsia="zh-CN"/>
              </w:rPr>
            </w:pPr>
            <w:r>
              <w:rPr>
                <w:rFonts w:hint="eastAsia" w:cs="宋体"/>
                <w:sz w:val="24"/>
                <w:szCs w:val="24"/>
                <w:lang w:val="en-US" w:eastAsia="zh-CN"/>
              </w:rPr>
              <w:t>6</w:t>
            </w:r>
          </w:p>
        </w:tc>
        <w:tc>
          <w:tcPr>
            <w:tcW w:w="1269" w:type="dxa"/>
            <w:vAlign w:val="center"/>
          </w:tcPr>
          <w:p w14:paraId="1D830FBD">
            <w:pPr>
              <w:pStyle w:val="2"/>
              <w:keepNext w:val="0"/>
              <w:keepLines w:val="0"/>
              <w:pageBreakBefore w:val="0"/>
              <w:kinsoku/>
              <w:wordWrap/>
              <w:overflowPunct/>
              <w:topLinePunct w:val="0"/>
              <w:bidi w:val="0"/>
              <w:spacing w:line="360" w:lineRule="exact"/>
              <w:ind w:left="0" w:leftChars="0"/>
              <w:jc w:val="center"/>
              <w:rPr>
                <w:rFonts w:hint="eastAsia" w:eastAsia="宋体" w:cs="宋体"/>
                <w:sz w:val="24"/>
                <w:szCs w:val="24"/>
                <w:lang w:val="en-US" w:eastAsia="zh-CN"/>
              </w:rPr>
            </w:pPr>
            <w:r>
              <w:rPr>
                <w:rFonts w:hint="eastAsia" w:cs="宋体"/>
                <w:sz w:val="24"/>
                <w:szCs w:val="24"/>
                <w:lang w:val="en-US" w:eastAsia="zh-CN"/>
              </w:rPr>
              <w:t>7960元</w:t>
            </w:r>
          </w:p>
        </w:tc>
        <w:tc>
          <w:tcPr>
            <w:tcW w:w="1597" w:type="dxa"/>
            <w:vAlign w:val="center"/>
          </w:tcPr>
          <w:p w14:paraId="3CF13F07">
            <w:pPr>
              <w:pStyle w:val="2"/>
              <w:keepNext w:val="0"/>
              <w:keepLines w:val="0"/>
              <w:pageBreakBefore w:val="0"/>
              <w:kinsoku/>
              <w:wordWrap/>
              <w:overflowPunct/>
              <w:topLinePunct w:val="0"/>
              <w:bidi w:val="0"/>
              <w:spacing w:line="360" w:lineRule="exact"/>
              <w:ind w:left="0" w:leftChars="0"/>
              <w:jc w:val="center"/>
              <w:rPr>
                <w:rFonts w:hint="default" w:cs="宋体"/>
                <w:sz w:val="24"/>
                <w:szCs w:val="24"/>
                <w:lang w:val="en-US" w:eastAsia="zh-CN"/>
              </w:rPr>
            </w:pPr>
            <w:r>
              <w:rPr>
                <w:rFonts w:hint="eastAsia" w:cs="宋体"/>
                <w:sz w:val="24"/>
                <w:szCs w:val="24"/>
                <w:lang w:val="en-US" w:eastAsia="zh-CN"/>
              </w:rPr>
              <w:t>47760元</w:t>
            </w:r>
          </w:p>
        </w:tc>
        <w:tc>
          <w:tcPr>
            <w:tcW w:w="2753" w:type="dxa"/>
            <w:vAlign w:val="center"/>
          </w:tcPr>
          <w:p w14:paraId="5FB5AB96">
            <w:pPr>
              <w:pStyle w:val="2"/>
              <w:keepNext w:val="0"/>
              <w:keepLines w:val="0"/>
              <w:pageBreakBefore w:val="0"/>
              <w:kinsoku/>
              <w:wordWrap/>
              <w:overflowPunct/>
              <w:topLinePunct w:val="0"/>
              <w:bidi w:val="0"/>
              <w:spacing w:line="360" w:lineRule="exact"/>
              <w:ind w:left="0" w:leftChars="0"/>
              <w:jc w:val="center"/>
              <w:rPr>
                <w:rFonts w:hint="eastAsia" w:eastAsia="宋体"/>
                <w:b/>
                <w:bCs/>
                <w:vertAlign w:val="baseline"/>
                <w:lang w:val="en-US" w:eastAsia="zh-CN"/>
              </w:rPr>
            </w:pPr>
            <w:r>
              <w:rPr>
                <w:rFonts w:hint="eastAsia" w:ascii="宋体" w:hAnsi="宋体" w:cs="宋体"/>
                <w:sz w:val="24"/>
                <w:szCs w:val="24"/>
              </w:rPr>
              <w:t>详见</w:t>
            </w:r>
            <w:r>
              <w:rPr>
                <w:rFonts w:hint="eastAsia" w:cs="宋体"/>
                <w:sz w:val="24"/>
                <w:szCs w:val="24"/>
              </w:rPr>
              <w:t>技术参数、性能（配置）及其他</w:t>
            </w:r>
            <w:r>
              <w:rPr>
                <w:rFonts w:hint="eastAsia" w:cs="宋体"/>
                <w:sz w:val="24"/>
                <w:szCs w:val="24"/>
                <w:lang w:val="en-US" w:eastAsia="zh-CN"/>
              </w:rPr>
              <w:t>要求</w:t>
            </w:r>
          </w:p>
        </w:tc>
      </w:tr>
    </w:tbl>
    <w:p w14:paraId="4D0BC7A9">
      <w:pPr>
        <w:pStyle w:val="2"/>
        <w:keepNext w:val="0"/>
        <w:keepLines w:val="0"/>
        <w:pageBreakBefore w:val="0"/>
        <w:kinsoku/>
        <w:wordWrap/>
        <w:overflowPunct/>
        <w:topLinePunct w:val="0"/>
        <w:bidi w:val="0"/>
        <w:spacing w:line="360" w:lineRule="exact"/>
        <w:ind w:left="0" w:leftChars="0"/>
        <w:rPr>
          <w:rFonts w:hint="default" w:eastAsia="宋体"/>
          <w:b/>
          <w:bCs/>
          <w:lang w:val="en-US" w:eastAsia="zh-CN"/>
        </w:rPr>
      </w:pPr>
    </w:p>
    <w:p w14:paraId="01F19596">
      <w:pPr>
        <w:keepNext w:val="0"/>
        <w:keepLines w:val="0"/>
        <w:pageBreakBefore w:val="0"/>
        <w:widowControl/>
        <w:numPr>
          <w:ilvl w:val="0"/>
          <w:numId w:val="1"/>
        </w:numPr>
        <w:kinsoku/>
        <w:wordWrap/>
        <w:overflowPunct/>
        <w:topLinePunct w:val="0"/>
        <w:bidi w:val="0"/>
        <w:spacing w:line="360" w:lineRule="exact"/>
        <w:ind w:left="0" w:leftChars="0"/>
        <w:jc w:val="left"/>
        <w:rPr>
          <w:rFonts w:hint="default"/>
          <w:lang w:val="en-US" w:eastAsia="zh-CN"/>
        </w:rPr>
      </w:pPr>
      <w:r>
        <w:rPr>
          <w:rFonts w:hint="eastAsia" w:cs="宋体"/>
          <w:b/>
          <w:bCs/>
          <w:kern w:val="0"/>
          <w:sz w:val="24"/>
          <w:szCs w:val="24"/>
        </w:rPr>
        <w:t>技术规格参数</w:t>
      </w:r>
    </w:p>
    <w:p w14:paraId="5809AECC">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1.产品结构及组成：主要结构由箱体、底座和仪器托盘和抽屉组成，终端箱体使用电、气分离组装模块。</w:t>
      </w:r>
    </w:p>
    <w:p w14:paraId="54B7E900">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2.整体高度：1500mm-1800mm</w:t>
      </w:r>
    </w:p>
    <w:p w14:paraId="1CF63B2B">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3.产品细节描述：</w:t>
      </w:r>
    </w:p>
    <w:p w14:paraId="2BE84C39">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（1）主体材料为6063高强度铝合金，加工级别达到T5。</w:t>
      </w:r>
    </w:p>
    <w:p w14:paraId="72261BB0">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（2）吊塔端面均设有碰撞缓冲结构，任一端面没有金属锐角。</w:t>
      </w:r>
    </w:p>
    <w:p w14:paraId="201E1CF3">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（3）表面喷涂采用优质环保抗菌进口塑粉，其具有表面抑制细菌再生作用；采用高压静电喷涂工艺，确保其表面哑光、无眩目。</w:t>
      </w:r>
    </w:p>
    <w:p w14:paraId="25AD4901">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（4）所有吊塔上承载的设备电源线路及气源管路和塔体之间没有相对移动且不外露。</w:t>
      </w:r>
    </w:p>
    <w:p w14:paraId="2DDA4CEB">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（5）塔体背面气体终端配置2个氧气、2个吸引、2个空气，各气体终端均为不同颜色和不同形状，并且带通、断、拔三状态，插座插头可保证10万次以上的插拔（提供证明材料），可增加带气维修。</w:t>
      </w:r>
    </w:p>
    <w:p w14:paraId="089F38E1">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（6）气体终端达到医用抗菌标准（提供证明材料）</w:t>
      </w:r>
    </w:p>
    <w:p w14:paraId="2F60053E">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（7）符合气电分离要求，确保吊塔使用安全性。</w:t>
      </w:r>
    </w:p>
    <w:p w14:paraId="20579D75">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（8）塔体两侧，一侧配置8个插座，电源为交流电220V、50Hz，有单独接地线。一侧配置；网络接口：RJ45  2个；接地端子：2个，插座6个。</w:t>
      </w:r>
    </w:p>
    <w:p w14:paraId="63454AEB">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（9）塔体单个托盘承重≥60KG，吊桥符合四倍承重系数安全负载要求。</w:t>
      </w:r>
    </w:p>
    <w:p w14:paraId="4417C8E0">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（10）气体管路通过生物相容性认证，确保对人体无毒无公害（提供证明材料）</w:t>
      </w:r>
    </w:p>
    <w:p w14:paraId="749817A8">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（11）外科气管、电线长度≥2500mm，配备四层托盘，托盘尺寸≥550mm×400mm×30mm，高度可调。</w:t>
      </w:r>
    </w:p>
    <w:p w14:paraId="5517DCCF">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（12）气电箱配置抽屉，承载重量≥20Kg，带防撞保护角。</w:t>
      </w:r>
    </w:p>
    <w:p w14:paraId="47F53AC6">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4.配置清单：</w:t>
      </w:r>
    </w:p>
    <w:p w14:paraId="499204C2">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（1）箱体及底座        6个</w:t>
      </w:r>
    </w:p>
    <w:p w14:paraId="7DFAFEFD">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（2）仪器平台          6个</w:t>
      </w:r>
    </w:p>
    <w:p w14:paraId="67F0E44A">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（3）仪器平台及抽屉    6套</w:t>
      </w:r>
    </w:p>
    <w:p w14:paraId="50F821EA">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 xml:space="preserve">（4）输液架            6套 </w:t>
      </w:r>
    </w:p>
    <w:p w14:paraId="448C64E2">
      <w:pPr>
        <w:pStyle w:val="2"/>
        <w:keepNext w:val="0"/>
        <w:keepLines w:val="0"/>
        <w:pageBreakBefore w:val="0"/>
        <w:kinsoku/>
        <w:wordWrap/>
        <w:overflowPunct/>
        <w:topLinePunct w:val="0"/>
        <w:bidi w:val="0"/>
        <w:spacing w:line="360" w:lineRule="exact"/>
        <w:ind w:left="0" w:leftChars="0"/>
        <w:rPr>
          <w:rFonts w:hint="eastAsia"/>
          <w:lang w:val="en-US" w:eastAsia="zh-CN"/>
        </w:rPr>
      </w:pPr>
      <w:r>
        <w:rPr>
          <w:rFonts w:hint="eastAsia"/>
          <w:lang w:val="en-US" w:eastAsia="zh-CN"/>
        </w:rPr>
        <w:t>（5）气体终端快速插头  18个</w:t>
      </w:r>
    </w:p>
    <w:p w14:paraId="4CE3D978">
      <w:pPr>
        <w:pStyle w:val="2"/>
        <w:keepNext w:val="0"/>
        <w:keepLines w:val="0"/>
        <w:pageBreakBefore w:val="0"/>
        <w:kinsoku/>
        <w:wordWrap/>
        <w:overflowPunct/>
        <w:topLinePunct w:val="0"/>
        <w:bidi w:val="0"/>
        <w:spacing w:line="360" w:lineRule="exact"/>
        <w:ind w:left="0" w:leftChars="0"/>
        <w:rPr>
          <w:rFonts w:hint="default"/>
          <w:lang w:val="en-US" w:eastAsia="zh-CN"/>
        </w:rPr>
      </w:pPr>
      <w:r>
        <w:rPr>
          <w:rFonts w:hint="eastAsia"/>
          <w:lang w:val="en-US" w:eastAsia="zh-CN"/>
        </w:rPr>
        <w:t>5.设备样图要求（仅供参考）</w:t>
      </w:r>
    </w:p>
    <w:p w14:paraId="75525E54">
      <w:pPr>
        <w:pStyle w:val="13"/>
        <w:ind w:left="0" w:leftChars="0" w:firstLine="0" w:firstLineChars="0"/>
        <w:rPr>
          <w:rFonts w:hint="eastAsia"/>
          <w:lang w:val="en-US" w:eastAsia="zh-CN"/>
        </w:rPr>
      </w:pPr>
    </w:p>
    <w:p w14:paraId="3F0A7ECB">
      <w:pPr>
        <w:pStyle w:val="13"/>
        <w:rPr>
          <w:rFonts w:hint="default"/>
          <w:lang w:val="en-US" w:eastAsia="zh-CN"/>
        </w:rPr>
      </w:pPr>
      <w:r>
        <w:rPr>
          <w:rFonts w:hint="eastAsia" w:eastAsiaTheme="minorEastAsia"/>
          <w:lang w:eastAsia="zh-CN"/>
        </w:rPr>
        <w:drawing>
          <wp:inline distT="0" distB="0" distL="114300" distR="114300">
            <wp:extent cx="2917825" cy="3404870"/>
            <wp:effectExtent l="0" t="0" r="15875" b="5080"/>
            <wp:docPr id="1" name="图片 1" descr="微信图片_20260411173619_609_100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411173619_609_1002_副本"/>
                    <pic:cNvPicPr>
                      <a:picLocks noChangeAspect="1"/>
                    </pic:cNvPicPr>
                  </pic:nvPicPr>
                  <pic:blipFill>
                    <a:blip r:embed="rId4"/>
                    <a:stretch>
                      <a:fillRect/>
                    </a:stretch>
                  </pic:blipFill>
                  <pic:spPr>
                    <a:xfrm>
                      <a:off x="0" y="0"/>
                      <a:ext cx="2917825" cy="3404870"/>
                    </a:xfrm>
                    <a:prstGeom prst="rect">
                      <a:avLst/>
                    </a:prstGeom>
                  </pic:spPr>
                </pic:pic>
              </a:graphicData>
            </a:graphic>
          </wp:inline>
        </w:drawing>
      </w:r>
    </w:p>
    <w:p w14:paraId="031AB961">
      <w:pPr>
        <w:keepNext w:val="0"/>
        <w:keepLines w:val="0"/>
        <w:pageBreakBefore w:val="0"/>
        <w:widowControl/>
        <w:numPr>
          <w:ilvl w:val="0"/>
          <w:numId w:val="1"/>
        </w:numPr>
        <w:kinsoku/>
        <w:wordWrap/>
        <w:overflowPunct/>
        <w:topLinePunct w:val="0"/>
        <w:bidi w:val="0"/>
        <w:spacing w:line="360" w:lineRule="exact"/>
        <w:ind w:left="0" w:leftChars="0"/>
        <w:jc w:val="left"/>
        <w:rPr>
          <w:rFonts w:cs="宋体"/>
          <w:b/>
          <w:bCs/>
          <w:color w:val="000000"/>
          <w:kern w:val="0"/>
          <w:sz w:val="24"/>
          <w:szCs w:val="24"/>
        </w:rPr>
      </w:pPr>
      <w:r>
        <w:rPr>
          <w:rFonts w:hint="eastAsia" w:cs="宋体"/>
          <w:b/>
          <w:bCs/>
          <w:color w:val="000000"/>
          <w:kern w:val="0"/>
          <w:sz w:val="24"/>
          <w:szCs w:val="24"/>
          <w:lang w:val="en-US" w:eastAsia="zh-CN"/>
        </w:rPr>
        <w:t>项目产品</w:t>
      </w:r>
      <w:r>
        <w:rPr>
          <w:rFonts w:hint="eastAsia" w:cs="宋体"/>
          <w:b/>
          <w:bCs/>
          <w:color w:val="000000"/>
          <w:kern w:val="0"/>
          <w:sz w:val="24"/>
          <w:szCs w:val="24"/>
        </w:rPr>
        <w:t>基本要求</w:t>
      </w:r>
    </w:p>
    <w:p w14:paraId="7F9E0445">
      <w:pPr>
        <w:pStyle w:val="2"/>
        <w:keepNext w:val="0"/>
        <w:keepLines w:val="0"/>
        <w:pageBreakBefore w:val="0"/>
        <w:kinsoku/>
        <w:wordWrap/>
        <w:overflowPunct/>
        <w:topLinePunct w:val="0"/>
        <w:bidi w:val="0"/>
        <w:spacing w:line="360" w:lineRule="exact"/>
        <w:ind w:left="0" w:leftChars="0"/>
        <w:rPr>
          <w:color w:val="auto"/>
        </w:rPr>
      </w:pPr>
      <w:r>
        <w:rPr>
          <w:rFonts w:hint="eastAsia"/>
          <w:color w:val="auto"/>
        </w:rPr>
        <w:t>1、以上产品必须是具备合法资质的制造商生产的</w:t>
      </w:r>
      <w:r>
        <w:rPr>
          <w:rFonts w:hint="eastAsia"/>
          <w:b w:val="0"/>
          <w:bCs w:val="0"/>
          <w:color w:val="auto"/>
        </w:rPr>
        <w:t>全新正品，</w:t>
      </w:r>
      <w:r>
        <w:rPr>
          <w:rFonts w:hint="eastAsia"/>
          <w:color w:val="auto"/>
        </w:rPr>
        <w:t>并满足招标采购文件的要求，若产品在运输或安装过程中损坏或擦伤须无偿调换相同产品。</w:t>
      </w:r>
    </w:p>
    <w:p w14:paraId="724C088B">
      <w:pPr>
        <w:pStyle w:val="2"/>
        <w:keepNext w:val="0"/>
        <w:keepLines w:val="0"/>
        <w:pageBreakBefore w:val="0"/>
        <w:kinsoku/>
        <w:wordWrap/>
        <w:overflowPunct/>
        <w:topLinePunct w:val="0"/>
        <w:bidi w:val="0"/>
        <w:spacing w:line="360" w:lineRule="exact"/>
        <w:ind w:left="0" w:leftChars="0"/>
        <w:rPr>
          <w:color w:val="auto"/>
        </w:rPr>
      </w:pPr>
      <w:r>
        <w:rPr>
          <w:rFonts w:hint="eastAsia"/>
          <w:color w:val="auto"/>
        </w:rPr>
        <w:t>2、投标人所投产品参数应同等或优于以上各项参数要求，产品、辅材及生产工艺符合国家相关规范。</w:t>
      </w:r>
    </w:p>
    <w:p w14:paraId="62ED69AC">
      <w:pPr>
        <w:pStyle w:val="2"/>
        <w:keepNext w:val="0"/>
        <w:keepLines w:val="0"/>
        <w:pageBreakBefore w:val="0"/>
        <w:kinsoku/>
        <w:wordWrap/>
        <w:overflowPunct/>
        <w:topLinePunct w:val="0"/>
        <w:bidi w:val="0"/>
        <w:spacing w:line="360" w:lineRule="exact"/>
        <w:ind w:left="0" w:leftChars="0"/>
        <w:rPr>
          <w:color w:val="auto"/>
        </w:rPr>
      </w:pPr>
      <w:r>
        <w:rPr>
          <w:rFonts w:hint="eastAsia"/>
          <w:color w:val="auto"/>
        </w:rPr>
        <w:t>3、投标人应保证所提供的货物或其任何一部分均不会侵犯任何第三方的专利权、商标权等，如在使用过程中出现的一切经济和法律责任均由投标人负责。</w:t>
      </w:r>
    </w:p>
    <w:p w14:paraId="6C89FF25">
      <w:pPr>
        <w:pStyle w:val="2"/>
        <w:keepNext w:val="0"/>
        <w:keepLines w:val="0"/>
        <w:pageBreakBefore w:val="0"/>
        <w:kinsoku/>
        <w:wordWrap/>
        <w:overflowPunct/>
        <w:topLinePunct w:val="0"/>
        <w:bidi w:val="0"/>
        <w:spacing w:line="360" w:lineRule="exact"/>
        <w:ind w:left="0" w:leftChars="0"/>
        <w:rPr>
          <w:color w:val="auto"/>
        </w:rPr>
      </w:pPr>
      <w:r>
        <w:rPr>
          <w:rFonts w:hint="eastAsia"/>
          <w:color w:val="auto"/>
        </w:rPr>
        <w:t>4、投标总价必须包含货物及货物运抵指定交货地点的各种费用和安装调校、售后服务、税金、验收检验及其它所有费用的总和，如另有要求请在投标文件中注明。</w:t>
      </w:r>
    </w:p>
    <w:p w14:paraId="08DCA6C9">
      <w:pPr>
        <w:pStyle w:val="2"/>
        <w:keepNext w:val="0"/>
        <w:keepLines w:val="0"/>
        <w:pageBreakBefore w:val="0"/>
        <w:kinsoku/>
        <w:wordWrap/>
        <w:overflowPunct/>
        <w:topLinePunct w:val="0"/>
        <w:bidi w:val="0"/>
        <w:spacing w:line="360" w:lineRule="exact"/>
        <w:ind w:left="0" w:leftChars="0"/>
        <w:rPr>
          <w:rFonts w:hint="eastAsia"/>
          <w:color w:val="auto"/>
        </w:rPr>
      </w:pPr>
      <w:r>
        <w:rPr>
          <w:rFonts w:hint="eastAsia"/>
          <w:color w:val="auto"/>
          <w:lang w:val="en-US" w:eastAsia="zh-CN"/>
        </w:rPr>
        <w:t>5、投标人所投产品必须</w:t>
      </w:r>
      <w:r>
        <w:rPr>
          <w:rFonts w:hint="eastAsia"/>
          <w:color w:val="auto"/>
        </w:rPr>
        <w:t>提供产品“三包”服务；定期安排相关人员回访进行质量跟踪；保证提供临床应用和售后技术服务支持方式；</w:t>
      </w:r>
      <w:r>
        <w:rPr>
          <w:rFonts w:hint="eastAsia"/>
          <w:color w:val="auto"/>
          <w:highlight w:val="none"/>
        </w:rPr>
        <w:t>保修期后提供终身维修服务及配件供应</w:t>
      </w:r>
      <w:r>
        <w:rPr>
          <w:rFonts w:hint="eastAsia"/>
          <w:color w:val="auto"/>
        </w:rPr>
        <w:t>；其他售后服务按厂家承诺实行。</w:t>
      </w:r>
    </w:p>
    <w:p w14:paraId="60491C93">
      <w:pPr>
        <w:pStyle w:val="2"/>
        <w:keepNext w:val="0"/>
        <w:keepLines w:val="0"/>
        <w:pageBreakBefore w:val="0"/>
        <w:kinsoku/>
        <w:wordWrap/>
        <w:overflowPunct/>
        <w:topLinePunct w:val="0"/>
        <w:bidi w:val="0"/>
        <w:spacing w:line="360" w:lineRule="exact"/>
        <w:ind w:left="0" w:leftChars="0"/>
        <w:rPr>
          <w:rFonts w:hint="eastAsia" w:cs="宋体"/>
          <w:b/>
          <w:bCs/>
        </w:rPr>
      </w:pPr>
      <w:r>
        <w:rPr>
          <w:rFonts w:hint="eastAsia" w:cs="宋体"/>
          <w:b/>
          <w:bCs/>
        </w:rPr>
        <w:t>（四）商务要求</w:t>
      </w:r>
    </w:p>
    <w:p w14:paraId="636F4B1C">
      <w:pPr>
        <w:pStyle w:val="2"/>
        <w:keepNext w:val="0"/>
        <w:keepLines w:val="0"/>
        <w:pageBreakBefore w:val="0"/>
        <w:kinsoku/>
        <w:wordWrap/>
        <w:overflowPunct/>
        <w:topLinePunct w:val="0"/>
        <w:bidi w:val="0"/>
        <w:spacing w:line="360" w:lineRule="exact"/>
        <w:ind w:left="0" w:leftChars="0"/>
        <w:rPr>
          <w:rFonts w:hint="default" w:cs="宋体"/>
          <w:b/>
          <w:bCs/>
          <w:lang w:val="en-US" w:eastAsia="zh-CN"/>
        </w:rPr>
      </w:pPr>
      <w:r>
        <w:rPr>
          <w:rFonts w:hint="eastAsia" w:cs="宋体"/>
          <w:b/>
          <w:bCs/>
          <w:lang w:val="en-US" w:eastAsia="zh-CN"/>
        </w:rPr>
        <w:t>1.投标产品资格要求</w:t>
      </w:r>
      <w:bookmarkStart w:id="0" w:name="_GoBack"/>
      <w:bookmarkEnd w:id="0"/>
    </w:p>
    <w:p w14:paraId="6DB0CE68">
      <w:pPr>
        <w:pStyle w:val="2"/>
        <w:keepNext w:val="0"/>
        <w:keepLines w:val="0"/>
        <w:pageBreakBefore w:val="0"/>
        <w:kinsoku/>
        <w:wordWrap/>
        <w:overflowPunct/>
        <w:topLinePunct w:val="0"/>
        <w:bidi w:val="0"/>
        <w:spacing w:line="360" w:lineRule="exact"/>
        <w:ind w:left="0" w:leftChars="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1）本项目支持创新产品、节能优化产品、环境标识产品、中小企业发展、支持采用本国产品等政府采购政策。</w:t>
      </w:r>
    </w:p>
    <w:p w14:paraId="26F6C95F">
      <w:pPr>
        <w:pStyle w:val="2"/>
        <w:keepNext w:val="0"/>
        <w:keepLines w:val="0"/>
        <w:pageBreakBefore w:val="0"/>
        <w:kinsoku/>
        <w:wordWrap/>
        <w:overflowPunct/>
        <w:topLinePunct w:val="0"/>
        <w:bidi w:val="0"/>
        <w:spacing w:line="360" w:lineRule="exact"/>
        <w:ind w:left="0" w:leftChars="0"/>
        <w:rPr>
          <w:rFonts w:hint="eastAsia" w:eastAsia="宋体"/>
          <w:lang w:eastAsia="zh-CN"/>
        </w:rPr>
      </w:pPr>
      <w:r>
        <w:rPr>
          <w:rFonts w:hint="eastAsia"/>
          <w:b/>
          <w:bCs/>
          <w:lang w:val="en-US" w:eastAsia="zh-CN"/>
        </w:rPr>
        <w:t>2.</w:t>
      </w:r>
      <w:r>
        <w:rPr>
          <w:rFonts w:hint="eastAsia"/>
          <w:b/>
          <w:bCs/>
        </w:rPr>
        <w:t>售后服务</w:t>
      </w:r>
      <w:r>
        <w:rPr>
          <w:rFonts w:hint="eastAsia"/>
          <w:b/>
          <w:bCs/>
          <w:lang w:val="en-US" w:eastAsia="zh-CN"/>
        </w:rPr>
        <w:t>要求</w:t>
      </w:r>
    </w:p>
    <w:p w14:paraId="238029BF">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售后</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要求：厂家须设有24小时免费服务电话，成交供应商应提供</w:t>
      </w:r>
      <w:r>
        <w:rPr>
          <w:rFonts w:hint="eastAsia" w:ascii="宋体" w:hAnsi="宋体" w:eastAsia="宋体" w:cs="宋体"/>
          <w:color w:val="auto"/>
          <w:sz w:val="24"/>
          <w:szCs w:val="24"/>
          <w:highlight w:val="none"/>
          <w:lang w:val="en-US" w:eastAsia="zh-CN"/>
        </w:rPr>
        <w:t>针对本项目的</w:t>
      </w:r>
      <w:r>
        <w:rPr>
          <w:rFonts w:hint="eastAsia" w:ascii="宋体" w:hAnsi="宋体" w:eastAsia="宋体" w:cs="宋体"/>
          <w:color w:val="auto"/>
          <w:sz w:val="24"/>
          <w:szCs w:val="24"/>
          <w:highlight w:val="none"/>
        </w:rPr>
        <w:t>维保人员名单、联系电话等</w:t>
      </w:r>
      <w:r>
        <w:rPr>
          <w:rFonts w:hint="eastAsia" w:ascii="宋体" w:hAnsi="宋体" w:eastAsia="宋体" w:cs="宋体"/>
          <w:color w:val="auto"/>
          <w:sz w:val="24"/>
          <w:szCs w:val="24"/>
          <w:highlight w:val="none"/>
          <w:lang w:eastAsia="zh-CN"/>
        </w:rPr>
        <w:t>。</w:t>
      </w:r>
    </w:p>
    <w:p w14:paraId="62388DA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质保期：设备安装完毕通过验收投入使用之日起不少</w:t>
      </w:r>
      <w:r>
        <w:rPr>
          <w:rFonts w:hint="eastAsia" w:ascii="宋体" w:hAnsi="宋体" w:eastAsia="宋体" w:cs="宋体"/>
          <w:color w:val="FF0000"/>
          <w:sz w:val="24"/>
          <w:szCs w:val="24"/>
          <w:highlight w:val="none"/>
        </w:rPr>
        <w:t>于</w:t>
      </w:r>
      <w:r>
        <w:rPr>
          <w:rFonts w:hint="eastAsia" w:ascii="宋体" w:hAnsi="宋体" w:eastAsia="宋体" w:cs="宋体"/>
          <w:color w:val="FF0000"/>
          <w:sz w:val="24"/>
          <w:szCs w:val="24"/>
          <w:highlight w:val="none"/>
          <w:lang w:val="en-US" w:eastAsia="zh-CN"/>
        </w:rPr>
        <w:t xml:space="preserve">1 </w:t>
      </w:r>
      <w:r>
        <w:rPr>
          <w:rFonts w:hint="eastAsia" w:ascii="宋体" w:hAnsi="宋体" w:eastAsia="宋体" w:cs="宋体"/>
          <w:color w:val="FF0000"/>
          <w:sz w:val="24"/>
          <w:szCs w:val="24"/>
          <w:highlight w:val="none"/>
        </w:rPr>
        <w:t>年</w:t>
      </w:r>
      <w:r>
        <w:rPr>
          <w:rFonts w:hint="eastAsia" w:ascii="宋体" w:hAnsi="宋体" w:eastAsia="宋体" w:cs="宋体"/>
          <w:color w:val="auto"/>
          <w:sz w:val="24"/>
          <w:szCs w:val="24"/>
          <w:highlight w:val="none"/>
        </w:rPr>
        <w:t>。</w:t>
      </w:r>
    </w:p>
    <w:p w14:paraId="23C386C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故障处理：质保期内，在使用过程中发现质量问题或故障时，须接到通知后24小时内派工程师到达用户现场及提供常用备件，按国家及行业标准对故障进行及时处理或更换，</w:t>
      </w:r>
      <w:r>
        <w:rPr>
          <w:rFonts w:hint="eastAsia" w:ascii="宋体" w:hAnsi="宋体" w:eastAsia="宋体" w:cs="宋体"/>
          <w:color w:val="auto"/>
          <w:sz w:val="24"/>
          <w:szCs w:val="24"/>
          <w:highlight w:val="none"/>
          <w:lang w:val="en-US" w:eastAsia="zh-CN"/>
        </w:rPr>
        <w:t>更换</w:t>
      </w:r>
      <w:r>
        <w:rPr>
          <w:rFonts w:hint="eastAsia" w:ascii="宋体" w:hAnsi="宋体" w:eastAsia="宋体" w:cs="宋体"/>
          <w:color w:val="auto"/>
          <w:sz w:val="24"/>
          <w:szCs w:val="24"/>
          <w:highlight w:val="none"/>
        </w:rPr>
        <w:t>维修备件必须是原厂备件以保证采购单位的正常使用，所发生的一切费用由成交供应商负责。</w:t>
      </w:r>
    </w:p>
    <w:p w14:paraId="3DD97080">
      <w:pPr>
        <w:pStyle w:val="2"/>
        <w:keepNext w:val="0"/>
        <w:keepLines w:val="0"/>
        <w:pageBreakBefore w:val="0"/>
        <w:kinsoku/>
        <w:wordWrap/>
        <w:overflowPunct/>
        <w:topLinePunct w:val="0"/>
        <w:bidi w:val="0"/>
        <w:spacing w:line="360" w:lineRule="exact"/>
        <w:ind w:left="0" w:leftChars="0"/>
        <w:rPr>
          <w:rFonts w:hint="eastAsia" w:cs="宋体"/>
          <w:kern w:val="0"/>
          <w:sz w:val="24"/>
          <w:szCs w:val="24"/>
        </w:rPr>
      </w:pPr>
      <w:r>
        <w:rPr>
          <w:rFonts w:hint="eastAsia"/>
          <w:lang w:val="en-US" w:eastAsia="zh-CN"/>
        </w:rPr>
        <w:t>5）</w:t>
      </w:r>
      <w:r>
        <w:rPr>
          <w:rFonts w:hint="eastAsia" w:cs="宋体"/>
          <w:kern w:val="0"/>
          <w:sz w:val="24"/>
          <w:szCs w:val="24"/>
        </w:rPr>
        <w:t>签订合同后，</w:t>
      </w:r>
      <w:r>
        <w:rPr>
          <w:rFonts w:hint="eastAsia"/>
          <w:color w:val="FF0000"/>
          <w:kern w:val="0"/>
          <w:sz w:val="24"/>
          <w:szCs w:val="24"/>
          <w:u w:val="single"/>
          <w:lang w:val="en-US" w:eastAsia="zh-CN"/>
        </w:rPr>
        <w:t>30</w:t>
      </w:r>
      <w:r>
        <w:rPr>
          <w:rFonts w:hint="eastAsia" w:cs="宋体"/>
          <w:kern w:val="0"/>
          <w:sz w:val="24"/>
          <w:szCs w:val="24"/>
        </w:rPr>
        <w:t>天内仪器设备安装调试结束并交付使用。投标人予以特别注意：如出现未能到期供货的情况，采购人有权单方终止合同的执行，所有的经济损失由逾期供货商单方承担。</w:t>
      </w:r>
    </w:p>
    <w:p w14:paraId="4F80D858">
      <w:pPr>
        <w:pStyle w:val="2"/>
        <w:keepNext w:val="0"/>
        <w:keepLines w:val="0"/>
        <w:pageBreakBefore w:val="0"/>
        <w:kinsoku/>
        <w:wordWrap/>
        <w:overflowPunct/>
        <w:topLinePunct w:val="0"/>
        <w:bidi w:val="0"/>
        <w:spacing w:line="360" w:lineRule="exact"/>
        <w:ind w:left="0" w:leftChars="0"/>
        <w:rPr>
          <w:kern w:val="0"/>
          <w:sz w:val="24"/>
          <w:szCs w:val="24"/>
        </w:rPr>
      </w:pPr>
      <w:r>
        <w:rPr>
          <w:rFonts w:hint="eastAsia" w:cs="宋体"/>
          <w:kern w:val="0"/>
          <w:sz w:val="24"/>
          <w:szCs w:val="24"/>
          <w:lang w:val="en-US" w:eastAsia="zh-CN"/>
        </w:rPr>
        <w:t>6）</w:t>
      </w:r>
      <w:r>
        <w:rPr>
          <w:rFonts w:hint="eastAsia" w:cs="宋体"/>
          <w:kern w:val="0"/>
          <w:sz w:val="24"/>
          <w:szCs w:val="24"/>
        </w:rPr>
        <w:t>交货地点为：</w:t>
      </w:r>
      <w:r>
        <w:rPr>
          <w:rFonts w:hint="eastAsia" w:ascii="Times New Roman" w:hAnsi="Times New Roman" w:eastAsia="宋体" w:cs="宋体"/>
          <w:color w:val="FF0000"/>
          <w:kern w:val="0"/>
          <w:sz w:val="24"/>
          <w:szCs w:val="24"/>
          <w:lang w:val="en-US" w:eastAsia="zh-CN"/>
        </w:rPr>
        <w:t xml:space="preserve">贺州市八步区莲塘镇万安街22号广西壮族自治区桂东人民医院八步分院（八步区人民医院））     </w:t>
      </w:r>
    </w:p>
    <w:p w14:paraId="0FA158CE">
      <w:pPr>
        <w:pStyle w:val="2"/>
        <w:keepNext w:val="0"/>
        <w:keepLines w:val="0"/>
        <w:pageBreakBefore w:val="0"/>
        <w:kinsoku/>
        <w:wordWrap/>
        <w:overflowPunct/>
        <w:topLinePunct w:val="0"/>
        <w:bidi w:val="0"/>
        <w:spacing w:line="360" w:lineRule="exact"/>
        <w:ind w:left="0" w:leftChars="0"/>
        <w:rPr>
          <w:rFonts w:hint="eastAsia"/>
          <w:b/>
          <w:bCs/>
          <w:kern w:val="0"/>
          <w:sz w:val="24"/>
          <w:szCs w:val="24"/>
          <w:lang w:val="en-US" w:eastAsia="zh-CN"/>
        </w:rPr>
      </w:pPr>
      <w:r>
        <w:rPr>
          <w:rFonts w:hint="eastAsia"/>
          <w:b/>
          <w:bCs/>
          <w:kern w:val="0"/>
          <w:sz w:val="24"/>
          <w:szCs w:val="24"/>
          <w:lang w:val="en-US" w:eastAsia="zh-CN"/>
        </w:rPr>
        <w:t>3.</w:t>
      </w:r>
      <w:r>
        <w:rPr>
          <w:rFonts w:hint="eastAsia"/>
          <w:b w:val="0"/>
          <w:bCs w:val="0"/>
          <w:kern w:val="0"/>
          <w:sz w:val="24"/>
          <w:szCs w:val="24"/>
          <w:lang w:val="en-US" w:eastAsia="zh-CN"/>
        </w:rPr>
        <w:t>付款条件（进度和方式）</w:t>
      </w:r>
    </w:p>
    <w:p w14:paraId="25EA0DDA">
      <w:pPr>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jc w:val="left"/>
        <w:textAlignment w:val="auto"/>
        <w:rPr>
          <w:rFonts w:hint="eastAsia" w:cs="宋体"/>
          <w:kern w:val="0"/>
          <w:sz w:val="24"/>
          <w:szCs w:val="24"/>
        </w:rPr>
      </w:pPr>
      <w:r>
        <w:rPr>
          <w:rFonts w:hint="eastAsia" w:ascii="宋体" w:hAnsi="宋体" w:eastAsia="宋体" w:cs="宋体"/>
          <w:b w:val="0"/>
          <w:bCs w:val="0"/>
          <w:kern w:val="0"/>
          <w:sz w:val="24"/>
          <w:szCs w:val="24"/>
        </w:rPr>
        <w:t>全部货物送达指定地点、安装调试并验收合格后，双方签署验收合格表单，乙方开具全额发票给甲方，甲方收到发票后10个工作日内按总合同金额的90%对公转账到乙方账户。验收合格第 12个月后，甲方收到乙方的请款材料后10个工作日内，按总合同金额的10%对公转账到乙方账户（不计利息）。</w:t>
      </w:r>
    </w:p>
    <w:p w14:paraId="32DF01DC">
      <w:pPr>
        <w:keepNext w:val="0"/>
        <w:keepLines w:val="0"/>
        <w:pageBreakBefore w:val="0"/>
        <w:widowControl/>
        <w:kinsoku/>
        <w:wordWrap/>
        <w:overflowPunct/>
        <w:topLinePunct w:val="0"/>
        <w:bidi w:val="0"/>
        <w:spacing w:line="360" w:lineRule="exact"/>
        <w:ind w:left="0" w:leftChars="0" w:firstLine="480" w:firstLineChars="200"/>
        <w:jc w:val="left"/>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2D2DC8C3">
      <w:pPr>
        <w:keepNext w:val="0"/>
        <w:keepLines w:val="0"/>
        <w:pageBreakBefore w:val="0"/>
        <w:widowControl/>
        <w:kinsoku/>
        <w:wordWrap/>
        <w:overflowPunct/>
        <w:topLinePunct w:val="0"/>
        <w:bidi w:val="0"/>
        <w:spacing w:line="360" w:lineRule="exact"/>
        <w:ind w:left="0" w:leftChars="0" w:hanging="2"/>
        <w:jc w:val="left"/>
        <w:rPr>
          <w:rFonts w:cs="宋体"/>
          <w:b/>
          <w:bCs/>
          <w:kern w:val="0"/>
          <w:sz w:val="28"/>
          <w:szCs w:val="28"/>
        </w:rPr>
      </w:pPr>
      <w:r>
        <w:rPr>
          <w:b/>
          <w:bCs/>
          <w:kern w:val="0"/>
          <w:sz w:val="24"/>
          <w:szCs w:val="24"/>
        </w:rPr>
        <w:t> </w:t>
      </w:r>
      <w:r>
        <w:rPr>
          <w:rFonts w:hint="eastAsia"/>
          <w:b/>
          <w:bCs/>
          <w:kern w:val="0"/>
          <w:sz w:val="28"/>
          <w:szCs w:val="28"/>
          <w:lang w:val="en-US" w:eastAsia="zh-CN"/>
        </w:rPr>
        <w:t>二</w:t>
      </w:r>
      <w:r>
        <w:rPr>
          <w:rFonts w:hint="eastAsia" w:cs="宋体"/>
          <w:b/>
          <w:bCs/>
          <w:kern w:val="0"/>
          <w:sz w:val="28"/>
          <w:szCs w:val="28"/>
        </w:rPr>
        <w:t>、合同签订</w:t>
      </w:r>
    </w:p>
    <w:p w14:paraId="6BDC4D1C">
      <w:pPr>
        <w:keepNext w:val="0"/>
        <w:keepLines w:val="0"/>
        <w:pageBreakBefore w:val="0"/>
        <w:widowControl/>
        <w:kinsoku/>
        <w:wordWrap/>
        <w:overflowPunct/>
        <w:topLinePunct w:val="0"/>
        <w:bidi w:val="0"/>
        <w:spacing w:line="360" w:lineRule="exact"/>
        <w:ind w:left="0" w:leftChars="0" w:hanging="2"/>
        <w:jc w:val="left"/>
        <w:rPr>
          <w:rFonts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eastAsia="zh-CN"/>
            </w:rPr>
            <w:t>2</w:t>
          </w:r>
          <w:r>
            <w:rPr>
              <w:rFonts w:hint="eastAsia" w:cs="宋体"/>
              <w:color w:val="FF0000"/>
              <w:kern w:val="0"/>
              <w:sz w:val="24"/>
              <w:szCs w:val="24"/>
              <w:u w:val="single"/>
              <w:lang w:val="en-US" w:eastAsia="zh-CN"/>
            </w:rPr>
            <w:t>5</w:t>
          </w:r>
        </w:sdtContent>
      </w:sdt>
      <w:r>
        <w:rPr>
          <w:rFonts w:hint="eastAsia" w:cs="宋体"/>
          <w:kern w:val="0"/>
          <w:sz w:val="24"/>
          <w:szCs w:val="24"/>
          <w:lang w:val="en-US" w:eastAsia="zh-CN"/>
        </w:rPr>
        <w:t>日</w:t>
      </w:r>
      <w:r>
        <w:rPr>
          <w:rFonts w:hint="eastAsia" w:cs="宋体"/>
          <w:kern w:val="0"/>
          <w:sz w:val="24"/>
          <w:szCs w:val="24"/>
        </w:rPr>
        <w:t>内签订采购合同。</w:t>
      </w:r>
    </w:p>
    <w:p w14:paraId="13B45921">
      <w:pPr>
        <w:keepNext w:val="0"/>
        <w:keepLines w:val="0"/>
        <w:pageBreakBefore w:val="0"/>
        <w:widowControl/>
        <w:kinsoku/>
        <w:wordWrap/>
        <w:overflowPunct/>
        <w:topLinePunct w:val="0"/>
        <w:bidi w:val="0"/>
        <w:spacing w:line="360" w:lineRule="exact"/>
        <w:jc w:val="left"/>
        <w:rPr>
          <w:kern w:val="0"/>
          <w:sz w:val="24"/>
          <w:szCs w:val="24"/>
        </w:rPr>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E8B6C"/>
    <w:multiLevelType w:val="singleLevel"/>
    <w:tmpl w:val="350E8B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961E1A"/>
    <w:rsid w:val="00A2105C"/>
    <w:rsid w:val="00A44D5C"/>
    <w:rsid w:val="00A83F43"/>
    <w:rsid w:val="00AC0EA5"/>
    <w:rsid w:val="00B71F6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0A6538"/>
    <w:rsid w:val="010F7FF3"/>
    <w:rsid w:val="01124992"/>
    <w:rsid w:val="01A43ED9"/>
    <w:rsid w:val="01CB43E2"/>
    <w:rsid w:val="024B505A"/>
    <w:rsid w:val="02615DF0"/>
    <w:rsid w:val="02E96621"/>
    <w:rsid w:val="030516AD"/>
    <w:rsid w:val="032C4E8C"/>
    <w:rsid w:val="039670E6"/>
    <w:rsid w:val="03B56736"/>
    <w:rsid w:val="04784C0D"/>
    <w:rsid w:val="050C4E8A"/>
    <w:rsid w:val="057F7823"/>
    <w:rsid w:val="05D435B9"/>
    <w:rsid w:val="065D35AE"/>
    <w:rsid w:val="06CB64FF"/>
    <w:rsid w:val="07A377AC"/>
    <w:rsid w:val="07E61381"/>
    <w:rsid w:val="07F13FAE"/>
    <w:rsid w:val="091D2E4C"/>
    <w:rsid w:val="094E71DE"/>
    <w:rsid w:val="09D27E0F"/>
    <w:rsid w:val="0A795D65"/>
    <w:rsid w:val="0CC05EEA"/>
    <w:rsid w:val="0D1644B7"/>
    <w:rsid w:val="0D4C7ED9"/>
    <w:rsid w:val="0DAB0B9B"/>
    <w:rsid w:val="0E6B1369"/>
    <w:rsid w:val="0E8C22E1"/>
    <w:rsid w:val="0ECE5049"/>
    <w:rsid w:val="1017394C"/>
    <w:rsid w:val="10BE733F"/>
    <w:rsid w:val="10C97A40"/>
    <w:rsid w:val="10EC6F96"/>
    <w:rsid w:val="111563A0"/>
    <w:rsid w:val="11AC7198"/>
    <w:rsid w:val="122B15C9"/>
    <w:rsid w:val="12713099"/>
    <w:rsid w:val="12C97D37"/>
    <w:rsid w:val="144660B2"/>
    <w:rsid w:val="1461070D"/>
    <w:rsid w:val="14D73658"/>
    <w:rsid w:val="14E1184E"/>
    <w:rsid w:val="157601E9"/>
    <w:rsid w:val="15BD5E17"/>
    <w:rsid w:val="166F4544"/>
    <w:rsid w:val="17BF5E77"/>
    <w:rsid w:val="188C387F"/>
    <w:rsid w:val="18952734"/>
    <w:rsid w:val="190F698A"/>
    <w:rsid w:val="19215087"/>
    <w:rsid w:val="1B0B13D3"/>
    <w:rsid w:val="1B513EBB"/>
    <w:rsid w:val="1E03496A"/>
    <w:rsid w:val="1E622ABE"/>
    <w:rsid w:val="20A57BD4"/>
    <w:rsid w:val="216B500D"/>
    <w:rsid w:val="21723F5A"/>
    <w:rsid w:val="21B710F4"/>
    <w:rsid w:val="2218153E"/>
    <w:rsid w:val="22486A69"/>
    <w:rsid w:val="233174FD"/>
    <w:rsid w:val="23720241"/>
    <w:rsid w:val="23CD191B"/>
    <w:rsid w:val="25773183"/>
    <w:rsid w:val="258113DB"/>
    <w:rsid w:val="26431704"/>
    <w:rsid w:val="26CD4569"/>
    <w:rsid w:val="27D01D3D"/>
    <w:rsid w:val="27D34CA5"/>
    <w:rsid w:val="27F03E2A"/>
    <w:rsid w:val="28110468"/>
    <w:rsid w:val="293A4A87"/>
    <w:rsid w:val="2A166937"/>
    <w:rsid w:val="2A465E57"/>
    <w:rsid w:val="2B7975BA"/>
    <w:rsid w:val="2CD07D87"/>
    <w:rsid w:val="2E44559E"/>
    <w:rsid w:val="2F8D1F5F"/>
    <w:rsid w:val="306B6744"/>
    <w:rsid w:val="310B5831"/>
    <w:rsid w:val="311834AF"/>
    <w:rsid w:val="318469E5"/>
    <w:rsid w:val="3194337D"/>
    <w:rsid w:val="32306690"/>
    <w:rsid w:val="33B201E6"/>
    <w:rsid w:val="35D22DC1"/>
    <w:rsid w:val="364A2958"/>
    <w:rsid w:val="3737378F"/>
    <w:rsid w:val="3806606D"/>
    <w:rsid w:val="383A69FC"/>
    <w:rsid w:val="397701BE"/>
    <w:rsid w:val="39E206F7"/>
    <w:rsid w:val="3A5169AB"/>
    <w:rsid w:val="3B546CEC"/>
    <w:rsid w:val="3D9848F1"/>
    <w:rsid w:val="3EA21DFC"/>
    <w:rsid w:val="3F8769CB"/>
    <w:rsid w:val="40E952E6"/>
    <w:rsid w:val="41366ED0"/>
    <w:rsid w:val="417E755D"/>
    <w:rsid w:val="41BB52E8"/>
    <w:rsid w:val="43D30430"/>
    <w:rsid w:val="44163FBA"/>
    <w:rsid w:val="45D93CF8"/>
    <w:rsid w:val="473531B0"/>
    <w:rsid w:val="484D14FE"/>
    <w:rsid w:val="48BB2A88"/>
    <w:rsid w:val="48D85C25"/>
    <w:rsid w:val="49A95790"/>
    <w:rsid w:val="4A6022F2"/>
    <w:rsid w:val="4B86222C"/>
    <w:rsid w:val="4C1633E5"/>
    <w:rsid w:val="4C1C5576"/>
    <w:rsid w:val="4C3E6663"/>
    <w:rsid w:val="4CD9638C"/>
    <w:rsid w:val="4D442BFB"/>
    <w:rsid w:val="4D781BD4"/>
    <w:rsid w:val="4D7E6EBA"/>
    <w:rsid w:val="4DA009DA"/>
    <w:rsid w:val="4DA97E72"/>
    <w:rsid w:val="4DB9683E"/>
    <w:rsid w:val="4F3D41BA"/>
    <w:rsid w:val="4F8265E1"/>
    <w:rsid w:val="4FA76B82"/>
    <w:rsid w:val="50502E0F"/>
    <w:rsid w:val="5100038B"/>
    <w:rsid w:val="51794369"/>
    <w:rsid w:val="51B2246F"/>
    <w:rsid w:val="539906F6"/>
    <w:rsid w:val="53AE0572"/>
    <w:rsid w:val="54622056"/>
    <w:rsid w:val="55C0633B"/>
    <w:rsid w:val="55D712FC"/>
    <w:rsid w:val="562A237D"/>
    <w:rsid w:val="57783371"/>
    <w:rsid w:val="589150FF"/>
    <w:rsid w:val="591470C9"/>
    <w:rsid w:val="5BAA161F"/>
    <w:rsid w:val="5C797243"/>
    <w:rsid w:val="5C950521"/>
    <w:rsid w:val="5D1A4465"/>
    <w:rsid w:val="5DA14CA4"/>
    <w:rsid w:val="5DCD43FF"/>
    <w:rsid w:val="5E761C8C"/>
    <w:rsid w:val="5ECE3876"/>
    <w:rsid w:val="5F97010C"/>
    <w:rsid w:val="5FDD1CB7"/>
    <w:rsid w:val="5FFD63C3"/>
    <w:rsid w:val="616C3E03"/>
    <w:rsid w:val="62D226AB"/>
    <w:rsid w:val="62DE3608"/>
    <w:rsid w:val="635822A8"/>
    <w:rsid w:val="64CA4726"/>
    <w:rsid w:val="65706B30"/>
    <w:rsid w:val="66763171"/>
    <w:rsid w:val="66FB73F2"/>
    <w:rsid w:val="677A58C0"/>
    <w:rsid w:val="67EF0C5A"/>
    <w:rsid w:val="68012F0F"/>
    <w:rsid w:val="6A513DD5"/>
    <w:rsid w:val="6B120C03"/>
    <w:rsid w:val="6BF540D9"/>
    <w:rsid w:val="6CA20189"/>
    <w:rsid w:val="6CD52274"/>
    <w:rsid w:val="6D013069"/>
    <w:rsid w:val="6DD0797D"/>
    <w:rsid w:val="6E1A0EFE"/>
    <w:rsid w:val="70DE7BD3"/>
    <w:rsid w:val="71754026"/>
    <w:rsid w:val="725D6F93"/>
    <w:rsid w:val="73A11102"/>
    <w:rsid w:val="74B5471E"/>
    <w:rsid w:val="76C92E49"/>
    <w:rsid w:val="7782124A"/>
    <w:rsid w:val="77E41C8F"/>
    <w:rsid w:val="77FF632E"/>
    <w:rsid w:val="786D1C7B"/>
    <w:rsid w:val="799D236B"/>
    <w:rsid w:val="7A8F6158"/>
    <w:rsid w:val="7AFE24C7"/>
    <w:rsid w:val="7B036868"/>
    <w:rsid w:val="7B14665D"/>
    <w:rsid w:val="7CA915F3"/>
    <w:rsid w:val="7D0821F2"/>
    <w:rsid w:val="7D4634BC"/>
    <w:rsid w:val="7D843D95"/>
    <w:rsid w:val="7DD00C43"/>
    <w:rsid w:val="7E551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3">
    <w:name w:val="annotation text"/>
    <w:basedOn w:val="1"/>
    <w:link w:val="15"/>
    <w:qFormat/>
    <w:uiPriority w:val="99"/>
    <w:pPr>
      <w:jc w:val="left"/>
    </w:pPr>
  </w:style>
  <w:style w:type="paragraph" w:styleId="4">
    <w:name w:val="Plain Text"/>
    <w:basedOn w:val="1"/>
    <w:next w:val="1"/>
    <w:link w:val="17"/>
    <w:qFormat/>
    <w:uiPriority w:val="99"/>
    <w:rPr>
      <w:rFonts w:ascii="宋体" w:hAnsi="Courier New"/>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Cambria" w:hAnsi="Cambria"/>
      <w:b/>
      <w:sz w:val="32"/>
      <w:szCs w:val="20"/>
    </w:rPr>
  </w:style>
  <w:style w:type="paragraph" w:styleId="8">
    <w:name w:val="annotation subject"/>
    <w:basedOn w:val="3"/>
    <w:next w:val="3"/>
    <w:link w:val="16"/>
    <w:semiHidden/>
    <w:unhideWhenUsed/>
    <w:qFormat/>
    <w:uiPriority w:val="99"/>
    <w:rPr>
      <w:b/>
      <w:bCs/>
    </w:rPr>
  </w:style>
  <w:style w:type="table" w:styleId="10">
    <w:name w:val="Table Grid"/>
    <w:basedOn w:val="9"/>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semiHidden/>
    <w:qFormat/>
    <w:uiPriority w:val="99"/>
    <w:rPr>
      <w:sz w:val="21"/>
      <w:szCs w:val="21"/>
    </w:rPr>
  </w:style>
  <w:style w:type="paragraph" w:customStyle="1" w:styleId="1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4">
    <w:name w:val="批注文字 字符"/>
    <w:basedOn w:val="11"/>
    <w:qFormat/>
    <w:uiPriority w:val="99"/>
    <w:rPr>
      <w:rFonts w:ascii="Times New Roman" w:hAnsi="Times New Roman" w:eastAsia="宋体" w:cs="Times New Roman"/>
      <w:szCs w:val="21"/>
    </w:rPr>
  </w:style>
  <w:style w:type="character" w:customStyle="1" w:styleId="15">
    <w:name w:val="批注文字 字符1"/>
    <w:link w:val="3"/>
    <w:semiHidden/>
    <w:qFormat/>
    <w:uiPriority w:val="99"/>
    <w:rPr>
      <w:rFonts w:ascii="Times New Roman" w:hAnsi="Times New Roman" w:eastAsia="宋体" w:cs="Times New Roman"/>
      <w:szCs w:val="21"/>
    </w:rPr>
  </w:style>
  <w:style w:type="character" w:customStyle="1" w:styleId="16">
    <w:name w:val="批注主题 字符"/>
    <w:basedOn w:val="15"/>
    <w:link w:val="8"/>
    <w:semiHidden/>
    <w:qFormat/>
    <w:uiPriority w:val="99"/>
    <w:rPr>
      <w:rFonts w:ascii="Times New Roman" w:hAnsi="Times New Roman" w:eastAsia="宋体" w:cs="Times New Roman"/>
      <w:b/>
      <w:bCs/>
      <w:szCs w:val="21"/>
    </w:rPr>
  </w:style>
  <w:style w:type="character" w:customStyle="1" w:styleId="17">
    <w:name w:val="纯文本 字符"/>
    <w:basedOn w:val="11"/>
    <w:link w:val="4"/>
    <w:qFormat/>
    <w:uiPriority w:val="99"/>
    <w:rPr>
      <w:rFonts w:ascii="宋体" w:hAnsi="Courier New" w:eastAsia="宋体" w:cs="Times New Roman"/>
      <w:szCs w:val="21"/>
    </w:rPr>
  </w:style>
  <w:style w:type="paragraph" w:customStyle="1" w:styleId="18">
    <w:name w:val="表格文字"/>
    <w:basedOn w:val="1"/>
    <w:qFormat/>
    <w:uiPriority w:val="0"/>
    <w:pPr>
      <w:spacing w:before="25" w:after="25"/>
      <w:jc w:val="left"/>
    </w:pPr>
    <w:rPr>
      <w:rFonts w:ascii="Calibri" w:hAnsi="Calibri"/>
      <w:bCs/>
      <w:spacing w:val="10"/>
      <w:kern w:val="0"/>
      <w:sz w:val="24"/>
      <w:szCs w:val="20"/>
    </w:rPr>
  </w:style>
  <w:style w:type="character" w:customStyle="1" w:styleId="19">
    <w:name w:val="fontstyle01"/>
    <w:qFormat/>
    <w:uiPriority w:val="0"/>
    <w:rPr>
      <w:rFonts w:hint="eastAsia" w:ascii="宋体" w:hAnsi="宋体" w:eastAsia="宋体"/>
      <w:color w:val="000000"/>
      <w:sz w:val="24"/>
      <w:szCs w:val="24"/>
    </w:rPr>
  </w:style>
  <w:style w:type="character" w:customStyle="1" w:styleId="20">
    <w:name w:val="页眉 字符"/>
    <w:basedOn w:val="11"/>
    <w:link w:val="6"/>
    <w:qFormat/>
    <w:uiPriority w:val="99"/>
    <w:rPr>
      <w:rFonts w:ascii="Times New Roman" w:hAnsi="Times New Roman" w:eastAsia="宋体" w:cs="Times New Roman"/>
      <w:sz w:val="18"/>
      <w:szCs w:val="18"/>
    </w:rPr>
  </w:style>
  <w:style w:type="character" w:customStyle="1" w:styleId="21">
    <w:name w:val="页脚 字符"/>
    <w:basedOn w:val="11"/>
    <w:link w:val="5"/>
    <w:qFormat/>
    <w:uiPriority w:val="99"/>
    <w:rPr>
      <w:rFonts w:ascii="Times New Roman" w:hAnsi="Times New Roman" w:eastAsia="宋体" w:cs="Times New Roman"/>
      <w:sz w:val="18"/>
      <w:szCs w:val="18"/>
    </w:rPr>
  </w:style>
  <w:style w:type="character" w:styleId="22">
    <w:name w:val="Placeholder Text"/>
    <w:basedOn w:val="11"/>
    <w:semiHidden/>
    <w:qFormat/>
    <w:uiPriority w:val="99"/>
    <w:rPr>
      <w:color w:val="808080"/>
    </w:rPr>
  </w:style>
  <w:style w:type="paragraph" w:customStyle="1" w:styleId="23">
    <w:name w:val="样式1"/>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1D9254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1766</Words>
  <Characters>1847</Characters>
  <Lines>26</Lines>
  <Paragraphs>7</Paragraphs>
  <TotalTime>0</TotalTime>
  <ScaleCrop>false</ScaleCrop>
  <LinksUpToDate>false</LinksUpToDate>
  <CharactersWithSpaces>1900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2026-06-29T03:03:47Z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B1C8ADB6A08C49D88EF48001F8D355A1_13</vt:lpwstr>
  </property>
  <property fmtid="{D5CDD505-2E9C-101B-9397-08002B2CF9AE}" pid="4" name="KSOTemplateDocerSaveRecord">
    <vt:lpwstr>eyJoZGlkIjoiOTZkZDVmNzBiZGNiZTJiMTNjOTFhZTJiYjI4ZWQ4OTAiLCJ1c2VySWQiOiI0MzU5NDIxNTAifQ==</vt:lpwstr>
  </property>
</Properties>
</file>