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753C1">
      <w:pPr>
        <w:widowControl/>
        <w:jc w:val="both"/>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附件1：</w:t>
      </w:r>
      <w:r>
        <w:rPr>
          <w:rFonts w:hint="eastAsia" w:ascii="宋体" w:hAnsi="宋体" w:eastAsia="宋体" w:cs="宋体"/>
          <w:b w:val="0"/>
          <w:bCs w:val="0"/>
          <w:kern w:val="0"/>
          <w:sz w:val="24"/>
          <w:szCs w:val="24"/>
        </w:rPr>
        <w:t xml:space="preserve"> </w:t>
      </w:r>
      <w:r>
        <w:rPr>
          <w:rFonts w:hint="eastAsia" w:ascii="宋体" w:hAnsi="宋体" w:eastAsia="宋体" w:cs="宋体"/>
          <w:b w:val="0"/>
          <w:bCs w:val="0"/>
          <w:kern w:val="0"/>
          <w:sz w:val="24"/>
          <w:szCs w:val="24"/>
          <w:lang w:val="en-US" w:eastAsia="zh-CN"/>
        </w:rPr>
        <w:t xml:space="preserve"> </w:t>
      </w:r>
    </w:p>
    <w:p w14:paraId="78637204">
      <w:pPr>
        <w:spacing w:line="440" w:lineRule="exact"/>
        <w:ind w:firstLine="3975" w:firstLineChars="1100"/>
        <w:rPr>
          <w:rFonts w:hint="eastAsia" w:cs="宋体"/>
          <w:b/>
          <w:bCs/>
          <w:kern w:val="0"/>
          <w:sz w:val="36"/>
          <w:szCs w:val="36"/>
          <w:lang w:val="en-US" w:eastAsia="zh-CN"/>
        </w:rPr>
      </w:pPr>
      <w:r>
        <w:rPr>
          <w:rFonts w:hint="eastAsia" w:cs="宋体"/>
          <w:b/>
          <w:bCs/>
          <w:kern w:val="0"/>
          <w:sz w:val="36"/>
          <w:szCs w:val="36"/>
          <w:lang w:val="en-US" w:eastAsia="zh-CN"/>
        </w:rPr>
        <w:t>采购需求</w:t>
      </w:r>
    </w:p>
    <w:p w14:paraId="2DCC7405">
      <w:pPr>
        <w:pStyle w:val="2"/>
        <w:rPr>
          <w:rFonts w:hint="eastAsia"/>
          <w:lang w:val="en-US" w:eastAsia="zh-CN"/>
        </w:rPr>
      </w:pPr>
    </w:p>
    <w:p w14:paraId="24FADAE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说明</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所有技术规格参数要求均为实质性条款，必须满足或者优于，否则其投标文件无效</w:t>
      </w:r>
    </w:p>
    <w:p w14:paraId="353582B0">
      <w:pPr>
        <w:spacing w:line="360" w:lineRule="auto"/>
        <w:ind w:firstLine="484" w:firstLineChars="202"/>
        <w:jc w:val="left"/>
        <w:rPr>
          <w:rFonts w:hint="default"/>
          <w:lang w:val="en-US"/>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2.供应商必须自行为其竞标产品侵犯他人的知识产权或者专利成果的行为承担相应法律责任。</w:t>
      </w:r>
    </w:p>
    <w:p w14:paraId="11BBA451">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一、采购要求、技术规格参数</w:t>
      </w:r>
    </w:p>
    <w:p w14:paraId="73EA55EE">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（一）采购清单  </w:t>
      </w:r>
    </w:p>
    <w:tbl>
      <w:tblPr>
        <w:tblStyle w:val="9"/>
        <w:tblW w:w="9068"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212"/>
        <w:gridCol w:w="830"/>
        <w:gridCol w:w="1627"/>
        <w:gridCol w:w="4603"/>
      </w:tblGrid>
      <w:tr w14:paraId="0566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tcPr>
          <w:p w14:paraId="79F0CC7B">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212" w:type="dxa"/>
          </w:tcPr>
          <w:p w14:paraId="0CE425C8">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830" w:type="dxa"/>
          </w:tcPr>
          <w:p w14:paraId="5BDDBDE3">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1627" w:type="dxa"/>
          </w:tcPr>
          <w:p w14:paraId="25F152CC">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w:t>
            </w:r>
            <w:r>
              <w:rPr>
                <w:rFonts w:hint="eastAsia" w:ascii="宋体" w:hAnsi="宋体" w:cs="宋体"/>
                <w:color w:val="auto"/>
                <w:sz w:val="24"/>
                <w:szCs w:val="24"/>
                <w:highlight w:val="none"/>
                <w:lang w:val="en-US" w:eastAsia="zh-CN"/>
              </w:rPr>
              <w:t>（元）</w:t>
            </w:r>
          </w:p>
        </w:tc>
        <w:tc>
          <w:tcPr>
            <w:tcW w:w="4603" w:type="dxa"/>
          </w:tcPr>
          <w:p w14:paraId="5BF1303E">
            <w:pPr>
              <w:keepNext w:val="0"/>
              <w:keepLines w:val="0"/>
              <w:suppressLineNumbers w:val="0"/>
              <w:spacing w:before="0" w:beforeAutospacing="0" w:after="0" w:afterAutospacing="0" w:line="440" w:lineRule="exact"/>
              <w:ind w:left="0" w:right="0" w:firstLine="480" w:firstLineChars="20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04E8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tcPr>
          <w:p w14:paraId="0CA5AC56">
            <w:pPr>
              <w:keepNext w:val="0"/>
              <w:keepLines w:val="0"/>
              <w:suppressLineNumbers w:val="0"/>
              <w:spacing w:before="0" w:beforeAutospacing="0" w:after="0" w:afterAutospacing="0" w:line="440" w:lineRule="exact"/>
              <w:ind w:left="0" w:right="0" w:firstLine="240" w:firstLineChars="1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12" w:type="dxa"/>
          </w:tcPr>
          <w:p w14:paraId="32425AE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酶标仪</w:t>
            </w:r>
          </w:p>
        </w:tc>
        <w:tc>
          <w:tcPr>
            <w:tcW w:w="830" w:type="dxa"/>
          </w:tcPr>
          <w:p w14:paraId="2E5336D2">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1台</w:t>
            </w:r>
          </w:p>
        </w:tc>
        <w:tc>
          <w:tcPr>
            <w:tcW w:w="1627" w:type="dxa"/>
          </w:tcPr>
          <w:p w14:paraId="3CF13F07">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70000.00</w:t>
            </w:r>
          </w:p>
        </w:tc>
        <w:tc>
          <w:tcPr>
            <w:tcW w:w="4603" w:type="dxa"/>
          </w:tcPr>
          <w:p w14:paraId="5FB5AB9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详见技术参数、性能（配置）及其他要求</w:t>
            </w:r>
          </w:p>
        </w:tc>
      </w:tr>
    </w:tbl>
    <w:p w14:paraId="4BCF9E42">
      <w:pPr>
        <w:spacing w:line="44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w:t>
      </w:r>
      <w:r>
        <w:rPr>
          <w:rFonts w:hint="eastAsia" w:ascii="宋体" w:hAnsi="宋体" w:cs="宋体"/>
          <w:color w:val="auto"/>
          <w:sz w:val="24"/>
          <w:szCs w:val="24"/>
          <w:highlight w:val="none"/>
          <w:lang w:val="en-US" w:eastAsia="zh-CN"/>
        </w:rPr>
        <w:t>参数要求</w:t>
      </w:r>
    </w:p>
    <w:p w14:paraId="271E2E58">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功能</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lang w:val="en-US" w:eastAsia="zh-CN"/>
        </w:rPr>
        <w:t>：对ELISA试验结果数据进行读取和分析</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利用分光光度计的原理，读取酶免试验中反应物的吸光度值，进而进行定性或定量分析。  </w:t>
      </w:r>
    </w:p>
    <w:p w14:paraId="4F779FC5">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检测方法：支持终点法、单波长扫描、双波长扫描等多种检测方法，能够根据</w:t>
      </w:r>
      <w:bookmarkStart w:id="0" w:name="_GoBack"/>
      <w:bookmarkEnd w:id="0"/>
      <w:r>
        <w:rPr>
          <w:rFonts w:hint="eastAsia" w:ascii="宋体" w:hAnsi="宋体" w:eastAsia="宋体" w:cs="宋体"/>
          <w:color w:val="auto"/>
          <w:sz w:val="24"/>
          <w:szCs w:val="24"/>
          <w:highlight w:val="none"/>
          <w:lang w:val="en-US" w:eastAsia="zh-CN"/>
        </w:rPr>
        <w:t>不同实验需求灵活选择，确保检测结果准确可靠</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14:paraId="5AA9033B">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.扫描功能：高分辨率扫描，每孔≥29个点</w:t>
      </w:r>
      <w:r>
        <w:rPr>
          <w:rFonts w:hint="eastAsia" w:ascii="宋体" w:hAnsi="宋体" w:cs="宋体"/>
          <w:color w:val="auto"/>
          <w:sz w:val="24"/>
          <w:szCs w:val="24"/>
          <w:highlight w:val="none"/>
          <w:lang w:val="en-US" w:eastAsia="zh-CN"/>
        </w:rPr>
        <w:t>。</w:t>
      </w:r>
    </w:p>
    <w:p w14:paraId="1395FE15">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.检测光源：采用双LED冷光源</w:t>
      </w:r>
      <w:r>
        <w:rPr>
          <w:rFonts w:hint="eastAsia" w:ascii="宋体" w:hAnsi="宋体" w:cs="宋体"/>
          <w:color w:val="auto"/>
          <w:sz w:val="24"/>
          <w:szCs w:val="24"/>
          <w:highlight w:val="none"/>
          <w:lang w:val="en-US" w:eastAsia="zh-CN"/>
        </w:rPr>
        <w:t>。</w:t>
      </w:r>
    </w:p>
    <w:p w14:paraId="3599AC43">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微孔板类型：96 孔或 48 孔。</w:t>
      </w:r>
    </w:p>
    <w:p w14:paraId="0FB67ECD">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检测通道：≥8通道。</w:t>
      </w:r>
    </w:p>
    <w:p w14:paraId="6B9FA8E9">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准确性：在1.000 OD时，相对误差为＜±0.5%</w:t>
      </w:r>
      <w:r>
        <w:rPr>
          <w:rFonts w:hint="eastAsia" w:ascii="宋体" w:hAnsi="宋体" w:cs="宋体"/>
          <w:color w:val="auto"/>
          <w:sz w:val="24"/>
          <w:szCs w:val="24"/>
          <w:highlight w:val="none"/>
          <w:lang w:val="en-US" w:eastAsia="zh-CN"/>
        </w:rPr>
        <w:t>。</w:t>
      </w:r>
    </w:p>
    <w:p w14:paraId="073EDD6A">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 线性范围：在0.000-3.000 OD时，＜</w:t>
      </w:r>
      <w:r>
        <w:rPr>
          <w:rFonts w:hint="eastAsia" w:ascii="宋体" w:hAnsi="宋体" w:eastAsia="宋体" w:cs="宋体"/>
          <w:color w:val="auto"/>
          <w:sz w:val="24"/>
          <w:szCs w:val="24"/>
          <w:highlight w:val="none"/>
          <w:lang w:val="en-US" w:eastAsia="zh-CN"/>
        </w:rPr>
        <w:sym w:font="Symbol" w:char="F0B1"/>
      </w:r>
      <w:r>
        <w:rPr>
          <w:rFonts w:hint="eastAsia" w:ascii="宋体" w:hAnsi="宋体" w:eastAsia="宋体" w:cs="宋体"/>
          <w:color w:val="auto"/>
          <w:sz w:val="24"/>
          <w:szCs w:val="24"/>
          <w:highlight w:val="none"/>
          <w:lang w:val="en-US" w:eastAsia="zh-CN"/>
        </w:rPr>
        <w:t>0.5%</w:t>
      </w:r>
      <w:r>
        <w:rPr>
          <w:rFonts w:hint="eastAsia" w:ascii="宋体" w:hAnsi="宋体" w:cs="宋体"/>
          <w:color w:val="auto"/>
          <w:sz w:val="24"/>
          <w:szCs w:val="24"/>
          <w:highlight w:val="none"/>
          <w:lang w:val="en-US" w:eastAsia="zh-CN"/>
        </w:rPr>
        <w:t>。</w:t>
      </w:r>
    </w:p>
    <w:p w14:paraId="1C1A9A50">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 重复性：CV＜0.15%。</w:t>
      </w:r>
    </w:p>
    <w:p w14:paraId="58C5E82D">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.测量时间：单波长≤2s/96孔，双波长≤5s/96孔</w:t>
      </w:r>
      <w:r>
        <w:rPr>
          <w:rFonts w:hint="eastAsia" w:ascii="宋体" w:hAnsi="宋体" w:cs="宋体"/>
          <w:color w:val="auto"/>
          <w:sz w:val="24"/>
          <w:szCs w:val="24"/>
          <w:highlight w:val="none"/>
          <w:lang w:val="en-US" w:eastAsia="zh-CN"/>
        </w:rPr>
        <w:t>。</w:t>
      </w:r>
    </w:p>
    <w:p w14:paraId="4C715B73">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.波长范围：400nm-730nm</w:t>
      </w:r>
      <w:r>
        <w:rPr>
          <w:rFonts w:hint="eastAsia" w:ascii="宋体" w:hAnsi="宋体" w:cs="宋体"/>
          <w:color w:val="auto"/>
          <w:sz w:val="24"/>
          <w:szCs w:val="24"/>
          <w:highlight w:val="none"/>
          <w:lang w:val="en-US" w:eastAsia="zh-CN"/>
        </w:rPr>
        <w:t>。</w:t>
      </w:r>
    </w:p>
    <w:p w14:paraId="6652CF32">
      <w:pPr>
        <w:spacing w:line="44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.滤光片：≥8个，</w:t>
      </w:r>
      <w:r>
        <w:rPr>
          <w:rFonts w:hint="eastAsia" w:ascii="宋体" w:hAnsi="宋体" w:cs="宋体"/>
          <w:color w:val="000000" w:themeColor="text1"/>
          <w:sz w:val="24"/>
          <w:szCs w:val="24"/>
          <w:highlight w:val="none"/>
          <w:lang w:val="en-US" w:eastAsia="zh-CN"/>
          <w14:textFill>
            <w14:solidFill>
              <w14:schemeClr w14:val="tx1"/>
            </w14:solidFill>
          </w14:textFill>
        </w:rPr>
        <w:t>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标配</w:t>
      </w:r>
      <w:r>
        <w:rPr>
          <w:rFonts w:hint="eastAsia" w:ascii="宋体" w:hAnsi="宋体" w:cs="宋体"/>
          <w:color w:val="000000" w:themeColor="text1"/>
          <w:sz w:val="24"/>
          <w:szCs w:val="24"/>
          <w:highlight w:val="none"/>
          <w:lang w:val="en-US" w:eastAsia="zh-CN"/>
          <w14:textFill>
            <w14:solidFill>
              <w14:schemeClr w14:val="tx1"/>
            </w14:solidFill>
          </w14:textFill>
        </w:rPr>
        <w:t>有</w:t>
      </w:r>
      <w:r>
        <w:rPr>
          <w:rFonts w:hint="eastAsia" w:ascii="宋体" w:hAnsi="宋体" w:eastAsia="宋体" w:cs="宋体"/>
          <w:color w:val="000000" w:themeColor="text1"/>
          <w:sz w:val="24"/>
          <w:szCs w:val="24"/>
          <w:highlight w:val="none"/>
          <w:lang w:val="en-US" w:eastAsia="zh-CN"/>
          <w14:textFill>
            <w14:solidFill>
              <w14:schemeClr w14:val="tx1"/>
            </w14:solidFill>
          </w14:textFill>
        </w:rPr>
        <w:t>405nm、450nm、492nm、630nm</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7C17C516">
      <w:pPr>
        <w:spacing w:line="440" w:lineRule="exact"/>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13.端口配置：配置有RS232和USB。</w:t>
      </w:r>
    </w:p>
    <w:p w14:paraId="3226A87F">
      <w:pPr>
        <w:spacing w:line="44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14.震荡功能：震荡时间、震荡频率可调。</w:t>
      </w:r>
    </w:p>
    <w:p w14:paraId="6C3B0C9A">
      <w:pPr>
        <w:spacing w:line="44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15.配置要求</w:t>
      </w:r>
    </w:p>
    <w:p w14:paraId="3A3DF1AF">
      <w:pPr>
        <w:spacing w:line="44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15.1  酶标仪主机 1台</w:t>
      </w:r>
    </w:p>
    <w:p w14:paraId="646151D9">
      <w:pPr>
        <w:spacing w:line="44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15.2  酶标仪控制及分析管理系统软件  1套</w:t>
      </w:r>
    </w:p>
    <w:p w14:paraId="643C26CE">
      <w:pPr>
        <w:spacing w:line="44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15.3  软件配套电脑    1套</w:t>
      </w:r>
    </w:p>
    <w:p w14:paraId="333124A0">
      <w:pPr>
        <w:spacing w:line="44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二、商务要求</w:t>
      </w:r>
    </w:p>
    <w:p w14:paraId="5B19E221">
      <w:pPr>
        <w:spacing w:line="44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1.产品要求：</w:t>
      </w:r>
    </w:p>
    <w:p w14:paraId="7F9E0445">
      <w:pPr>
        <w:spacing w:line="44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1）以上产品必须是具备合法资质的</w:t>
      </w:r>
      <w:r>
        <w:rPr>
          <w:rFonts w:hint="eastAsia" w:ascii="宋体" w:hAnsi="宋体" w:cs="宋体"/>
          <w:color w:val="000000" w:themeColor="text1"/>
          <w:sz w:val="24"/>
          <w:szCs w:val="24"/>
          <w:highlight w:val="none"/>
          <w:lang w:val="en-US" w:eastAsia="zh-CN"/>
          <w14:textFill>
            <w14:solidFill>
              <w14:schemeClr w14:val="tx1"/>
            </w14:solidFill>
          </w14:textFill>
        </w:rPr>
        <w:t>制造商生产全新正品，生产日期在近半年生产，</w:t>
      </w:r>
      <w:r>
        <w:rPr>
          <w:rFonts w:hint="eastAsia" w:ascii="宋体" w:hAnsi="宋体" w:cs="宋体"/>
          <w:color w:val="auto"/>
          <w:sz w:val="24"/>
          <w:szCs w:val="24"/>
          <w:highlight w:val="none"/>
          <w:lang w:val="en-US" w:eastAsia="zh-CN"/>
        </w:rPr>
        <w:t>并满足招标采购文件的要求，若产品在运输或安装过程中损坏或擦伤须无偿调换相同产品。</w:t>
      </w:r>
    </w:p>
    <w:p w14:paraId="544401A4">
      <w:pPr>
        <w:spacing w:line="44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2）投标人在竞价文件中必须提交设备配置清单，如设备有配套耗材及定期更换的配件请投标时与设备一起报价。</w:t>
      </w:r>
    </w:p>
    <w:p w14:paraId="08DCA6C9">
      <w:pPr>
        <w:spacing w:line="44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3）投标人所投产品必须提供产品“三包”服务；定期安排相关人员回访进行质量跟踪；保证提供临床应用和售后技术服务支持方式；保修期后提供终身维修服务及配件供应；其他售后服务按厂家承诺实行。</w:t>
      </w:r>
    </w:p>
    <w:p w14:paraId="39AB065D">
      <w:pPr>
        <w:spacing w:line="44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竞标产品具有有效的《中华人民共和国医疗器械注册证》（供应商所投产品属医疗器械管理范畴，且竞标产品属第二、三类医疗器械产品的，竞标文件中须按《医疗器械注册管理办法》（国家食品药品监督管理总局令第4号）提供该设备有效的医疗器械注册证复印件）（竞标产品属第二、三类医疗器械产品的必须提供，否则按无效投标处理）</w:t>
      </w:r>
    </w:p>
    <w:p w14:paraId="6DFC1E89">
      <w:pPr>
        <w:spacing w:line="440" w:lineRule="exact"/>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2.投标人需承诺在设备使用内免费无条件开放其所提供的所有系统各功能数据接口，以确保可供其他信息系统的接入或调用，如由于采购人业务需要该设备与采购人信息系统连接，投标人需承诺承担接口费用。</w:t>
      </w:r>
    </w:p>
    <w:p w14:paraId="26FCE8E6">
      <w:pPr>
        <w:spacing w:line="440" w:lineRule="exact"/>
        <w:ind w:firstLine="480" w:firstLineChars="200"/>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3.中标供应商需免费提供使用年限期间设备的校准和维保服务，并承担校准和维保服务所需的相关耗材及相关费用。</w:t>
      </w:r>
    </w:p>
    <w:p w14:paraId="26F6C95F">
      <w:pPr>
        <w:spacing w:line="44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4.售后服务要求</w:t>
      </w:r>
    </w:p>
    <w:p w14:paraId="7C70180F">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1）售后资质要求：厂家须设有24小时免费服务电话，</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lang w:val="en-US" w:eastAsia="zh-CN"/>
        </w:rPr>
        <w:t>需</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针对本项目的</w:t>
      </w:r>
      <w:r>
        <w:rPr>
          <w:rFonts w:hint="eastAsia" w:ascii="宋体" w:hAnsi="宋体" w:eastAsia="宋体" w:cs="宋体"/>
          <w:color w:val="auto"/>
          <w:sz w:val="24"/>
          <w:szCs w:val="24"/>
          <w:highlight w:val="none"/>
        </w:rPr>
        <w:t>维保人员名单、联系电话等</w:t>
      </w:r>
      <w:r>
        <w:rPr>
          <w:rFonts w:hint="eastAsia" w:ascii="宋体" w:hAnsi="宋体" w:eastAsia="宋体" w:cs="宋体"/>
          <w:color w:val="auto"/>
          <w:sz w:val="24"/>
          <w:szCs w:val="24"/>
          <w:highlight w:val="none"/>
          <w:lang w:eastAsia="zh-CN"/>
        </w:rPr>
        <w:t>。</w:t>
      </w:r>
    </w:p>
    <w:p w14:paraId="3309615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）质保期：设备安装完毕通过验收投入使用之日起不少于3年。</w:t>
      </w:r>
    </w:p>
    <w:p w14:paraId="36E10A0B">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故障处理：质保期内，在使用过程中发现质量问题或故障时，须接到通知后24小时内派工程师到达用户现场及提供常用备件，按国家及行业标准对故障进行及时处理或更换，以保证采购单位的正常使用，所发生的一切费用由</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负责。</w:t>
      </w:r>
    </w:p>
    <w:p w14:paraId="3DD97080">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签订合同后，30天内仪器设备安装调试结束并交付使用。投标人予以特别注意：如出现未能到期供货的情况，采购人有权单方终止合同的执行，所有的经济损失由逾期供货商单方承担。</w:t>
      </w:r>
    </w:p>
    <w:p w14:paraId="4F80D858">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交货地点为：广西壮族自治区桂东人民医院</w:t>
      </w:r>
      <w:r>
        <w:rPr>
          <w:rFonts w:hint="eastAsia" w:ascii="宋体" w:hAnsi="宋体" w:cs="宋体"/>
          <w:color w:val="auto"/>
          <w:sz w:val="24"/>
          <w:szCs w:val="24"/>
          <w:highlight w:val="none"/>
          <w:lang w:val="en-US" w:eastAsia="zh-CN"/>
        </w:rPr>
        <w:t>指定地点</w:t>
      </w:r>
      <w:r>
        <w:rPr>
          <w:rFonts w:hint="eastAsia" w:ascii="宋体" w:hAnsi="宋体" w:eastAsia="宋体" w:cs="宋体"/>
          <w:color w:val="auto"/>
          <w:sz w:val="24"/>
          <w:szCs w:val="24"/>
          <w:highlight w:val="none"/>
          <w:lang w:val="en-US" w:eastAsia="zh-CN"/>
        </w:rPr>
        <w:t xml:space="preserve">     </w:t>
      </w:r>
    </w:p>
    <w:p w14:paraId="0FA158CE">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付款进度和方式：</w:t>
      </w:r>
    </w:p>
    <w:p w14:paraId="02E0CEDD">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签订合同后，全部货物到达指定地点、安装调试并验收合格后，凭双方签署验收合格书，</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开具全额发票给采购人，采购人收到发票后10个工作日内</w:t>
      </w:r>
      <w:r>
        <w:rPr>
          <w:rFonts w:hint="eastAsia" w:ascii="宋体" w:hAnsi="宋体" w:cs="宋体"/>
          <w:color w:val="auto"/>
          <w:sz w:val="24"/>
          <w:szCs w:val="24"/>
          <w:highlight w:val="none"/>
          <w:lang w:val="en-US" w:eastAsia="zh-CN"/>
        </w:rPr>
        <w:t>支付</w:t>
      </w:r>
      <w:r>
        <w:rPr>
          <w:rFonts w:hint="eastAsia" w:ascii="宋体" w:hAnsi="宋体" w:eastAsia="宋体" w:cs="宋体"/>
          <w:color w:val="auto"/>
          <w:sz w:val="24"/>
          <w:szCs w:val="24"/>
          <w:highlight w:val="none"/>
          <w:lang w:val="en-US" w:eastAsia="zh-CN"/>
        </w:rPr>
        <w:t>总合同金额的90%</w:t>
      </w:r>
      <w:r>
        <w:rPr>
          <w:rFonts w:hint="eastAsia" w:ascii="宋体" w:hAnsi="宋体" w:cs="宋体"/>
          <w:color w:val="auto"/>
          <w:sz w:val="24"/>
          <w:szCs w:val="24"/>
          <w:highlight w:val="none"/>
          <w:lang w:val="en-US" w:eastAsia="zh-CN"/>
        </w:rPr>
        <w:t>给中标人</w:t>
      </w:r>
      <w:r>
        <w:rPr>
          <w:rFonts w:hint="eastAsia" w:ascii="宋体" w:hAnsi="宋体" w:eastAsia="宋体" w:cs="宋体"/>
          <w:color w:val="auto"/>
          <w:sz w:val="24"/>
          <w:szCs w:val="24"/>
          <w:highlight w:val="none"/>
          <w:lang w:val="en-US" w:eastAsia="zh-CN"/>
        </w:rPr>
        <w:t>；验收合格第 12个月后，采购人收到的</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请款材料后10个工作日内，</w:t>
      </w:r>
      <w:r>
        <w:rPr>
          <w:rFonts w:hint="eastAsia" w:ascii="宋体" w:hAnsi="宋体" w:cs="宋体"/>
          <w:color w:val="auto"/>
          <w:sz w:val="24"/>
          <w:szCs w:val="24"/>
          <w:highlight w:val="none"/>
          <w:lang w:val="en-US" w:eastAsia="zh-CN"/>
        </w:rPr>
        <w:t>支付</w:t>
      </w:r>
      <w:r>
        <w:rPr>
          <w:rFonts w:hint="eastAsia" w:ascii="宋体" w:hAnsi="宋体" w:eastAsia="宋体" w:cs="宋体"/>
          <w:color w:val="auto"/>
          <w:sz w:val="24"/>
          <w:szCs w:val="24"/>
          <w:highlight w:val="none"/>
          <w:lang w:val="en-US" w:eastAsia="zh-CN"/>
        </w:rPr>
        <w:t>总合同金额的10%</w:t>
      </w:r>
      <w:r>
        <w:rPr>
          <w:rFonts w:hint="eastAsia" w:ascii="宋体" w:hAnsi="宋体" w:cs="宋体"/>
          <w:color w:val="auto"/>
          <w:sz w:val="24"/>
          <w:szCs w:val="24"/>
          <w:highlight w:val="none"/>
          <w:lang w:val="en-US" w:eastAsia="zh-CN"/>
        </w:rPr>
        <w:t>给中标人</w:t>
      </w:r>
      <w:r>
        <w:rPr>
          <w:rFonts w:hint="eastAsia" w:ascii="宋体" w:hAnsi="宋体" w:eastAsia="宋体" w:cs="宋体"/>
          <w:color w:val="auto"/>
          <w:sz w:val="24"/>
          <w:szCs w:val="24"/>
          <w:highlight w:val="none"/>
          <w:lang w:val="en-US" w:eastAsia="zh-CN"/>
        </w:rPr>
        <w:t>账户（不计利息）。</w:t>
      </w:r>
    </w:p>
    <w:p w14:paraId="13B45921">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如验收不合格以及发现伪劣产品等，招标人将视情形采取退货、拒付款、终止合同、索赔等措施，直至通过有关部门，依法维权。</w:t>
      </w:r>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204183"/>
    <w:rsid w:val="00241CD6"/>
    <w:rsid w:val="002C7944"/>
    <w:rsid w:val="003C3AB5"/>
    <w:rsid w:val="003E7DC1"/>
    <w:rsid w:val="00474079"/>
    <w:rsid w:val="004C7EB2"/>
    <w:rsid w:val="004D08F5"/>
    <w:rsid w:val="004D2825"/>
    <w:rsid w:val="004F5A76"/>
    <w:rsid w:val="005007DD"/>
    <w:rsid w:val="005D491D"/>
    <w:rsid w:val="00654BC6"/>
    <w:rsid w:val="00684BD7"/>
    <w:rsid w:val="006E5543"/>
    <w:rsid w:val="00707A97"/>
    <w:rsid w:val="007814EA"/>
    <w:rsid w:val="007A5910"/>
    <w:rsid w:val="007F6F70"/>
    <w:rsid w:val="00813BDB"/>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DC4B54"/>
    <w:rsid w:val="00E14108"/>
    <w:rsid w:val="00E72BBE"/>
    <w:rsid w:val="00EB1C9B"/>
    <w:rsid w:val="00ED5546"/>
    <w:rsid w:val="01124992"/>
    <w:rsid w:val="01CB43E2"/>
    <w:rsid w:val="02615DF0"/>
    <w:rsid w:val="03195159"/>
    <w:rsid w:val="03726617"/>
    <w:rsid w:val="03B56736"/>
    <w:rsid w:val="05257DE5"/>
    <w:rsid w:val="081E0B1B"/>
    <w:rsid w:val="09EF4DDA"/>
    <w:rsid w:val="0A795D65"/>
    <w:rsid w:val="0B481FE1"/>
    <w:rsid w:val="0BA8707A"/>
    <w:rsid w:val="0C460641"/>
    <w:rsid w:val="0CBC1DD3"/>
    <w:rsid w:val="0CC05EEA"/>
    <w:rsid w:val="0E903B36"/>
    <w:rsid w:val="0F810AB2"/>
    <w:rsid w:val="0F851480"/>
    <w:rsid w:val="0F8E47D8"/>
    <w:rsid w:val="0FC95811"/>
    <w:rsid w:val="10667503"/>
    <w:rsid w:val="10C97A40"/>
    <w:rsid w:val="115455AE"/>
    <w:rsid w:val="115B06EA"/>
    <w:rsid w:val="11DF775E"/>
    <w:rsid w:val="122B15C9"/>
    <w:rsid w:val="12C97D37"/>
    <w:rsid w:val="138A175B"/>
    <w:rsid w:val="14972381"/>
    <w:rsid w:val="14FE41AE"/>
    <w:rsid w:val="156D1C59"/>
    <w:rsid w:val="15793835"/>
    <w:rsid w:val="161D0664"/>
    <w:rsid w:val="165D4F05"/>
    <w:rsid w:val="166F4544"/>
    <w:rsid w:val="18044527"/>
    <w:rsid w:val="1B835326"/>
    <w:rsid w:val="1D666444"/>
    <w:rsid w:val="202D5948"/>
    <w:rsid w:val="21B710F4"/>
    <w:rsid w:val="2218153E"/>
    <w:rsid w:val="222122BA"/>
    <w:rsid w:val="23D902C0"/>
    <w:rsid w:val="25137D2B"/>
    <w:rsid w:val="25773183"/>
    <w:rsid w:val="25873D4C"/>
    <w:rsid w:val="26431704"/>
    <w:rsid w:val="26CD4569"/>
    <w:rsid w:val="27D01D3D"/>
    <w:rsid w:val="28110468"/>
    <w:rsid w:val="293A4A87"/>
    <w:rsid w:val="2AB949A8"/>
    <w:rsid w:val="2B5533BC"/>
    <w:rsid w:val="2B860FF0"/>
    <w:rsid w:val="2BDC315C"/>
    <w:rsid w:val="2C9A6113"/>
    <w:rsid w:val="2CF63C91"/>
    <w:rsid w:val="2D012E36"/>
    <w:rsid w:val="2E44559E"/>
    <w:rsid w:val="2E7C0A53"/>
    <w:rsid w:val="2F2B399A"/>
    <w:rsid w:val="2F407AED"/>
    <w:rsid w:val="2F4A5096"/>
    <w:rsid w:val="2FB7522E"/>
    <w:rsid w:val="30B93FA5"/>
    <w:rsid w:val="311834AF"/>
    <w:rsid w:val="318469E5"/>
    <w:rsid w:val="318577D8"/>
    <w:rsid w:val="3194337D"/>
    <w:rsid w:val="33CC574C"/>
    <w:rsid w:val="33D44600"/>
    <w:rsid w:val="342E1F62"/>
    <w:rsid w:val="34C957E7"/>
    <w:rsid w:val="35002B1A"/>
    <w:rsid w:val="35026F4B"/>
    <w:rsid w:val="367B6FB5"/>
    <w:rsid w:val="3737378F"/>
    <w:rsid w:val="37403D5B"/>
    <w:rsid w:val="3806606D"/>
    <w:rsid w:val="397701BE"/>
    <w:rsid w:val="39D23390"/>
    <w:rsid w:val="3A6B10EF"/>
    <w:rsid w:val="3B546CEC"/>
    <w:rsid w:val="3BCC2061"/>
    <w:rsid w:val="3CE05DC4"/>
    <w:rsid w:val="3E210442"/>
    <w:rsid w:val="3EE75F67"/>
    <w:rsid w:val="3F8769CB"/>
    <w:rsid w:val="3FD61700"/>
    <w:rsid w:val="40384169"/>
    <w:rsid w:val="40827192"/>
    <w:rsid w:val="408C6948"/>
    <w:rsid w:val="40F55BB6"/>
    <w:rsid w:val="41366ED0"/>
    <w:rsid w:val="41596145"/>
    <w:rsid w:val="41AF2CF9"/>
    <w:rsid w:val="42C5602A"/>
    <w:rsid w:val="45727A37"/>
    <w:rsid w:val="4843177B"/>
    <w:rsid w:val="48D85C25"/>
    <w:rsid w:val="4B4152F6"/>
    <w:rsid w:val="4C1C5576"/>
    <w:rsid w:val="4C2C1CD9"/>
    <w:rsid w:val="4D442BFB"/>
    <w:rsid w:val="4D781BD4"/>
    <w:rsid w:val="4D9258D3"/>
    <w:rsid w:val="4DA009DA"/>
    <w:rsid w:val="4DA97E72"/>
    <w:rsid w:val="4DB9683E"/>
    <w:rsid w:val="4DBF37D4"/>
    <w:rsid w:val="4E31559C"/>
    <w:rsid w:val="4FB410CF"/>
    <w:rsid w:val="4FB76E58"/>
    <w:rsid w:val="50502E0F"/>
    <w:rsid w:val="51794369"/>
    <w:rsid w:val="51B2246F"/>
    <w:rsid w:val="534D53DE"/>
    <w:rsid w:val="539906F6"/>
    <w:rsid w:val="54DF36DF"/>
    <w:rsid w:val="55D32512"/>
    <w:rsid w:val="57FA57DB"/>
    <w:rsid w:val="585D4315"/>
    <w:rsid w:val="589150FF"/>
    <w:rsid w:val="5A2E7D17"/>
    <w:rsid w:val="5AFD7032"/>
    <w:rsid w:val="5CF76AE6"/>
    <w:rsid w:val="5D1A4465"/>
    <w:rsid w:val="5EE83548"/>
    <w:rsid w:val="5FFD63C3"/>
    <w:rsid w:val="65706B30"/>
    <w:rsid w:val="67D54704"/>
    <w:rsid w:val="67EF0C5A"/>
    <w:rsid w:val="681D5437"/>
    <w:rsid w:val="69CE0BCF"/>
    <w:rsid w:val="69FD14B4"/>
    <w:rsid w:val="6A513DD5"/>
    <w:rsid w:val="6AD8563F"/>
    <w:rsid w:val="6B26541A"/>
    <w:rsid w:val="6BF540D9"/>
    <w:rsid w:val="6DD0797D"/>
    <w:rsid w:val="6E1A0EFE"/>
    <w:rsid w:val="6E3A4A84"/>
    <w:rsid w:val="70D72A5F"/>
    <w:rsid w:val="714B3F05"/>
    <w:rsid w:val="71754026"/>
    <w:rsid w:val="71AF2B23"/>
    <w:rsid w:val="74B5471E"/>
    <w:rsid w:val="76A827A7"/>
    <w:rsid w:val="76E557A9"/>
    <w:rsid w:val="77E41C8F"/>
    <w:rsid w:val="77FF632E"/>
    <w:rsid w:val="786521EA"/>
    <w:rsid w:val="7A727416"/>
    <w:rsid w:val="7B036868"/>
    <w:rsid w:val="7B7F7F7B"/>
    <w:rsid w:val="7BA40029"/>
    <w:rsid w:val="7CA915F3"/>
    <w:rsid w:val="7ECB1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annotation text"/>
    <w:basedOn w:val="1"/>
    <w:link w:val="14"/>
    <w:qFormat/>
    <w:uiPriority w:val="99"/>
    <w:pPr>
      <w:jc w:val="left"/>
    </w:pPr>
  </w:style>
  <w:style w:type="paragraph" w:styleId="4">
    <w:name w:val="Plain Text"/>
    <w:basedOn w:val="1"/>
    <w:link w:val="16"/>
    <w:qFormat/>
    <w:uiPriority w:val="99"/>
    <w:rPr>
      <w:rFonts w:ascii="宋体" w:hAnsi="Courier New"/>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semiHidden/>
    <w:unhideWhenUsed/>
    <w:qFormat/>
    <w:uiPriority w:val="99"/>
    <w:rPr>
      <w:b/>
      <w:bCs/>
    </w:rPr>
  </w:style>
  <w:style w:type="table" w:styleId="9">
    <w:name w:val="Table Grid"/>
    <w:basedOn w:val="8"/>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semiHidden/>
    <w:qFormat/>
    <w:uiPriority w:val="99"/>
    <w:rPr>
      <w:sz w:val="21"/>
      <w:szCs w:val="21"/>
    </w:rPr>
  </w:style>
  <w:style w:type="paragraph" w:customStyle="1" w:styleId="1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3">
    <w:name w:val="批注文字 字符"/>
    <w:basedOn w:val="10"/>
    <w:qFormat/>
    <w:uiPriority w:val="99"/>
    <w:rPr>
      <w:rFonts w:ascii="Times New Roman" w:hAnsi="Times New Roman" w:eastAsia="宋体" w:cs="Times New Roman"/>
      <w:szCs w:val="21"/>
    </w:rPr>
  </w:style>
  <w:style w:type="character" w:customStyle="1" w:styleId="14">
    <w:name w:val="批注文字 字符1"/>
    <w:link w:val="3"/>
    <w:semiHidden/>
    <w:qFormat/>
    <w:uiPriority w:val="99"/>
    <w:rPr>
      <w:rFonts w:ascii="Times New Roman" w:hAnsi="Times New Roman" w:eastAsia="宋体" w:cs="Times New Roman"/>
      <w:szCs w:val="21"/>
    </w:rPr>
  </w:style>
  <w:style w:type="character" w:customStyle="1" w:styleId="15">
    <w:name w:val="批注主题 字符"/>
    <w:basedOn w:val="14"/>
    <w:link w:val="7"/>
    <w:semiHidden/>
    <w:qFormat/>
    <w:uiPriority w:val="99"/>
    <w:rPr>
      <w:rFonts w:ascii="Times New Roman" w:hAnsi="Times New Roman" w:eastAsia="宋体" w:cs="Times New Roman"/>
      <w:b/>
      <w:bCs/>
      <w:szCs w:val="21"/>
    </w:rPr>
  </w:style>
  <w:style w:type="character" w:customStyle="1" w:styleId="16">
    <w:name w:val="纯文本 字符"/>
    <w:basedOn w:val="10"/>
    <w:link w:val="4"/>
    <w:qFormat/>
    <w:uiPriority w:val="99"/>
    <w:rPr>
      <w:rFonts w:ascii="宋体" w:hAnsi="Courier New" w:eastAsia="宋体" w:cs="Times New Roman"/>
      <w:szCs w:val="21"/>
    </w:rPr>
  </w:style>
  <w:style w:type="paragraph" w:customStyle="1" w:styleId="17">
    <w:name w:val="表格文字"/>
    <w:basedOn w:val="1"/>
    <w:qFormat/>
    <w:uiPriority w:val="0"/>
    <w:pPr>
      <w:spacing w:before="25" w:after="25"/>
      <w:jc w:val="left"/>
    </w:pPr>
    <w:rPr>
      <w:rFonts w:ascii="Calibri" w:hAnsi="Calibri"/>
      <w:bCs/>
      <w:spacing w:val="10"/>
      <w:kern w:val="0"/>
      <w:sz w:val="24"/>
      <w:szCs w:val="20"/>
    </w:rPr>
  </w:style>
  <w:style w:type="character" w:customStyle="1" w:styleId="18">
    <w:name w:val="fontstyle01"/>
    <w:qFormat/>
    <w:uiPriority w:val="0"/>
    <w:rPr>
      <w:rFonts w:hint="eastAsia" w:ascii="宋体" w:hAnsi="宋体" w:eastAsia="宋体"/>
      <w:color w:val="000000"/>
      <w:sz w:val="24"/>
      <w:szCs w:val="24"/>
    </w:rPr>
  </w:style>
  <w:style w:type="character" w:customStyle="1" w:styleId="19">
    <w:name w:val="页眉 字符"/>
    <w:basedOn w:val="10"/>
    <w:link w:val="6"/>
    <w:qFormat/>
    <w:uiPriority w:val="99"/>
    <w:rPr>
      <w:rFonts w:ascii="Times New Roman" w:hAnsi="Times New Roman" w:eastAsia="宋体" w:cs="Times New Roman"/>
      <w:sz w:val="18"/>
      <w:szCs w:val="18"/>
    </w:rPr>
  </w:style>
  <w:style w:type="character" w:customStyle="1" w:styleId="20">
    <w:name w:val="页脚 字符"/>
    <w:basedOn w:val="10"/>
    <w:link w:val="5"/>
    <w:qFormat/>
    <w:uiPriority w:val="99"/>
    <w:rPr>
      <w:rFonts w:ascii="Times New Roman" w:hAnsi="Times New Roman" w:eastAsia="宋体" w:cs="Times New Roman"/>
      <w:sz w:val="18"/>
      <w:szCs w:val="18"/>
    </w:rPr>
  </w:style>
  <w:style w:type="character" w:styleId="21">
    <w:name w:val="Placeholder Text"/>
    <w:basedOn w:val="10"/>
    <w:semiHidden/>
    <w:qFormat/>
    <w:uiPriority w:val="99"/>
    <w:rPr>
      <w:color w:val="808080"/>
    </w:rPr>
  </w:style>
  <w:style w:type="paragraph" w:customStyle="1" w:styleId="22">
    <w:name w:val="样式1"/>
    <w:basedOn w:val="1"/>
    <w:qFormat/>
    <w:uiPriority w:val="0"/>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1520</Words>
  <Characters>1646</Characters>
  <Lines>26</Lines>
  <Paragraphs>7</Paragraphs>
  <TotalTime>1</TotalTime>
  <ScaleCrop>false</ScaleCrop>
  <LinksUpToDate>false</LinksUpToDate>
  <CharactersWithSpaces>1686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老阳</cp:lastModifiedBy>
  <cp:lastPrinted>2021-01-18T07:59:00Z</cp:lastPrinted>
  <dcterms:modified xsi:type="dcterms:W3CDTF">2026-07-14T00:59:06Z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0D36FA22708B491FB4BCB3321C13253E_13</vt:lpwstr>
  </property>
  <property fmtid="{D5CDD505-2E9C-101B-9397-08002B2CF9AE}" pid="4" name="KSOTemplateDocerSaveRecord">
    <vt:lpwstr>eyJoZGlkIjoiOTZkZDVmNzBiZGNiZTJiMTNjOTFhZTJiYjI4ZWQ4OTAiLCJ1c2VySWQiOiI0MzU5NDIxNTAifQ==</vt:lpwstr>
  </property>
</Properties>
</file>