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15ECE">
      <w:pPr>
        <w:spacing w:line="440" w:lineRule="exact"/>
        <w:ind w:firstLine="480" w:firstLineChars="200"/>
        <w:rPr>
          <w:rFonts w:hint="eastAsia" w:ascii="宋体" w:hAnsi="宋体" w:cs="宋体"/>
          <w:color w:val="000000" w:themeColor="text1"/>
          <w:sz w:val="24"/>
          <w:szCs w:val="24"/>
          <w:highlight w:val="none"/>
          <w:lang w:val="en-US" w:eastAsia="zh-CN"/>
          <w14:textFill>
            <w14:solidFill>
              <w14:schemeClr w14:val="tx1"/>
            </w14:solidFill>
          </w14:textFill>
        </w:rPr>
      </w:pPr>
    </w:p>
    <w:p w14:paraId="24FADAEC">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说明</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所有技术规格参数要求均为实质性条款，必须满足或者优于，否则其投标文件无效</w:t>
      </w:r>
    </w:p>
    <w:p w14:paraId="353582B0">
      <w:pPr>
        <w:spacing w:line="360" w:lineRule="auto"/>
        <w:ind w:firstLine="484" w:firstLineChars="202"/>
        <w:jc w:val="left"/>
        <w:rPr>
          <w:rFonts w:hint="default"/>
          <w:color w:val="000000" w:themeColor="text1"/>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2.供应商必须自行为其竞标产品侵犯他人的知识产权或者专利成果的行为承担相应法律责任。</w:t>
      </w:r>
    </w:p>
    <w:p w14:paraId="11BBA451">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一、采购要求、技术规格参数</w:t>
      </w:r>
    </w:p>
    <w:p w14:paraId="5471FAA4">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1.采购清单：</w:t>
      </w:r>
    </w:p>
    <w:tbl>
      <w:tblPr>
        <w:tblStyle w:val="12"/>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1453"/>
        <w:gridCol w:w="750"/>
        <w:gridCol w:w="1212"/>
        <w:gridCol w:w="1477"/>
        <w:gridCol w:w="3678"/>
      </w:tblGrid>
      <w:tr w14:paraId="0094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13" w:type="dxa"/>
            <w:vAlign w:val="center"/>
          </w:tcPr>
          <w:p w14:paraId="089FFC5B">
            <w:pPr>
              <w:pStyle w:val="15"/>
              <w:jc w:val="center"/>
              <w:rPr>
                <w:rFonts w:hint="default"/>
                <w:b w:val="0"/>
                <w:bCs w:val="0"/>
                <w:color w:val="000000" w:themeColor="text1"/>
                <w:vertAlign w:val="baseline"/>
                <w:lang w:val="en-US" w:eastAsia="zh-CN"/>
                <w14:textFill>
                  <w14:solidFill>
                    <w14:schemeClr w14:val="tx1"/>
                  </w14:solidFill>
                </w14:textFill>
              </w:rPr>
            </w:pPr>
            <w:r>
              <w:rPr>
                <w:rFonts w:hint="eastAsia"/>
                <w:b w:val="0"/>
                <w:bCs w:val="0"/>
                <w:color w:val="000000" w:themeColor="text1"/>
                <w:vertAlign w:val="baseline"/>
                <w:lang w:val="en-US" w:eastAsia="zh-CN"/>
                <w14:textFill>
                  <w14:solidFill>
                    <w14:schemeClr w14:val="tx1"/>
                  </w14:solidFill>
                </w14:textFill>
              </w:rPr>
              <w:t>序号</w:t>
            </w:r>
          </w:p>
        </w:tc>
        <w:tc>
          <w:tcPr>
            <w:tcW w:w="1453" w:type="dxa"/>
            <w:vAlign w:val="center"/>
          </w:tcPr>
          <w:p w14:paraId="245BE749">
            <w:pPr>
              <w:pStyle w:val="15"/>
              <w:jc w:val="center"/>
              <w:rPr>
                <w:rFonts w:hint="default"/>
                <w:b w:val="0"/>
                <w:bCs w:val="0"/>
                <w:color w:val="000000" w:themeColor="text1"/>
                <w:vertAlign w:val="baseline"/>
                <w:lang w:val="en-US" w:eastAsia="zh-CN"/>
                <w14:textFill>
                  <w14:solidFill>
                    <w14:schemeClr w14:val="tx1"/>
                  </w14:solidFill>
                </w14:textFill>
              </w:rPr>
            </w:pPr>
            <w:r>
              <w:rPr>
                <w:rFonts w:hint="eastAsia"/>
                <w:b w:val="0"/>
                <w:bCs w:val="0"/>
                <w:color w:val="000000" w:themeColor="text1"/>
                <w:vertAlign w:val="baseline"/>
                <w:lang w:val="en-US" w:eastAsia="zh-CN"/>
                <w14:textFill>
                  <w14:solidFill>
                    <w14:schemeClr w14:val="tx1"/>
                  </w14:solidFill>
                </w14:textFill>
              </w:rPr>
              <w:t>项目名称</w:t>
            </w:r>
          </w:p>
        </w:tc>
        <w:tc>
          <w:tcPr>
            <w:tcW w:w="750" w:type="dxa"/>
            <w:vAlign w:val="center"/>
          </w:tcPr>
          <w:p w14:paraId="31E2D391">
            <w:pPr>
              <w:pStyle w:val="15"/>
              <w:jc w:val="center"/>
              <w:rPr>
                <w:rFonts w:hint="default"/>
                <w:b w:val="0"/>
                <w:bCs w:val="0"/>
                <w:color w:val="000000" w:themeColor="text1"/>
                <w:vertAlign w:val="baseline"/>
                <w:lang w:val="en-US" w:eastAsia="zh-CN"/>
                <w14:textFill>
                  <w14:solidFill>
                    <w14:schemeClr w14:val="tx1"/>
                  </w14:solidFill>
                </w14:textFill>
              </w:rPr>
            </w:pPr>
            <w:r>
              <w:rPr>
                <w:rFonts w:hint="eastAsia"/>
                <w:b w:val="0"/>
                <w:bCs w:val="0"/>
                <w:color w:val="000000" w:themeColor="text1"/>
                <w:vertAlign w:val="baseline"/>
                <w:lang w:val="en-US" w:eastAsia="zh-CN"/>
                <w14:textFill>
                  <w14:solidFill>
                    <w14:schemeClr w14:val="tx1"/>
                  </w14:solidFill>
                </w14:textFill>
              </w:rPr>
              <w:t>数量</w:t>
            </w:r>
          </w:p>
        </w:tc>
        <w:tc>
          <w:tcPr>
            <w:tcW w:w="1212" w:type="dxa"/>
            <w:vAlign w:val="center"/>
          </w:tcPr>
          <w:p w14:paraId="36B6DF1B">
            <w:pPr>
              <w:pStyle w:val="15"/>
              <w:jc w:val="center"/>
              <w:rPr>
                <w:rFonts w:hint="default"/>
                <w:b w:val="0"/>
                <w:bCs w:val="0"/>
                <w:color w:val="000000" w:themeColor="text1"/>
                <w:vertAlign w:val="baseline"/>
                <w:lang w:val="en-US" w:eastAsia="zh-CN"/>
                <w14:textFill>
                  <w14:solidFill>
                    <w14:schemeClr w14:val="tx1"/>
                  </w14:solidFill>
                </w14:textFill>
              </w:rPr>
            </w:pPr>
            <w:r>
              <w:rPr>
                <w:rFonts w:hint="eastAsia"/>
                <w:b w:val="0"/>
                <w:bCs w:val="0"/>
                <w:color w:val="000000" w:themeColor="text1"/>
                <w:vertAlign w:val="baseline"/>
                <w:lang w:val="en-US" w:eastAsia="zh-CN"/>
                <w14:textFill>
                  <w14:solidFill>
                    <w14:schemeClr w14:val="tx1"/>
                  </w14:solidFill>
                </w14:textFill>
              </w:rPr>
              <w:t>上控单价</w:t>
            </w:r>
          </w:p>
        </w:tc>
        <w:tc>
          <w:tcPr>
            <w:tcW w:w="1477" w:type="dxa"/>
            <w:vAlign w:val="center"/>
          </w:tcPr>
          <w:p w14:paraId="2525BA70">
            <w:pPr>
              <w:pStyle w:val="15"/>
              <w:jc w:val="center"/>
              <w:rPr>
                <w:rFonts w:hint="default"/>
                <w:b w:val="0"/>
                <w:bCs w:val="0"/>
                <w:color w:val="000000" w:themeColor="text1"/>
                <w:vertAlign w:val="baseline"/>
                <w:lang w:val="en-US" w:eastAsia="zh-CN"/>
                <w14:textFill>
                  <w14:solidFill>
                    <w14:schemeClr w14:val="tx1"/>
                  </w14:solidFill>
                </w14:textFill>
              </w:rPr>
            </w:pPr>
            <w:r>
              <w:rPr>
                <w:rFonts w:hint="eastAsia"/>
                <w:b w:val="0"/>
                <w:bCs w:val="0"/>
                <w:color w:val="000000" w:themeColor="text1"/>
                <w:vertAlign w:val="baseline"/>
                <w:lang w:val="en-US" w:eastAsia="zh-CN"/>
                <w14:textFill>
                  <w14:solidFill>
                    <w14:schemeClr w14:val="tx1"/>
                  </w14:solidFill>
                </w14:textFill>
              </w:rPr>
              <w:t>上控价总计</w:t>
            </w:r>
          </w:p>
        </w:tc>
        <w:tc>
          <w:tcPr>
            <w:tcW w:w="3678" w:type="dxa"/>
            <w:vAlign w:val="center"/>
          </w:tcPr>
          <w:p w14:paraId="7B1FC48E">
            <w:pPr>
              <w:pStyle w:val="15"/>
              <w:jc w:val="center"/>
              <w:rPr>
                <w:rFonts w:hint="default"/>
                <w:b w:val="0"/>
                <w:bCs w:val="0"/>
                <w:color w:val="000000" w:themeColor="text1"/>
                <w:vertAlign w:val="baseline"/>
                <w:lang w:val="en-US" w:eastAsia="zh-CN"/>
                <w14:textFill>
                  <w14:solidFill>
                    <w14:schemeClr w14:val="tx1"/>
                  </w14:solidFill>
                </w14:textFill>
              </w:rPr>
            </w:pPr>
            <w:r>
              <w:rPr>
                <w:rFonts w:hint="eastAsia"/>
                <w:b w:val="0"/>
                <w:bCs w:val="0"/>
                <w:color w:val="000000" w:themeColor="text1"/>
                <w:vertAlign w:val="baseline"/>
                <w:lang w:val="en-US" w:eastAsia="zh-CN"/>
                <w14:textFill>
                  <w14:solidFill>
                    <w14:schemeClr w14:val="tx1"/>
                  </w14:solidFill>
                </w14:textFill>
              </w:rPr>
              <w:t>备  注</w:t>
            </w:r>
          </w:p>
        </w:tc>
      </w:tr>
      <w:tr w14:paraId="2645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dxa"/>
            <w:vAlign w:val="center"/>
          </w:tcPr>
          <w:p w14:paraId="7662CC46">
            <w:pPr>
              <w:pStyle w:val="15"/>
              <w:jc w:val="center"/>
              <w:rPr>
                <w:rFonts w:hint="default" w:cs="宋体"/>
                <w:b w:val="0"/>
                <w:bCs w:val="0"/>
                <w:color w:val="000000" w:themeColor="text1"/>
                <w:sz w:val="24"/>
                <w:szCs w:val="24"/>
                <w:lang w:val="en-US" w:eastAsia="zh-CN"/>
                <w14:textFill>
                  <w14:solidFill>
                    <w14:schemeClr w14:val="tx1"/>
                  </w14:solidFill>
                </w14:textFill>
              </w:rPr>
            </w:pPr>
            <w:r>
              <w:rPr>
                <w:rFonts w:hint="eastAsia" w:cs="宋体"/>
                <w:b w:val="0"/>
                <w:bCs w:val="0"/>
                <w:color w:val="000000" w:themeColor="text1"/>
                <w:sz w:val="24"/>
                <w:szCs w:val="24"/>
                <w:lang w:val="en-US" w:eastAsia="zh-CN"/>
                <w14:textFill>
                  <w14:solidFill>
                    <w14:schemeClr w14:val="tx1"/>
                  </w14:solidFill>
                </w14:textFill>
              </w:rPr>
              <w:t>1</w:t>
            </w:r>
          </w:p>
        </w:tc>
        <w:tc>
          <w:tcPr>
            <w:tcW w:w="1453" w:type="dxa"/>
            <w:vAlign w:val="center"/>
          </w:tcPr>
          <w:p w14:paraId="57AB65AA">
            <w:pPr>
              <w:pStyle w:val="15"/>
              <w:jc w:val="center"/>
              <w:rPr>
                <w:rFonts w:hint="eastAsia" w:cs="宋体"/>
                <w:b w:val="0"/>
                <w:bCs w:val="0"/>
                <w:color w:val="000000" w:themeColor="text1"/>
                <w:sz w:val="24"/>
                <w:szCs w:val="24"/>
                <w:lang w:val="en-US" w:eastAsia="zh-CN"/>
                <w14:textFill>
                  <w14:solidFill>
                    <w14:schemeClr w14:val="tx1"/>
                  </w14:solidFill>
                </w14:textFill>
              </w:rPr>
            </w:pPr>
            <w:r>
              <w:rPr>
                <w:rFonts w:hint="eastAsia" w:ascii="宋体" w:hAnsi="宋体" w:cs="宋体"/>
                <w:b w:val="0"/>
                <w:bCs w:val="0"/>
                <w:color w:val="000000" w:themeColor="text1"/>
                <w:sz w:val="24"/>
                <w:szCs w:val="24"/>
                <w:lang w:eastAsia="zh-CN"/>
                <w14:textFill>
                  <w14:solidFill>
                    <w14:schemeClr w14:val="tx1"/>
                  </w14:solidFill>
                </w14:textFill>
              </w:rPr>
              <w:t>排队叫号机</w:t>
            </w:r>
          </w:p>
        </w:tc>
        <w:tc>
          <w:tcPr>
            <w:tcW w:w="750" w:type="dxa"/>
            <w:vAlign w:val="center"/>
          </w:tcPr>
          <w:p w14:paraId="426FB6F4">
            <w:pPr>
              <w:pStyle w:val="15"/>
              <w:jc w:val="center"/>
              <w:rPr>
                <w:rFonts w:hint="default" w:cs="宋体"/>
                <w:b w:val="0"/>
                <w:bCs w:val="0"/>
                <w:color w:val="000000" w:themeColor="text1"/>
                <w:sz w:val="24"/>
                <w:szCs w:val="24"/>
                <w:lang w:val="en-US" w:eastAsia="zh-CN"/>
                <w14:textFill>
                  <w14:solidFill>
                    <w14:schemeClr w14:val="tx1"/>
                  </w14:solidFill>
                </w14:textFill>
              </w:rPr>
            </w:pPr>
            <w:r>
              <w:rPr>
                <w:rFonts w:hint="eastAsia" w:cs="宋体"/>
                <w:b w:val="0"/>
                <w:bCs w:val="0"/>
                <w:color w:val="000000" w:themeColor="text1"/>
                <w:sz w:val="24"/>
                <w:szCs w:val="24"/>
                <w:lang w:val="en-US" w:eastAsia="zh-CN"/>
                <w14:textFill>
                  <w14:solidFill>
                    <w14:schemeClr w14:val="tx1"/>
                  </w14:solidFill>
                </w14:textFill>
              </w:rPr>
              <w:t>2套</w:t>
            </w:r>
          </w:p>
        </w:tc>
        <w:tc>
          <w:tcPr>
            <w:tcW w:w="1212" w:type="dxa"/>
            <w:vAlign w:val="center"/>
          </w:tcPr>
          <w:p w14:paraId="6C56474F">
            <w:pPr>
              <w:pStyle w:val="15"/>
              <w:jc w:val="center"/>
              <w:rPr>
                <w:rFonts w:hint="default" w:cs="宋体"/>
                <w:b w:val="0"/>
                <w:bCs w:val="0"/>
                <w:color w:val="000000" w:themeColor="text1"/>
                <w:sz w:val="24"/>
                <w:szCs w:val="24"/>
                <w:lang w:val="en-US" w:eastAsia="zh-CN"/>
                <w14:textFill>
                  <w14:solidFill>
                    <w14:schemeClr w14:val="tx1"/>
                  </w14:solidFill>
                </w14:textFill>
              </w:rPr>
            </w:pPr>
            <w:r>
              <w:rPr>
                <w:rFonts w:hint="eastAsia" w:cs="宋体"/>
                <w:b w:val="0"/>
                <w:bCs w:val="0"/>
                <w:color w:val="000000" w:themeColor="text1"/>
                <w:sz w:val="24"/>
                <w:szCs w:val="24"/>
                <w:lang w:val="en-US" w:eastAsia="zh-CN"/>
                <w14:textFill>
                  <w14:solidFill>
                    <w14:schemeClr w14:val="tx1"/>
                  </w14:solidFill>
                </w14:textFill>
              </w:rPr>
              <w:t>1.2万元</w:t>
            </w:r>
          </w:p>
        </w:tc>
        <w:tc>
          <w:tcPr>
            <w:tcW w:w="1477" w:type="dxa"/>
            <w:vAlign w:val="center"/>
          </w:tcPr>
          <w:p w14:paraId="3FFD418A">
            <w:pPr>
              <w:pStyle w:val="15"/>
              <w:jc w:val="center"/>
              <w:rPr>
                <w:rFonts w:hint="default" w:cs="宋体"/>
                <w:b w:val="0"/>
                <w:bCs w:val="0"/>
                <w:color w:val="000000" w:themeColor="text1"/>
                <w:sz w:val="24"/>
                <w:szCs w:val="24"/>
                <w:lang w:val="en-US" w:eastAsia="zh-CN"/>
                <w14:textFill>
                  <w14:solidFill>
                    <w14:schemeClr w14:val="tx1"/>
                  </w14:solidFill>
                </w14:textFill>
              </w:rPr>
            </w:pPr>
            <w:r>
              <w:rPr>
                <w:rFonts w:hint="eastAsia" w:cs="宋体"/>
                <w:b w:val="0"/>
                <w:bCs w:val="0"/>
                <w:color w:val="000000" w:themeColor="text1"/>
                <w:sz w:val="24"/>
                <w:szCs w:val="24"/>
                <w:lang w:val="en-US" w:eastAsia="zh-CN"/>
                <w14:textFill>
                  <w14:solidFill>
                    <w14:schemeClr w14:val="tx1"/>
                  </w14:solidFill>
                </w14:textFill>
              </w:rPr>
              <w:t>2.4万元</w:t>
            </w:r>
          </w:p>
        </w:tc>
        <w:tc>
          <w:tcPr>
            <w:tcW w:w="3678" w:type="dxa"/>
            <w:vAlign w:val="center"/>
          </w:tcPr>
          <w:p w14:paraId="51ED39C2">
            <w:pPr>
              <w:pStyle w:val="15"/>
              <w:jc w:val="center"/>
              <w:rPr>
                <w:rFonts w:hint="eastAsia" w:eastAsia="宋体"/>
                <w:b w:val="0"/>
                <w:bCs w:val="0"/>
                <w:color w:val="000000" w:themeColor="text1"/>
                <w:vertAlign w:val="baseline"/>
                <w:lang w:val="en-US" w:eastAsia="zh-CN"/>
                <w14:textFill>
                  <w14:solidFill>
                    <w14:schemeClr w14:val="tx1"/>
                  </w14:solidFill>
                </w14:textFill>
              </w:rPr>
            </w:pPr>
            <w:r>
              <w:rPr>
                <w:rFonts w:hint="eastAsia" w:ascii="宋体" w:hAnsi="宋体" w:cs="宋体"/>
                <w:b w:val="0"/>
                <w:bCs w:val="0"/>
                <w:color w:val="000000" w:themeColor="text1"/>
                <w:sz w:val="24"/>
                <w:szCs w:val="24"/>
                <w14:textFill>
                  <w14:solidFill>
                    <w14:schemeClr w14:val="tx1"/>
                  </w14:solidFill>
                </w14:textFill>
              </w:rPr>
              <w:t>详见</w:t>
            </w:r>
            <w:r>
              <w:rPr>
                <w:rFonts w:hint="eastAsia" w:cs="宋体"/>
                <w:b w:val="0"/>
                <w:bCs w:val="0"/>
                <w:color w:val="000000" w:themeColor="text1"/>
                <w:sz w:val="24"/>
                <w:szCs w:val="24"/>
                <w14:textFill>
                  <w14:solidFill>
                    <w14:schemeClr w14:val="tx1"/>
                  </w14:solidFill>
                </w14:textFill>
              </w:rPr>
              <w:t>技术参数、性能（配置）及其他</w:t>
            </w:r>
            <w:r>
              <w:rPr>
                <w:rFonts w:hint="eastAsia" w:cs="宋体"/>
                <w:b w:val="0"/>
                <w:bCs w:val="0"/>
                <w:color w:val="000000" w:themeColor="text1"/>
                <w:sz w:val="24"/>
                <w:szCs w:val="24"/>
                <w:lang w:val="en-US" w:eastAsia="zh-CN"/>
                <w14:textFill>
                  <w14:solidFill>
                    <w14:schemeClr w14:val="tx1"/>
                  </w14:solidFill>
                </w14:textFill>
              </w:rPr>
              <w:t>要求</w:t>
            </w:r>
          </w:p>
        </w:tc>
      </w:tr>
    </w:tbl>
    <w:p w14:paraId="0BF360D2">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cs="宋体"/>
          <w:color w:val="000000" w:themeColor="text1"/>
          <w:sz w:val="24"/>
          <w:szCs w:val="24"/>
          <w14:textFill>
            <w14:solidFill>
              <w14:schemeClr w14:val="tx1"/>
            </w14:solidFill>
          </w14:textFill>
        </w:rPr>
        <w:t>技术参数、</w:t>
      </w:r>
      <w:r>
        <w:rPr>
          <w:rFonts w:hint="eastAsia" w:ascii="宋体" w:hAnsi="宋体" w:eastAsia="宋体" w:cs="宋体"/>
          <w:color w:val="000000" w:themeColor="text1"/>
          <w:sz w:val="24"/>
          <w:szCs w:val="24"/>
          <w:highlight w:val="none"/>
          <w:lang w:val="en-US" w:eastAsia="zh-CN"/>
          <w14:textFill>
            <w14:solidFill>
              <w14:schemeClr w14:val="tx1"/>
            </w14:solidFill>
          </w14:textFill>
        </w:rPr>
        <w:t>性能（配置）及其他要求：</w:t>
      </w:r>
      <w:bookmarkStart w:id="0" w:name="_GoBack"/>
      <w:bookmarkEnd w:id="0"/>
    </w:p>
    <w:tbl>
      <w:tblPr>
        <w:tblStyle w:val="11"/>
        <w:tblpPr w:leftFromText="180" w:rightFromText="180" w:vertAnchor="text" w:horzAnchor="page" w:tblpX="1091" w:tblpY="690"/>
        <w:tblOverlap w:val="never"/>
        <w:tblW w:w="10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1"/>
        <w:gridCol w:w="7782"/>
        <w:gridCol w:w="876"/>
      </w:tblGrid>
      <w:tr w14:paraId="67E0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361" w:type="dxa"/>
            <w:noWrap w:val="0"/>
            <w:vAlign w:val="center"/>
          </w:tcPr>
          <w:p w14:paraId="394DD574">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设备名称</w:t>
            </w:r>
          </w:p>
        </w:tc>
        <w:tc>
          <w:tcPr>
            <w:tcW w:w="7782" w:type="dxa"/>
            <w:noWrap w:val="0"/>
            <w:vAlign w:val="center"/>
          </w:tcPr>
          <w:p w14:paraId="7D4A1205">
            <w:pPr>
              <w:spacing w:line="440" w:lineRule="exact"/>
              <w:ind w:firstLine="630" w:firstLineChars="3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产品参数说明</w:t>
            </w:r>
          </w:p>
        </w:tc>
        <w:tc>
          <w:tcPr>
            <w:tcW w:w="876" w:type="dxa"/>
            <w:noWrap w:val="0"/>
            <w:vAlign w:val="center"/>
          </w:tcPr>
          <w:p w14:paraId="391620CB">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数量</w:t>
            </w:r>
          </w:p>
        </w:tc>
      </w:tr>
      <w:tr w14:paraId="2D9D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trPr>
        <w:tc>
          <w:tcPr>
            <w:tcW w:w="1361" w:type="dxa"/>
            <w:vMerge w:val="restart"/>
            <w:noWrap w:val="0"/>
            <w:vAlign w:val="center"/>
          </w:tcPr>
          <w:p w14:paraId="39907084">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无线触摸屏式出票机</w:t>
            </w:r>
          </w:p>
          <w:p w14:paraId="2610B8CA">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782" w:type="dxa"/>
            <w:noWrap w:val="0"/>
            <w:vAlign w:val="top"/>
          </w:tcPr>
          <w:p w14:paraId="21EA1FDD">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default" w:ascii="Arial" w:hAnsi="Arial" w:eastAsia="宋体" w:cs="Arial"/>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21.5寸一体式豪华落地式取号机机柜,标准VESA孔。</w:t>
            </w:r>
          </w:p>
          <w:p w14:paraId="484C1BB0">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2.材质为钢，采用进口汽车金属烤漆外壳。</w:t>
            </w:r>
          </w:p>
        </w:tc>
        <w:tc>
          <w:tcPr>
            <w:tcW w:w="876" w:type="dxa"/>
            <w:vMerge w:val="restart"/>
            <w:noWrap w:val="0"/>
            <w:vAlign w:val="center"/>
          </w:tcPr>
          <w:p w14:paraId="6D6DC5A4">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2套</w:t>
            </w:r>
          </w:p>
        </w:tc>
      </w:tr>
      <w:tr w14:paraId="374C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361" w:type="dxa"/>
            <w:vMerge w:val="continue"/>
            <w:noWrap w:val="0"/>
            <w:vAlign w:val="top"/>
          </w:tcPr>
          <w:p w14:paraId="089BAD49">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782" w:type="dxa"/>
            <w:noWrap w:val="0"/>
            <w:vAlign w:val="top"/>
          </w:tcPr>
          <w:p w14:paraId="4C28F08D">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Arial" w:hAnsi="Arial" w:eastAsia="宋体" w:cs="Arial"/>
                <w:color w:val="000000" w:themeColor="text1"/>
                <w:sz w:val="21"/>
                <w:szCs w:val="21"/>
                <w:highlight w:val="none"/>
                <w:lang w:val="en-US" w:eastAsia="zh-CN"/>
                <w14:textFill>
                  <w14:solidFill>
                    <w14:schemeClr w14:val="tx1"/>
                  </w14:solidFill>
                </w14:textFill>
              </w:rPr>
              <w:t>3.</w:t>
            </w:r>
            <w:r>
              <w:rPr>
                <w:rFonts w:hint="default" w:ascii="Arial" w:hAnsi="Arial" w:eastAsia="宋体" w:cs="Arial"/>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21.5吋工业液晶显示器，</w:t>
            </w:r>
            <w:r>
              <w:rPr>
                <w:rFonts w:hint="default" w:ascii="Arial" w:hAnsi="Arial" w:eastAsia="宋体" w:cs="Arial"/>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0.297mm点距，</w:t>
            </w:r>
            <w:r>
              <w:rPr>
                <w:rFonts w:hint="default" w:ascii="Arial" w:hAnsi="Arial" w:eastAsia="宋体" w:cs="Arial"/>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对比度500：1，分辨率</w:t>
            </w:r>
            <w:r>
              <w:rPr>
                <w:rFonts w:hint="default" w:ascii="Arial" w:hAnsi="Arial" w:eastAsia="宋体" w:cs="Arial"/>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1920*1080亮度/280cd/m2/响应时间5ms，工作时间大于12万小时</w:t>
            </w:r>
          </w:p>
        </w:tc>
        <w:tc>
          <w:tcPr>
            <w:tcW w:w="876" w:type="dxa"/>
            <w:vMerge w:val="continue"/>
            <w:noWrap w:val="0"/>
            <w:vAlign w:val="center"/>
          </w:tcPr>
          <w:p w14:paraId="1F53CAE6">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0FB7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1361" w:type="dxa"/>
            <w:vMerge w:val="continue"/>
            <w:noWrap w:val="0"/>
            <w:vAlign w:val="top"/>
          </w:tcPr>
          <w:p w14:paraId="39BEBBAD">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782" w:type="dxa"/>
            <w:noWrap w:val="0"/>
            <w:vAlign w:val="top"/>
          </w:tcPr>
          <w:p w14:paraId="02D2D5A9">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Arial" w:hAnsi="Arial" w:cs="Arial"/>
                <w:color w:val="000000" w:themeColor="text1"/>
                <w:sz w:val="21"/>
                <w:szCs w:val="21"/>
                <w:highlight w:val="none"/>
                <w:lang w:val="en-US" w:eastAsia="zh-CN"/>
                <w14:textFill>
                  <w14:solidFill>
                    <w14:schemeClr w14:val="tx1"/>
                  </w14:solidFill>
                </w14:textFill>
              </w:rPr>
              <w:t>1.</w:t>
            </w:r>
            <w:r>
              <w:rPr>
                <w:rFonts w:hint="default" w:ascii="Arial" w:hAnsi="Arial" w:eastAsia="宋体" w:cs="Arial"/>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21.5吋防尘防爆电脑触摸屏，</w:t>
            </w:r>
          </w:p>
          <w:p w14:paraId="3D5F8819">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default" w:ascii="Arial" w:hAnsi="Arial" w:eastAsia="宋体" w:cs="Arial"/>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分辨率4096x4096</w:t>
            </w:r>
          </w:p>
          <w:p w14:paraId="4C3DC589">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default" w:ascii="Arial" w:hAnsi="Arial" w:eastAsia="宋体" w:cs="Arial"/>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玻璃厚度：2mm</w:t>
            </w:r>
          </w:p>
          <w:p w14:paraId="749070BC">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响应速度&lt;16ms</w:t>
            </w:r>
          </w:p>
          <w:p w14:paraId="749B46FC">
            <w:pPr>
              <w:spacing w:line="440" w:lineRule="exact"/>
              <w:ind w:firstLine="420" w:firstLineChars="200"/>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最小触摸体 ≥φ2.5mm</w:t>
            </w:r>
            <w:r>
              <w:rPr>
                <w:rFonts w:hint="eastAsia" w:ascii="宋体" w:hAnsi="宋体" w:cs="宋体"/>
                <w:color w:val="000000" w:themeColor="text1"/>
                <w:sz w:val="21"/>
                <w:szCs w:val="21"/>
                <w:highlight w:val="none"/>
                <w:lang w:val="en-US" w:eastAsia="zh-CN"/>
                <w14:textFill>
                  <w14:solidFill>
                    <w14:schemeClr w14:val="tx1"/>
                  </w14:solidFill>
                </w14:textFill>
              </w:rPr>
              <w:t>6</w:t>
            </w:r>
          </w:p>
          <w:p w14:paraId="258EA716">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val="en-US" w:eastAsia="zh-CN"/>
                <w14:textFill>
                  <w14:solidFill>
                    <w14:schemeClr w14:val="tx1"/>
                  </w14:solidFill>
                </w14:textFill>
              </w:rPr>
              <w:t>透光率 ：大于92%，最高可达100%</w:t>
            </w:r>
          </w:p>
          <w:p w14:paraId="7970746A">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val="en-US" w:eastAsia="zh-CN"/>
                <w14:textFill>
                  <w14:solidFill>
                    <w14:schemeClr w14:val="tx1"/>
                  </w14:solidFill>
                </w14:textFill>
              </w:rPr>
              <w:t>触摸次数大于5000万次，免维护。</w:t>
            </w:r>
          </w:p>
        </w:tc>
        <w:tc>
          <w:tcPr>
            <w:tcW w:w="876" w:type="dxa"/>
            <w:vMerge w:val="continue"/>
            <w:noWrap w:val="0"/>
            <w:tcFitText/>
            <w:vAlign w:val="center"/>
          </w:tcPr>
          <w:p w14:paraId="14F06791">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2171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1361" w:type="dxa"/>
            <w:vMerge w:val="continue"/>
            <w:noWrap w:val="0"/>
            <w:vAlign w:val="top"/>
          </w:tcPr>
          <w:p w14:paraId="62F22865">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782" w:type="dxa"/>
            <w:noWrap w:val="0"/>
            <w:vAlign w:val="top"/>
          </w:tcPr>
          <w:p w14:paraId="0A7AB572">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控制主机： 工控主板，</w:t>
            </w:r>
            <w:r>
              <w:rPr>
                <w:rFonts w:hint="eastAsia" w:ascii="宋体" w:hAnsi="宋体" w:cs="宋体"/>
                <w:color w:val="000000" w:themeColor="text1"/>
                <w:sz w:val="21"/>
                <w:szCs w:val="21"/>
                <w:highlight w:val="none"/>
                <w:lang w:val="en-US" w:eastAsia="zh-CN"/>
                <w14:textFill>
                  <w14:solidFill>
                    <w14:schemeClr w14:val="tx1"/>
                  </w14:solidFill>
                </w14:textFill>
              </w:rPr>
              <w:t>配置最低达：</w:t>
            </w:r>
            <w:r>
              <w:rPr>
                <w:rFonts w:hint="eastAsia" w:ascii="宋体" w:hAnsi="宋体" w:eastAsia="宋体" w:cs="宋体"/>
                <w:color w:val="000000" w:themeColor="text1"/>
                <w:sz w:val="21"/>
                <w:szCs w:val="21"/>
                <w:highlight w:val="none"/>
                <w:lang w:val="en-US" w:eastAsia="zh-CN"/>
                <w14:textFill>
                  <w14:solidFill>
                    <w14:schemeClr w14:val="tx1"/>
                  </w14:solidFill>
                </w14:textFill>
              </w:rPr>
              <w:t>CPU2.0G，内存DDR3代4G，固盘64G；</w:t>
            </w:r>
          </w:p>
        </w:tc>
        <w:tc>
          <w:tcPr>
            <w:tcW w:w="876" w:type="dxa"/>
            <w:vMerge w:val="continue"/>
            <w:noWrap w:val="0"/>
            <w:vAlign w:val="center"/>
          </w:tcPr>
          <w:p w14:paraId="7565B3EB">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082C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1361" w:type="dxa"/>
            <w:vMerge w:val="continue"/>
            <w:noWrap w:val="0"/>
            <w:vAlign w:val="top"/>
          </w:tcPr>
          <w:p w14:paraId="2E8747A7">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782" w:type="dxa"/>
            <w:noWrap w:val="0"/>
            <w:vAlign w:val="top"/>
          </w:tcPr>
          <w:p w14:paraId="39BA5A9A">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T532高速热敏打印机（纸宽80mm）打印速度</w:t>
            </w:r>
            <w:r>
              <w:rPr>
                <w:rFonts w:hint="eastAsia" w:ascii="宋体" w:hAnsi="宋体" w:cs="宋体"/>
                <w:color w:val="000000" w:themeColor="text1"/>
                <w:sz w:val="21"/>
                <w:szCs w:val="21"/>
                <w:highlight w:val="none"/>
                <w:lang w:val="en-US" w:eastAsia="zh-CN"/>
                <w14:textFill>
                  <w14:solidFill>
                    <w14:schemeClr w14:val="tx1"/>
                  </w14:solidFill>
                </w14:textFill>
              </w:rPr>
              <w:t>最</w:t>
            </w:r>
            <w:r>
              <w:rPr>
                <w:rFonts w:hint="eastAsia" w:ascii="宋体" w:hAnsi="宋体" w:eastAsia="宋体" w:cs="宋体"/>
                <w:color w:val="000000" w:themeColor="text1"/>
                <w:sz w:val="21"/>
                <w:szCs w:val="21"/>
                <w:highlight w:val="none"/>
                <w:lang w:val="en-US" w:eastAsia="zh-CN"/>
                <w14:textFill>
                  <w14:solidFill>
                    <w14:schemeClr w14:val="tx1"/>
                  </w14:solidFill>
                </w14:textFill>
              </w:rPr>
              <w:t>快达150毫米每秒，具备缺纸、系统故障提醒。</w:t>
            </w:r>
          </w:p>
        </w:tc>
        <w:tc>
          <w:tcPr>
            <w:tcW w:w="876" w:type="dxa"/>
            <w:vMerge w:val="continue"/>
            <w:noWrap w:val="0"/>
            <w:vAlign w:val="center"/>
          </w:tcPr>
          <w:p w14:paraId="3CADC832">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6FC0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 w:hRule="atLeast"/>
        </w:trPr>
        <w:tc>
          <w:tcPr>
            <w:tcW w:w="1361" w:type="dxa"/>
            <w:vMerge w:val="continue"/>
            <w:noWrap w:val="0"/>
            <w:vAlign w:val="top"/>
          </w:tcPr>
          <w:p w14:paraId="15D4A334">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782" w:type="dxa"/>
            <w:noWrap w:val="0"/>
            <w:vAlign w:val="center"/>
          </w:tcPr>
          <w:p w14:paraId="1E0798B8">
            <w:pPr>
              <w:spacing w:line="440" w:lineRule="exact"/>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标配单机版触摸屏取号、叫号,不支持身份证取号。网络版、身份证版另外配置。</w:t>
            </w:r>
          </w:p>
        </w:tc>
        <w:tc>
          <w:tcPr>
            <w:tcW w:w="876" w:type="dxa"/>
            <w:vMerge w:val="continue"/>
            <w:noWrap w:val="0"/>
            <w:vAlign w:val="center"/>
          </w:tcPr>
          <w:p w14:paraId="1E0A61F7">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5641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trPr>
        <w:tc>
          <w:tcPr>
            <w:tcW w:w="1361" w:type="dxa"/>
            <w:noWrap w:val="0"/>
            <w:vAlign w:val="top"/>
          </w:tcPr>
          <w:p w14:paraId="2FFAD30B">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无线LED窗口显示屏</w:t>
            </w:r>
          </w:p>
          <w:p w14:paraId="37762007">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099AE929">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782" w:type="dxa"/>
            <w:noWrap w:val="0"/>
            <w:vAlign w:val="center"/>
          </w:tcPr>
          <w:p w14:paraId="71F9E507">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φ5.0红色点阵显示屏，采用不干胶窗口号，单行4字显示，前面不干胶贴字，规格尺寸：采用黑色铝合金外框，吊挂或壁挂式安装。（备注，自主施工通电220V电路）</w:t>
            </w:r>
          </w:p>
        </w:tc>
        <w:tc>
          <w:tcPr>
            <w:tcW w:w="876" w:type="dxa"/>
            <w:noWrap w:val="0"/>
            <w:vAlign w:val="center"/>
          </w:tcPr>
          <w:p w14:paraId="7412433E">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8套</w:t>
            </w:r>
          </w:p>
        </w:tc>
      </w:tr>
      <w:tr w14:paraId="6B05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0" w:hRule="atLeast"/>
        </w:trPr>
        <w:tc>
          <w:tcPr>
            <w:tcW w:w="1361" w:type="dxa"/>
            <w:noWrap w:val="0"/>
            <w:vAlign w:val="top"/>
          </w:tcPr>
          <w:p w14:paraId="13140C61">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无线呼叫器</w:t>
            </w:r>
          </w:p>
          <w:p w14:paraId="4E7C2221">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7782" w:type="dxa"/>
            <w:noWrap w:val="0"/>
            <w:vAlign w:val="center"/>
          </w:tcPr>
          <w:p w14:paraId="1B06A374">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14键多功能液晶呼叫器，采用硬键盘；</w:t>
            </w:r>
          </w:p>
          <w:p w14:paraId="3C8D3693">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全无线连接排队发号主机，插电即可使用，无外接天线；</w:t>
            </w:r>
          </w:p>
          <w:p w14:paraId="73B4B507">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叫号器显示屏采用128*64点阵液晶显示模组，背光明亮，字迹清晰，具有中文菜单提示；</w:t>
            </w:r>
          </w:p>
          <w:p w14:paraId="1CA72404">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具有两位显示当前窗口号及办理业务时间；</w:t>
            </w:r>
          </w:p>
          <w:p w14:paraId="72148333">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具有日历及时间显示；</w:t>
            </w:r>
          </w:p>
          <w:p w14:paraId="1321FFBC">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val="en-US" w:eastAsia="zh-CN"/>
                <w14:textFill>
                  <w14:solidFill>
                    <w14:schemeClr w14:val="tx1"/>
                  </w14:solidFill>
                </w14:textFill>
              </w:rPr>
              <w:t>具有当前队列等待人数及已办理人数；</w:t>
            </w:r>
          </w:p>
          <w:p w14:paraId="1676A708">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val="en-US" w:eastAsia="zh-CN"/>
                <w14:textFill>
                  <w14:solidFill>
                    <w14:schemeClr w14:val="tx1"/>
                  </w14:solidFill>
                </w14:textFill>
              </w:rPr>
              <w:t>具有6位显示排队号码；</w:t>
            </w:r>
          </w:p>
        </w:tc>
        <w:tc>
          <w:tcPr>
            <w:tcW w:w="876" w:type="dxa"/>
            <w:noWrap w:val="0"/>
            <w:vAlign w:val="center"/>
          </w:tcPr>
          <w:p w14:paraId="4558F3FD">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8套</w:t>
            </w:r>
          </w:p>
        </w:tc>
      </w:tr>
      <w:tr w14:paraId="5DFA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1361" w:type="dxa"/>
            <w:noWrap w:val="0"/>
            <w:vAlign w:val="center"/>
          </w:tcPr>
          <w:p w14:paraId="16A0FD73">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无线设备控制器</w:t>
            </w:r>
          </w:p>
        </w:tc>
        <w:tc>
          <w:tcPr>
            <w:tcW w:w="7782" w:type="dxa"/>
            <w:noWrap w:val="0"/>
            <w:vAlign w:val="center"/>
          </w:tcPr>
          <w:p w14:paraId="1FDB9B2E">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ISM频段无线通信，USB通信接口虚拟串口通信，支持XP和Windows 7  </w:t>
            </w:r>
          </w:p>
          <w:p w14:paraId="79AF7632">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通信频率430-500Mhz，发送功率20dBm，频率误差&lt;5ppm，年老化率&lt;5ppm</w:t>
            </w:r>
          </w:p>
          <w:p w14:paraId="2CD68A3C">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室外空旷地视距通信距离200米，室内通信距离根据现场环境的不同，距离50米到150米不等。</w:t>
            </w:r>
          </w:p>
          <w:p w14:paraId="654327FD">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通信控制器供电采用+5V(±10%)低压供电，通过电脑的USB口供电供电，电流&lt;400mA</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节省一个外部电源</w:t>
            </w:r>
          </w:p>
        </w:tc>
        <w:tc>
          <w:tcPr>
            <w:tcW w:w="876" w:type="dxa"/>
            <w:noWrap w:val="0"/>
            <w:vAlign w:val="center"/>
          </w:tcPr>
          <w:p w14:paraId="4F90AF91">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2套</w:t>
            </w:r>
          </w:p>
        </w:tc>
      </w:tr>
      <w:tr w14:paraId="4D95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361" w:type="dxa"/>
            <w:noWrap w:val="0"/>
            <w:vAlign w:val="center"/>
          </w:tcPr>
          <w:p w14:paraId="43D7438A">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排队机软件</w:t>
            </w:r>
          </w:p>
        </w:tc>
        <w:tc>
          <w:tcPr>
            <w:tcW w:w="7782" w:type="dxa"/>
            <w:noWrap w:val="0"/>
            <w:vAlign w:val="center"/>
          </w:tcPr>
          <w:p w14:paraId="3B9F4C9A">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系统支持多语言版本、英文、俄文、越南文、阿拉伯文、等根据客户需求定制。</w:t>
            </w:r>
          </w:p>
          <w:p w14:paraId="67F4FD00">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后台管理功能、业务设置、设置、数据分析、系统维护、信息发布、预约管理：一共有6个大项设置。</w:t>
            </w:r>
          </w:p>
          <w:p w14:paraId="40D579D2">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丰富的报表统计展示、动态的flash 图表分析展示。</w:t>
            </w:r>
          </w:p>
          <w:p w14:paraId="076D783A">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系统的窗口数量无限制、业务数量无限制。</w:t>
            </w:r>
          </w:p>
          <w:p w14:paraId="733D1C01">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系统支持无限制的取号机同时取号功能，在网络允许和服务器允许的条件下。</w:t>
            </w:r>
          </w:p>
          <w:p w14:paraId="0AE37436">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val="en-US" w:eastAsia="zh-CN"/>
                <w14:textFill>
                  <w14:solidFill>
                    <w14:schemeClr w14:val="tx1"/>
                  </w14:solidFill>
                </w14:textFill>
              </w:rPr>
              <w:t>系统接口丰富，方便第三方系统的对接。</w:t>
            </w:r>
          </w:p>
          <w:p w14:paraId="2C7898A2">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val="en-US" w:eastAsia="zh-CN"/>
                <w14:textFill>
                  <w14:solidFill>
                    <w14:schemeClr w14:val="tx1"/>
                  </w14:solidFill>
                </w14:textFill>
              </w:rPr>
              <w:t>系统可以根据第三方的需求进行灵活扩展。</w:t>
            </w:r>
          </w:p>
          <w:p w14:paraId="38482A28">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val="en-US" w:eastAsia="zh-CN"/>
                <w14:textFill>
                  <w14:solidFill>
                    <w14:schemeClr w14:val="tx1"/>
                  </w14:solidFill>
                </w14:textFill>
              </w:rPr>
              <w:t>系统可扩展性强，可扩展短信预约、网上预约等功能。</w:t>
            </w:r>
          </w:p>
          <w:p w14:paraId="0908E6BD">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支持LED \LCD  等多种发布形式对排队信息进行发布，并提供显示接口，供第三方使用。</w:t>
            </w:r>
          </w:p>
          <w:p w14:paraId="373FFB05">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val="en-US" w:eastAsia="zh-CN"/>
                <w14:textFill>
                  <w14:solidFill>
                    <w14:schemeClr w14:val="tx1"/>
                  </w14:solidFill>
                </w14:textFill>
              </w:rPr>
              <w:t>取号时间限制、取号数量限制等、区分上下午限制取号。</w:t>
            </w:r>
          </w:p>
          <w:p w14:paraId="10456101">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lang w:val="en-US" w:eastAsia="zh-CN"/>
                <w14:textFill>
                  <w14:solidFill>
                    <w14:schemeClr w14:val="tx1"/>
                  </w14:solidFill>
                </w14:textFill>
              </w:rPr>
              <w:t>业务可支持制动转移到另外队列，取号延迟叫号功能。</w:t>
            </w:r>
          </w:p>
          <w:p w14:paraId="54134319">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lang w:val="en-US" w:eastAsia="zh-CN"/>
                <w14:textFill>
                  <w14:solidFill>
                    <w14:schemeClr w14:val="tx1"/>
                  </w14:solidFill>
                </w14:textFill>
              </w:rPr>
              <w:t>支持顺呼、特呼、指呼、回呼、查询、中断、转移、求助、弃号。支持一键开机、关机、呼叫器背光支持对比度调整、呼叫器液晶屏支持屏保功能、等待人数提醒、消息发送等等，并支持可转移到窗口和队列呼叫键盘支持数字和所有英文字母的输入；呼叫器4行8字的液晶显示。</w:t>
            </w:r>
          </w:p>
          <w:p w14:paraId="6B4B53E0">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13.</w:t>
            </w:r>
            <w:r>
              <w:rPr>
                <w:rFonts w:hint="eastAsia" w:ascii="宋体" w:hAnsi="宋体" w:eastAsia="宋体" w:cs="宋体"/>
                <w:color w:val="000000" w:themeColor="text1"/>
                <w:sz w:val="21"/>
                <w:szCs w:val="21"/>
                <w:highlight w:val="none"/>
                <w:lang w:val="en-US" w:eastAsia="zh-CN"/>
                <w14:textFill>
                  <w14:solidFill>
                    <w14:schemeClr w14:val="tx1"/>
                  </w14:solidFill>
                </w14:textFill>
              </w:rPr>
              <w:t>LCD排队信息显示，</w:t>
            </w:r>
            <w:r>
              <w:rPr>
                <w:rFonts w:hint="eastAsia" w:ascii="宋体" w:hAnsi="宋体" w:eastAsia="宋体" w:cs="宋体"/>
                <w:color w:val="000000" w:themeColor="text1"/>
                <w:sz w:val="21"/>
                <w:szCs w:val="21"/>
                <w:highlight w:val="none"/>
                <w:lang w:val="en-US" w:eastAsia="zh-CN"/>
                <w14:textFill>
                  <w14:solidFill>
                    <w14:schemeClr w14:val="tx1"/>
                  </w14:solidFill>
                </w14:textFill>
              </w:rPr>
              <w:t>支持广告视频播放、任意定制显示行数、列数、滚动字幕等功能。</w:t>
            </w:r>
          </w:p>
          <w:p w14:paraId="4C732171">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lang w:val="en-US" w:eastAsia="zh-CN"/>
                <w14:textFill>
                  <w14:solidFill>
                    <w14:schemeClr w14:val="tx1"/>
                  </w14:solidFill>
                </w14:textFill>
              </w:rPr>
              <w:t>大屏幕LED显示功能</w:t>
            </w:r>
            <w:r>
              <w:rPr>
                <w:rFonts w:hint="eastAsia" w:ascii="宋体" w:hAnsi="宋体" w:eastAsia="宋体" w:cs="宋体"/>
                <w:color w:val="000000" w:themeColor="text1"/>
                <w:sz w:val="21"/>
                <w:szCs w:val="21"/>
                <w:highlight w:val="none"/>
                <w:lang w:val="en-US" w:eastAsia="zh-CN"/>
                <w14:textFill>
                  <w14:solidFill>
                    <w14:schemeClr w14:val="tx1"/>
                  </w14:solidFill>
                </w14:textFill>
              </w:rPr>
              <w:t>，支持多个模版显示，信息内容定制显示、分窗口定位显示，该方案非常适合通屏窗口屏系统;</w:t>
            </w:r>
          </w:p>
          <w:p w14:paraId="01E9F3B5">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color w:val="000000" w:themeColor="text1"/>
                <w:sz w:val="21"/>
                <w:szCs w:val="21"/>
                <w:highlight w:val="none"/>
                <w:lang w:val="en-US" w:eastAsia="zh-CN"/>
                <w14:textFill>
                  <w14:solidFill>
                    <w14:schemeClr w14:val="tx1"/>
                  </w14:solidFill>
                </w14:textFill>
              </w:rPr>
              <w:t>支持10.1寸液晶评价器</w:t>
            </w:r>
            <w:r>
              <w:rPr>
                <w:rFonts w:hint="eastAsia" w:ascii="宋体" w:hAnsi="宋体" w:eastAsia="宋体" w:cs="宋体"/>
                <w:color w:val="000000" w:themeColor="text1"/>
                <w:sz w:val="21"/>
                <w:szCs w:val="21"/>
                <w:highlight w:val="none"/>
                <w:lang w:val="en-US" w:eastAsia="zh-CN"/>
                <w14:textFill>
                  <w14:solidFill>
                    <w14:schemeClr w14:val="tx1"/>
                  </w14:solidFill>
                </w14:textFill>
              </w:rPr>
              <w:t>，后台支持图片、视频、文字、公告、显示叫号信息、等常用的格式。支持多语言版本。</w:t>
            </w:r>
          </w:p>
          <w:p w14:paraId="54057ADC">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color w:val="000000" w:themeColor="text1"/>
                <w:sz w:val="21"/>
                <w:szCs w:val="21"/>
                <w:highlight w:val="none"/>
                <w:lang w:val="en-US" w:eastAsia="zh-CN"/>
                <w14:textFill>
                  <w14:solidFill>
                    <w14:schemeClr w14:val="tx1"/>
                  </w14:solidFill>
                </w14:textFill>
              </w:rPr>
              <w:t>排队系统、评价系统、安卓窗口屏、安卓综合显示屏、公告发布、视频、文字、图片、等等.统一在一个后台进行修改和管理操作。</w:t>
            </w:r>
          </w:p>
          <w:p w14:paraId="0F38020A">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17.</w:t>
            </w:r>
            <w:r>
              <w:rPr>
                <w:rFonts w:hint="eastAsia" w:ascii="宋体" w:hAnsi="宋体" w:eastAsia="宋体" w:cs="宋体"/>
                <w:color w:val="000000" w:themeColor="text1"/>
                <w:sz w:val="21"/>
                <w:szCs w:val="21"/>
                <w:highlight w:val="none"/>
                <w:lang w:val="en-US" w:eastAsia="zh-CN"/>
                <w14:textFill>
                  <w14:solidFill>
                    <w14:schemeClr w14:val="tx1"/>
                  </w14:solidFill>
                </w14:textFill>
              </w:rPr>
              <w:t>支持安卓窗口屏、综合显示屏、可以分开发送不同的视频图片公告、包括滚动字幕（可以实现不同窗口业务办理流程业务介绍）</w:t>
            </w:r>
          </w:p>
        </w:tc>
        <w:tc>
          <w:tcPr>
            <w:tcW w:w="876" w:type="dxa"/>
            <w:noWrap w:val="0"/>
            <w:vAlign w:val="center"/>
          </w:tcPr>
          <w:p w14:paraId="2986BBCA">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2套</w:t>
            </w:r>
          </w:p>
        </w:tc>
      </w:tr>
      <w:tr w14:paraId="1CCD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361" w:type="dxa"/>
            <w:shd w:val="clear" w:color="auto" w:fill="auto"/>
            <w:noWrap w:val="0"/>
            <w:vAlign w:val="center"/>
          </w:tcPr>
          <w:p w14:paraId="3264F400">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安装辅材</w:t>
            </w:r>
          </w:p>
        </w:tc>
        <w:tc>
          <w:tcPr>
            <w:tcW w:w="7782" w:type="dxa"/>
            <w:shd w:val="clear" w:color="auto" w:fill="auto"/>
            <w:noWrap w:val="0"/>
            <w:vAlign w:val="center"/>
          </w:tcPr>
          <w:p w14:paraId="1D08C8A6">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装饰、五金，电缆等，根据现场定制</w:t>
            </w:r>
          </w:p>
        </w:tc>
        <w:tc>
          <w:tcPr>
            <w:tcW w:w="876" w:type="dxa"/>
            <w:shd w:val="clear" w:color="auto" w:fill="auto"/>
            <w:noWrap w:val="0"/>
            <w:vAlign w:val="center"/>
          </w:tcPr>
          <w:p w14:paraId="0F69A670">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2项</w:t>
            </w:r>
          </w:p>
        </w:tc>
      </w:tr>
      <w:tr w14:paraId="38D1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361" w:type="dxa"/>
            <w:shd w:val="clear" w:color="auto" w:fill="auto"/>
            <w:noWrap w:val="0"/>
            <w:vAlign w:val="center"/>
          </w:tcPr>
          <w:p w14:paraId="20518113">
            <w:pPr>
              <w:spacing w:line="440" w:lineRule="exact"/>
              <w:rPr>
                <w:rFonts w:hint="eastAsia" w:ascii="宋体" w:hAnsi="宋体" w:eastAsia="宋体" w:cs="宋体"/>
                <w:color w:val="000000" w:themeColor="text1"/>
                <w:sz w:val="21"/>
                <w:szCs w:val="21"/>
                <w:highlight w:val="none"/>
                <w:lang w:val="en-US" w:eastAsia="zh-TW"/>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安装调试</w:t>
            </w:r>
          </w:p>
        </w:tc>
        <w:tc>
          <w:tcPr>
            <w:tcW w:w="7782" w:type="dxa"/>
            <w:shd w:val="clear" w:color="auto" w:fill="auto"/>
            <w:noWrap w:val="0"/>
            <w:vAlign w:val="center"/>
          </w:tcPr>
          <w:p w14:paraId="69794DA3">
            <w:pPr>
              <w:spacing w:line="440" w:lineRule="exact"/>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调试，运行、售后，与现有收费环境软硬件适配</w:t>
            </w:r>
          </w:p>
        </w:tc>
        <w:tc>
          <w:tcPr>
            <w:tcW w:w="876" w:type="dxa"/>
            <w:shd w:val="clear" w:color="auto" w:fill="auto"/>
            <w:noWrap w:val="0"/>
            <w:vAlign w:val="center"/>
          </w:tcPr>
          <w:p w14:paraId="3123A621">
            <w:pPr>
              <w:spacing w:line="44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2项</w:t>
            </w:r>
          </w:p>
        </w:tc>
      </w:tr>
    </w:tbl>
    <w:p w14:paraId="5E98A4AE">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二、商务要求</w:t>
      </w:r>
    </w:p>
    <w:p w14:paraId="7B112919">
      <w:pPr>
        <w:spacing w:line="440" w:lineRule="exact"/>
        <w:ind w:firstLine="480" w:firstLineChars="200"/>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1、服务承诺：</w:t>
      </w:r>
      <w:r>
        <w:rPr>
          <w:rFonts w:hint="eastAsia" w:ascii="宋体" w:hAnsi="宋体" w:cs="宋体"/>
          <w:color w:val="000000" w:themeColor="text1"/>
          <w:sz w:val="24"/>
          <w:szCs w:val="24"/>
          <w:highlight w:val="none"/>
          <w:lang w:val="en-US" w:eastAsia="zh-CN"/>
          <w14:textFill>
            <w14:solidFill>
              <w14:schemeClr w14:val="tx1"/>
            </w14:solidFill>
          </w14:textFill>
        </w:rPr>
        <w:t>投标人需承诺在</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w:t>
      </w:r>
      <w:r>
        <w:rPr>
          <w:rFonts w:hint="eastAsia" w:ascii="宋体" w:hAnsi="宋体" w:cs="宋体"/>
          <w:color w:val="000000" w:themeColor="text1"/>
          <w:sz w:val="24"/>
          <w:szCs w:val="24"/>
          <w:highlight w:val="none"/>
          <w:lang w:val="en-US" w:eastAsia="zh-CN"/>
          <w14:textFill>
            <w14:solidFill>
              <w14:schemeClr w14:val="tx1"/>
            </w14:solidFill>
          </w14:textFill>
        </w:rPr>
        <w:t>质保期满后，在</w:t>
      </w:r>
      <w:r>
        <w:rPr>
          <w:rFonts w:hint="eastAsia" w:ascii="宋体" w:hAnsi="宋体" w:eastAsia="宋体" w:cs="宋体"/>
          <w:color w:val="000000" w:themeColor="text1"/>
          <w:sz w:val="24"/>
          <w:szCs w:val="24"/>
          <w:highlight w:val="none"/>
          <w:lang w:val="en-US" w:eastAsia="zh-CN"/>
          <w14:textFill>
            <w14:solidFill>
              <w14:schemeClr w14:val="tx1"/>
            </w14:solidFill>
          </w14:textFill>
        </w:rPr>
        <w:t>使用期限内免费</w:t>
      </w:r>
      <w:r>
        <w:rPr>
          <w:rFonts w:hint="eastAsia" w:ascii="宋体" w:hAnsi="宋体" w:cs="宋体"/>
          <w:color w:val="000000" w:themeColor="text1"/>
          <w:sz w:val="24"/>
          <w:szCs w:val="24"/>
          <w:highlight w:val="none"/>
          <w:lang w:val="en-US" w:eastAsia="zh-CN"/>
          <w14:textFill>
            <w14:solidFill>
              <w14:schemeClr w14:val="tx1"/>
            </w14:solidFill>
          </w14:textFill>
        </w:rPr>
        <w:t>对设备故障进行</w:t>
      </w:r>
      <w:r>
        <w:rPr>
          <w:rFonts w:hint="eastAsia" w:ascii="宋体" w:hAnsi="宋体" w:eastAsia="宋体" w:cs="宋体"/>
          <w:color w:val="000000" w:themeColor="text1"/>
          <w:sz w:val="24"/>
          <w:szCs w:val="24"/>
          <w:highlight w:val="none"/>
          <w:lang w:val="en-US" w:eastAsia="zh-CN"/>
          <w14:textFill>
            <w14:solidFill>
              <w14:schemeClr w14:val="tx1"/>
            </w14:solidFill>
          </w14:textFill>
        </w:rPr>
        <w:t>检测维修和软件维护，如需更换配件，采购人</w:t>
      </w:r>
      <w:r>
        <w:rPr>
          <w:rFonts w:hint="eastAsia" w:ascii="宋体" w:hAnsi="宋体" w:cs="宋体"/>
          <w:color w:val="000000" w:themeColor="text1"/>
          <w:sz w:val="24"/>
          <w:szCs w:val="24"/>
          <w:highlight w:val="none"/>
          <w:lang w:val="en-US" w:eastAsia="zh-CN"/>
          <w14:textFill>
            <w14:solidFill>
              <w14:schemeClr w14:val="tx1"/>
            </w14:solidFill>
          </w14:textFill>
        </w:rPr>
        <w:t>只承担所需更换的配件费用，不再另外支付维修费用及人工费用。</w:t>
      </w:r>
    </w:p>
    <w:p w14:paraId="2DC46854">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售后资质要求：根据工作业务需要，</w:t>
      </w:r>
      <w:r>
        <w:rPr>
          <w:rFonts w:hint="eastAsia" w:ascii="宋体" w:hAnsi="宋体" w:cs="宋体"/>
          <w:color w:val="000000" w:themeColor="text1"/>
          <w:sz w:val="24"/>
          <w:szCs w:val="24"/>
          <w:highlight w:val="none"/>
          <w:lang w:val="en-US" w:eastAsia="zh-CN"/>
          <w14:textFill>
            <w14:solidFill>
              <w14:schemeClr w14:val="tx1"/>
            </w14:solidFill>
          </w14:textFill>
        </w:rPr>
        <w:t>在设备使用期间</w:t>
      </w:r>
      <w:r>
        <w:rPr>
          <w:rFonts w:hint="eastAsia" w:ascii="宋体" w:hAnsi="宋体" w:eastAsia="宋体" w:cs="宋体"/>
          <w:color w:val="000000" w:themeColor="text1"/>
          <w:sz w:val="24"/>
          <w:szCs w:val="24"/>
          <w:highlight w:val="none"/>
          <w:lang w:val="en-US" w:eastAsia="zh-CN"/>
          <w14:textFill>
            <w14:solidFill>
              <w14:schemeClr w14:val="tx1"/>
            </w14:solidFill>
          </w14:textFill>
        </w:rPr>
        <w:t>免费软件升级维护</w:t>
      </w:r>
      <w:r>
        <w:rPr>
          <w:rFonts w:hint="eastAsia" w:ascii="宋体" w:hAnsi="宋体" w:cs="宋体"/>
          <w:color w:val="000000" w:themeColor="text1"/>
          <w:sz w:val="24"/>
          <w:szCs w:val="24"/>
          <w:highlight w:val="none"/>
          <w:lang w:val="en-US" w:eastAsia="zh-CN"/>
          <w14:textFill>
            <w14:solidFill>
              <w14:schemeClr w14:val="tx1"/>
            </w14:solidFill>
          </w14:textFill>
        </w:rPr>
        <w:t>，需</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提供24小时免费服务</w:t>
      </w:r>
      <w:r>
        <w:rPr>
          <w:rFonts w:hint="eastAsia" w:ascii="宋体" w:hAnsi="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409667F6">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设备及软件质保期：设备安装完毕通过验收投入使用之日起不少于 1 年。</w:t>
      </w:r>
    </w:p>
    <w:p w14:paraId="43405D37">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故障处理：质保期内，在使用过程中发现质量问题或故障时，须接到通知</w:t>
      </w:r>
      <w:r>
        <w:rPr>
          <w:rFonts w:hint="eastAsia" w:ascii="宋体" w:hAnsi="宋体" w:eastAsia="宋体" w:cs="宋体"/>
          <w:color w:val="000000" w:themeColor="text1"/>
          <w:sz w:val="24"/>
          <w:szCs w:val="24"/>
          <w:highlight w:val="none"/>
          <w:lang w:val="en-US" w:eastAsia="zh-CN"/>
          <w14:textFill>
            <w14:solidFill>
              <w14:schemeClr w14:val="tx1"/>
            </w14:solidFill>
          </w14:textFill>
        </w:rPr>
        <w:t>后</w:t>
      </w:r>
      <w:r>
        <w:rPr>
          <w:rFonts w:hint="eastAsia" w:ascii="宋体" w:hAnsi="宋体" w:cs="宋体"/>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lang w:val="en-US" w:eastAsia="zh-CN"/>
          <w14:textFill>
            <w14:solidFill>
              <w14:schemeClr w14:val="tx1"/>
            </w14:solidFill>
          </w14:textFill>
        </w:rPr>
        <w:t>分钟响应，24小时内派</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工程师到达用户现场处理报障问题，如遇到硬件损坏需提供常用备件，按国家及行业标准对故障进行及时处理或更换，以保证采购单位的正常使用，所发生的一切费用由成交供应商负责。</w:t>
      </w:r>
    </w:p>
    <w:p w14:paraId="361F5FD2">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本次报价包含产品及备品配件、运费、安装费、人工费、材料费、管理费、风险费用、调试费、产品三包费用、规费及税金，并含产品相关保险、安装等人员意外伤害保险、施工安全文明措施费，以及相关检测、验收、技术培训、售后服务等完成本项目的所有费用。</w:t>
      </w:r>
    </w:p>
    <w:p w14:paraId="5680939E">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6.安装地点：采购人广西桂东人民医院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指定位置</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2150C634">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合同签订</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招标人和中标人应当自公示结束</w:t>
      </w:r>
      <w:r>
        <w:rPr>
          <w:rFonts w:hint="eastAsia" w:ascii="宋体" w:hAnsi="宋体" w:eastAsia="宋体" w:cs="宋体"/>
          <w:color w:val="000000" w:themeColor="text1"/>
          <w:sz w:val="24"/>
          <w:szCs w:val="24"/>
          <w:highlight w:val="none"/>
          <w:lang w:val="en-US" w:eastAsia="zh-CN"/>
          <w14:textFill>
            <w14:solidFill>
              <w14:schemeClr w14:val="tx1"/>
            </w14:solidFill>
          </w14:textFill>
        </w:rPr>
        <w:t>后</w:t>
      </w:r>
      <w:sdt>
        <w:sdtPr>
          <w:rPr>
            <w:rFonts w:hint="eastAsia" w:ascii="宋体" w:hAnsi="宋体" w:eastAsia="宋体" w:cs="宋体"/>
            <w:color w:val="000000" w:themeColor="text1"/>
            <w:sz w:val="24"/>
            <w:szCs w:val="24"/>
            <w:highlight w:val="none"/>
            <w:lang w:val="en-US" w:eastAsia="zh-CN"/>
            <w14:textFill>
              <w14:solidFill>
                <w14:schemeClr w14:val="tx1"/>
              </w14:solidFill>
            </w14:textFill>
          </w:rPr>
          <w:alias w:val="无特殊情况不建议修改"/>
          <w:tag w:val="无特殊情况不建议修改"/>
          <w:id w:val="-183904816"/>
          <w:placeholder>
            <w:docPart w:val="{0c1d1734-d98a-4bf6-91c9-62d55584e8cd}"/>
          </w:placeholder>
        </w:sdtPr>
        <w:sdtEndPr>
          <w:rPr>
            <w:rFonts w:hint="eastAsia" w:ascii="宋体" w:hAnsi="宋体" w:eastAsia="宋体" w:cs="宋体"/>
            <w:color w:val="000000" w:themeColor="text1"/>
            <w:sz w:val="24"/>
            <w:szCs w:val="24"/>
            <w:highlight w:val="none"/>
            <w:lang w:val="en-US" w:eastAsia="zh-CN"/>
            <w14:textFill>
              <w14:solidFill>
                <w14:schemeClr w14:val="tx1"/>
              </w14:solidFill>
            </w14:textFill>
          </w:rPr>
        </w:sdtEndPr>
        <w:sdtContent>
          <w:r>
            <w:rPr>
              <w:rFonts w:hint="eastAsia" w:ascii="宋体" w:hAnsi="宋体" w:cs="宋体"/>
              <w:color w:val="000000" w:themeColor="text1"/>
              <w:sz w:val="24"/>
              <w:szCs w:val="24"/>
              <w:highlight w:val="none"/>
              <w:lang w:val="en-US" w:eastAsia="zh-CN"/>
              <w14:textFill>
                <w14:solidFill>
                  <w14:schemeClr w14:val="tx1"/>
                </w14:solidFill>
              </w14:textFill>
            </w:rPr>
            <w:t>25</w:t>
          </w:r>
        </w:sdtContent>
      </w:sdt>
      <w:r>
        <w:rPr>
          <w:rFonts w:hint="eastAsia" w:ascii="宋体" w:hAnsi="宋体" w:eastAsia="宋体" w:cs="宋体"/>
          <w:color w:val="000000" w:themeColor="text1"/>
          <w:sz w:val="24"/>
          <w:szCs w:val="24"/>
          <w:highlight w:val="none"/>
          <w:lang w:val="en-US" w:eastAsia="zh-CN"/>
          <w14:textFill>
            <w14:solidFill>
              <w14:schemeClr w14:val="tx1"/>
            </w14:solidFill>
          </w14:textFill>
        </w:rPr>
        <w:t>日内签</w:t>
      </w:r>
      <w:r>
        <w:rPr>
          <w:rFonts w:hint="eastAsia" w:ascii="宋体" w:hAnsi="宋体" w:eastAsia="宋体" w:cs="宋体"/>
          <w:color w:val="000000" w:themeColor="text1"/>
          <w:sz w:val="24"/>
          <w:szCs w:val="24"/>
          <w:highlight w:val="none"/>
          <w:lang w:val="en-US" w:eastAsia="zh-CN"/>
          <w14:textFill>
            <w14:solidFill>
              <w14:schemeClr w14:val="tx1"/>
            </w14:solidFill>
          </w14:textFill>
        </w:rPr>
        <w:t>订采购合同。</w:t>
      </w:r>
    </w:p>
    <w:p w14:paraId="41C09D35">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8.送货时间：合同签订后，中标人在</w:t>
      </w:r>
      <w:r>
        <w:rPr>
          <w:rFonts w:hint="eastAsia" w:ascii="宋体" w:hAnsi="宋体" w:eastAsia="宋体" w:cs="宋体"/>
          <w:color w:val="000000" w:themeColor="text1"/>
          <w:sz w:val="24"/>
          <w:szCs w:val="24"/>
          <w:highlight w:val="none"/>
          <w:lang w:val="en-US" w:eastAsia="zh-CN"/>
          <w14:textFill>
            <w14:solidFill>
              <w14:schemeClr w14:val="tx1"/>
            </w14:solidFill>
          </w14:textFill>
        </w:rPr>
        <w:t>在接到</w:t>
      </w:r>
      <w:r>
        <w:rPr>
          <w:rFonts w:hint="eastAsia" w:ascii="宋体" w:hAnsi="宋体" w:cs="宋体"/>
          <w:color w:val="000000" w:themeColor="text1"/>
          <w:sz w:val="24"/>
          <w:szCs w:val="24"/>
          <w:highlight w:val="none"/>
          <w:lang w:val="en-US" w:eastAsia="zh-CN"/>
          <w14:textFill>
            <w14:solidFill>
              <w14:schemeClr w14:val="tx1"/>
            </w14:solidFill>
          </w14:textFill>
        </w:rPr>
        <w:t>采购人的</w:t>
      </w:r>
      <w:r>
        <w:rPr>
          <w:rFonts w:hint="eastAsia" w:ascii="宋体" w:hAnsi="宋体" w:eastAsia="宋体" w:cs="宋体"/>
          <w:color w:val="000000" w:themeColor="text1"/>
          <w:sz w:val="24"/>
          <w:szCs w:val="24"/>
          <w:highlight w:val="none"/>
          <w:lang w:val="en-US" w:eastAsia="zh-CN"/>
          <w14:textFill>
            <w14:solidFill>
              <w14:schemeClr w14:val="tx1"/>
            </w14:solidFill>
          </w14:textFill>
        </w:rPr>
        <w:t>送货通知后30天内送达（含节假日）。</w:t>
      </w:r>
    </w:p>
    <w:p w14:paraId="5E61D107">
      <w:pPr>
        <w:spacing w:line="44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lang w:val="en-US" w:eastAsia="zh-CN"/>
          <w14:textFill>
            <w14:solidFill>
              <w14:schemeClr w14:val="tx1"/>
            </w14:solidFill>
          </w14:textFill>
        </w:rPr>
        <w:t>付款方式</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全部货物送达指定地点、安装调试并验收合格后，双方签署验收报告，乙方开具全额发票给甲方，甲方收到发票后</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0</w:t>
      </w:r>
      <w:r>
        <w:rPr>
          <w:rFonts w:hint="eastAsia" w:ascii="宋体" w:hAnsi="宋体" w:eastAsia="宋体" w:cs="宋体"/>
          <w:color w:val="000000" w:themeColor="text1"/>
          <w:sz w:val="24"/>
          <w:szCs w:val="24"/>
          <w:highlight w:val="none"/>
          <w:lang w:val="en-US" w:eastAsia="zh-CN"/>
          <w14:textFill>
            <w14:solidFill>
              <w14:schemeClr w14:val="tx1"/>
            </w14:solidFill>
          </w14:textFill>
        </w:rPr>
        <w:t>个工作日内按总合同金额的90%对公转账到乙方账户。验收合格第 12个月后，甲方收到乙方的请款材料后10个工作日内，按总合同金额的10%对公转账到乙方账户（不计利息）。</w:t>
      </w:r>
    </w:p>
    <w:sectPr>
      <w:pgSz w:w="11906" w:h="16838"/>
      <w:pgMar w:top="1440" w:right="1800"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A7CCB6"/>
    <w:multiLevelType w:val="singleLevel"/>
    <w:tmpl w:val="94A7CCB6"/>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3NmJlNDMwNzg2ZTBiZDMwYzU4YWNjNjg1MTljNTYifQ=="/>
    <w:docVar w:name="KY_MEDREF_DOCUID" w:val="{642EBB7A-05DF-4F7F-990F-180E42AE779D}"/>
    <w:docVar w:name="KY_MEDREF_VERSION" w:val="3"/>
  </w:docVars>
  <w:rsids>
    <w:rsidRoot w:val="004C7EB2"/>
    <w:rsid w:val="00066185"/>
    <w:rsid w:val="00080292"/>
    <w:rsid w:val="0008196D"/>
    <w:rsid w:val="00095D83"/>
    <w:rsid w:val="000A6C18"/>
    <w:rsid w:val="000B7E2D"/>
    <w:rsid w:val="000E1AA6"/>
    <w:rsid w:val="00204183"/>
    <w:rsid w:val="00241CD6"/>
    <w:rsid w:val="002C7944"/>
    <w:rsid w:val="003C3AB5"/>
    <w:rsid w:val="003E7DC1"/>
    <w:rsid w:val="00474079"/>
    <w:rsid w:val="004C7EB2"/>
    <w:rsid w:val="004D08F5"/>
    <w:rsid w:val="004D2825"/>
    <w:rsid w:val="004F5A76"/>
    <w:rsid w:val="005007DD"/>
    <w:rsid w:val="005D491D"/>
    <w:rsid w:val="00654BC6"/>
    <w:rsid w:val="00684BD7"/>
    <w:rsid w:val="006E5543"/>
    <w:rsid w:val="00707A97"/>
    <w:rsid w:val="007814EA"/>
    <w:rsid w:val="007A5910"/>
    <w:rsid w:val="007F6F70"/>
    <w:rsid w:val="00825B15"/>
    <w:rsid w:val="008553F8"/>
    <w:rsid w:val="008A5DC5"/>
    <w:rsid w:val="008D3A6F"/>
    <w:rsid w:val="009530DC"/>
    <w:rsid w:val="00A2105C"/>
    <w:rsid w:val="00A44D5C"/>
    <w:rsid w:val="00A83F43"/>
    <w:rsid w:val="00AC0EA5"/>
    <w:rsid w:val="00B8409A"/>
    <w:rsid w:val="00BA3521"/>
    <w:rsid w:val="00C33384"/>
    <w:rsid w:val="00C762C8"/>
    <w:rsid w:val="00C97AD7"/>
    <w:rsid w:val="00CC2DEE"/>
    <w:rsid w:val="00CD27A2"/>
    <w:rsid w:val="00D2685D"/>
    <w:rsid w:val="00D41CB5"/>
    <w:rsid w:val="00D57065"/>
    <w:rsid w:val="00DB5864"/>
    <w:rsid w:val="00DC4B54"/>
    <w:rsid w:val="00E14108"/>
    <w:rsid w:val="00E72BBE"/>
    <w:rsid w:val="00EB1C9B"/>
    <w:rsid w:val="00ED5546"/>
    <w:rsid w:val="01124992"/>
    <w:rsid w:val="01465965"/>
    <w:rsid w:val="01CB43E2"/>
    <w:rsid w:val="02615DF0"/>
    <w:rsid w:val="03912F41"/>
    <w:rsid w:val="03B56736"/>
    <w:rsid w:val="03D13D53"/>
    <w:rsid w:val="044A30F0"/>
    <w:rsid w:val="052132CD"/>
    <w:rsid w:val="08297BEC"/>
    <w:rsid w:val="09B21485"/>
    <w:rsid w:val="0A795D65"/>
    <w:rsid w:val="0B76502B"/>
    <w:rsid w:val="0CC05EEA"/>
    <w:rsid w:val="10637064"/>
    <w:rsid w:val="10C97A40"/>
    <w:rsid w:val="111B64C0"/>
    <w:rsid w:val="122B15C9"/>
    <w:rsid w:val="12C97D37"/>
    <w:rsid w:val="13960100"/>
    <w:rsid w:val="1ABD44C1"/>
    <w:rsid w:val="1E480248"/>
    <w:rsid w:val="21B710F4"/>
    <w:rsid w:val="2218153E"/>
    <w:rsid w:val="25253091"/>
    <w:rsid w:val="25773183"/>
    <w:rsid w:val="26431704"/>
    <w:rsid w:val="26CD4569"/>
    <w:rsid w:val="27B32CC2"/>
    <w:rsid w:val="27B859FB"/>
    <w:rsid w:val="27D01D3D"/>
    <w:rsid w:val="28110468"/>
    <w:rsid w:val="282D0E91"/>
    <w:rsid w:val="283D6BE2"/>
    <w:rsid w:val="29D137E8"/>
    <w:rsid w:val="2E44559E"/>
    <w:rsid w:val="311834AF"/>
    <w:rsid w:val="318469E5"/>
    <w:rsid w:val="3194337D"/>
    <w:rsid w:val="31A31F0E"/>
    <w:rsid w:val="32560D2E"/>
    <w:rsid w:val="32B64298"/>
    <w:rsid w:val="349F4C0E"/>
    <w:rsid w:val="352073D1"/>
    <w:rsid w:val="371F401C"/>
    <w:rsid w:val="3737378F"/>
    <w:rsid w:val="37985945"/>
    <w:rsid w:val="3806606D"/>
    <w:rsid w:val="3837515E"/>
    <w:rsid w:val="38A345A1"/>
    <w:rsid w:val="397701BE"/>
    <w:rsid w:val="3B300C9D"/>
    <w:rsid w:val="3B546CEC"/>
    <w:rsid w:val="3B8E1A85"/>
    <w:rsid w:val="3BB74C12"/>
    <w:rsid w:val="3C115BFC"/>
    <w:rsid w:val="3CE63F46"/>
    <w:rsid w:val="3D8E254A"/>
    <w:rsid w:val="3DA9265A"/>
    <w:rsid w:val="3DFF4FDB"/>
    <w:rsid w:val="3ED71449"/>
    <w:rsid w:val="3F7153F9"/>
    <w:rsid w:val="3F8769CB"/>
    <w:rsid w:val="41366ED0"/>
    <w:rsid w:val="41906C30"/>
    <w:rsid w:val="43F01718"/>
    <w:rsid w:val="454548C8"/>
    <w:rsid w:val="48D85C25"/>
    <w:rsid w:val="48F13107"/>
    <w:rsid w:val="4B08348E"/>
    <w:rsid w:val="4B0C247A"/>
    <w:rsid w:val="4B464623"/>
    <w:rsid w:val="4C1C5576"/>
    <w:rsid w:val="4D442BFB"/>
    <w:rsid w:val="4D637AFB"/>
    <w:rsid w:val="4D781BD4"/>
    <w:rsid w:val="4DA009DA"/>
    <w:rsid w:val="4DA97930"/>
    <w:rsid w:val="4DA97E72"/>
    <w:rsid w:val="4DB9683E"/>
    <w:rsid w:val="4F3A5808"/>
    <w:rsid w:val="4FC91864"/>
    <w:rsid w:val="501B2EB7"/>
    <w:rsid w:val="50502E0F"/>
    <w:rsid w:val="52BA27BB"/>
    <w:rsid w:val="55200FFC"/>
    <w:rsid w:val="55686E01"/>
    <w:rsid w:val="57325016"/>
    <w:rsid w:val="589150FF"/>
    <w:rsid w:val="59E22D24"/>
    <w:rsid w:val="5D1A4465"/>
    <w:rsid w:val="5F97635E"/>
    <w:rsid w:val="60D333C6"/>
    <w:rsid w:val="6131633F"/>
    <w:rsid w:val="618E692A"/>
    <w:rsid w:val="622F0AD0"/>
    <w:rsid w:val="625647C0"/>
    <w:rsid w:val="63B514A9"/>
    <w:rsid w:val="643D19DF"/>
    <w:rsid w:val="655B1BDC"/>
    <w:rsid w:val="674621E7"/>
    <w:rsid w:val="67EF0C5A"/>
    <w:rsid w:val="689C6573"/>
    <w:rsid w:val="698575F6"/>
    <w:rsid w:val="69C80215"/>
    <w:rsid w:val="6A513DD5"/>
    <w:rsid w:val="6ACF6669"/>
    <w:rsid w:val="6BF540D9"/>
    <w:rsid w:val="6C5B5154"/>
    <w:rsid w:val="6C8558A5"/>
    <w:rsid w:val="6CCD03A3"/>
    <w:rsid w:val="6D29653F"/>
    <w:rsid w:val="6DD0797D"/>
    <w:rsid w:val="6EB160B4"/>
    <w:rsid w:val="6F4F4560"/>
    <w:rsid w:val="704020FA"/>
    <w:rsid w:val="70904E30"/>
    <w:rsid w:val="71754026"/>
    <w:rsid w:val="74B5471E"/>
    <w:rsid w:val="75925EBA"/>
    <w:rsid w:val="764D5571"/>
    <w:rsid w:val="77C17FC5"/>
    <w:rsid w:val="77E41C8F"/>
    <w:rsid w:val="77FF632E"/>
    <w:rsid w:val="78604049"/>
    <w:rsid w:val="7B036868"/>
    <w:rsid w:val="7CA915F3"/>
    <w:rsid w:val="7D7358BD"/>
    <w:rsid w:val="7DBD122E"/>
    <w:rsid w:val="7DC73E5B"/>
    <w:rsid w:val="7DFB4CAA"/>
    <w:rsid w:val="7E884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unhideWhenUsed/>
    <w:qFormat/>
    <w:uiPriority w:val="99"/>
    <w:pPr>
      <w:spacing w:line="360" w:lineRule="auto"/>
      <w:ind w:firstLine="1648"/>
    </w:pPr>
    <w:rPr>
      <w:rFonts w:ascii="Arial Unicode MS" w:hAnsi="Arial Unicode MS" w:cs="Arial Unicode MS"/>
      <w:color w:val="000000"/>
      <w:sz w:val="32"/>
      <w:szCs w:val="32"/>
      <w:u w:color="000000"/>
    </w:rPr>
  </w:style>
  <w:style w:type="paragraph" w:styleId="3">
    <w:name w:val="annotation text"/>
    <w:basedOn w:val="1"/>
    <w:link w:val="18"/>
    <w:qFormat/>
    <w:uiPriority w:val="99"/>
    <w:pPr>
      <w:jc w:val="left"/>
    </w:pPr>
  </w:style>
  <w:style w:type="paragraph" w:styleId="4">
    <w:name w:val="Plain Text"/>
    <w:basedOn w:val="1"/>
    <w:link w:val="20"/>
    <w:qFormat/>
    <w:uiPriority w:val="99"/>
    <w:rPr>
      <w:rFonts w:ascii="宋体" w:hAnsi="Courier New"/>
    </w:rPr>
  </w:style>
  <w:style w:type="paragraph" w:styleId="5">
    <w:name w:val="footer"/>
    <w:basedOn w:val="1"/>
    <w:link w:val="24"/>
    <w:unhideWhenUsed/>
    <w:qFormat/>
    <w:uiPriority w:val="99"/>
    <w:pPr>
      <w:tabs>
        <w:tab w:val="center" w:pos="4153"/>
        <w:tab w:val="right" w:pos="8306"/>
      </w:tabs>
      <w:snapToGrid w:val="0"/>
      <w:jc w:val="left"/>
    </w:pPr>
    <w:rPr>
      <w:sz w:val="18"/>
      <w:szCs w:val="18"/>
    </w:rPr>
  </w:style>
  <w:style w:type="paragraph" w:styleId="6">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unhideWhenUsed/>
    <w:qFormat/>
    <w:uiPriority w:val="39"/>
    <w:pPr>
      <w:tabs>
        <w:tab w:val="right" w:leader="dot" w:pos="8398"/>
      </w:tabs>
      <w:spacing w:before="120" w:after="120"/>
      <w:ind w:firstLine="240" w:firstLineChars="100"/>
      <w:jc w:val="left"/>
    </w:pPr>
    <w:rPr>
      <w:rFonts w:ascii="宋体" w:hAnsi="宋体"/>
      <w:b/>
      <w:bCs/>
      <w:caps/>
      <w:sz w:val="24"/>
    </w:rPr>
  </w:style>
  <w:style w:type="paragraph" w:styleId="8">
    <w:name w:val="Body Text Indent 3"/>
    <w:basedOn w:val="1"/>
    <w:semiHidden/>
    <w:unhideWhenUsed/>
    <w:qFormat/>
    <w:uiPriority w:val="99"/>
    <w:pPr>
      <w:ind w:firstLine="420"/>
    </w:pPr>
    <w:rPr>
      <w:color w:val="000000"/>
    </w:rPr>
  </w:style>
  <w:style w:type="paragraph" w:styleId="9">
    <w:name w:val="Normal (Web)"/>
    <w:basedOn w:val="1"/>
    <w:semiHidden/>
    <w:unhideWhenUsed/>
    <w:qFormat/>
    <w:uiPriority w:val="99"/>
    <w:pPr>
      <w:widowControl/>
      <w:spacing w:before="100" w:beforeAutospacing="1" w:after="100" w:afterAutospacing="1"/>
      <w:jc w:val="left"/>
    </w:pPr>
    <w:rPr>
      <w:rFonts w:ascii="Arial Unicode MS" w:hAnsi="Arial Unicode MS" w:eastAsia="Arial Unicode MS" w:cs="Arial Unicode MS"/>
      <w:color w:val="000000"/>
      <w:kern w:val="0"/>
      <w:sz w:val="24"/>
      <w:szCs w:val="24"/>
    </w:rPr>
  </w:style>
  <w:style w:type="paragraph" w:styleId="10">
    <w:name w:val="annotation subject"/>
    <w:basedOn w:val="3"/>
    <w:next w:val="3"/>
    <w:link w:val="19"/>
    <w:semiHidden/>
    <w:unhideWhenUsed/>
    <w:qFormat/>
    <w:uiPriority w:val="99"/>
    <w:rPr>
      <w:b/>
      <w:bCs/>
    </w:rPr>
  </w:style>
  <w:style w:type="table" w:styleId="12">
    <w:name w:val="Table Grid"/>
    <w:basedOn w:val="11"/>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semiHidden/>
    <w:qFormat/>
    <w:uiPriority w:val="99"/>
    <w:rPr>
      <w:sz w:val="21"/>
      <w:szCs w:val="21"/>
    </w:rPr>
  </w:style>
  <w:style w:type="paragraph" w:customStyle="1" w:styleId="15">
    <w:name w:val="Default"/>
    <w:next w:val="16"/>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1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17">
    <w:name w:val="批注文字 字符"/>
    <w:basedOn w:val="13"/>
    <w:qFormat/>
    <w:uiPriority w:val="99"/>
    <w:rPr>
      <w:rFonts w:ascii="Times New Roman" w:hAnsi="Times New Roman" w:eastAsia="宋体" w:cs="Times New Roman"/>
      <w:szCs w:val="21"/>
    </w:rPr>
  </w:style>
  <w:style w:type="character" w:customStyle="1" w:styleId="18">
    <w:name w:val="批注文字 字符1"/>
    <w:link w:val="3"/>
    <w:semiHidden/>
    <w:qFormat/>
    <w:uiPriority w:val="99"/>
    <w:rPr>
      <w:rFonts w:ascii="Times New Roman" w:hAnsi="Times New Roman" w:eastAsia="宋体" w:cs="Times New Roman"/>
      <w:szCs w:val="21"/>
    </w:rPr>
  </w:style>
  <w:style w:type="character" w:customStyle="1" w:styleId="19">
    <w:name w:val="批注主题 字符"/>
    <w:basedOn w:val="18"/>
    <w:link w:val="10"/>
    <w:semiHidden/>
    <w:qFormat/>
    <w:uiPriority w:val="99"/>
    <w:rPr>
      <w:rFonts w:ascii="Times New Roman" w:hAnsi="Times New Roman" w:eastAsia="宋体" w:cs="Times New Roman"/>
      <w:b/>
      <w:bCs/>
      <w:szCs w:val="21"/>
    </w:rPr>
  </w:style>
  <w:style w:type="character" w:customStyle="1" w:styleId="20">
    <w:name w:val="纯文本 字符"/>
    <w:basedOn w:val="13"/>
    <w:link w:val="4"/>
    <w:qFormat/>
    <w:uiPriority w:val="99"/>
    <w:rPr>
      <w:rFonts w:ascii="宋体" w:hAnsi="Courier New" w:eastAsia="宋体" w:cs="Times New Roman"/>
      <w:szCs w:val="21"/>
    </w:rPr>
  </w:style>
  <w:style w:type="paragraph" w:customStyle="1" w:styleId="21">
    <w:name w:val="表格文字"/>
    <w:basedOn w:val="1"/>
    <w:qFormat/>
    <w:uiPriority w:val="0"/>
    <w:pPr>
      <w:spacing w:before="25" w:after="25"/>
      <w:jc w:val="left"/>
    </w:pPr>
    <w:rPr>
      <w:rFonts w:ascii="Calibri" w:hAnsi="Calibri"/>
      <w:bCs/>
      <w:spacing w:val="10"/>
      <w:kern w:val="0"/>
      <w:sz w:val="24"/>
      <w:szCs w:val="20"/>
    </w:rPr>
  </w:style>
  <w:style w:type="character" w:customStyle="1" w:styleId="22">
    <w:name w:val="fontstyle01"/>
    <w:qFormat/>
    <w:uiPriority w:val="0"/>
    <w:rPr>
      <w:rFonts w:hint="eastAsia" w:ascii="宋体" w:hAnsi="宋体" w:eastAsia="宋体"/>
      <w:color w:val="000000"/>
      <w:sz w:val="24"/>
      <w:szCs w:val="24"/>
    </w:rPr>
  </w:style>
  <w:style w:type="character" w:customStyle="1" w:styleId="23">
    <w:name w:val="页眉 字符"/>
    <w:basedOn w:val="13"/>
    <w:link w:val="6"/>
    <w:qFormat/>
    <w:uiPriority w:val="99"/>
    <w:rPr>
      <w:rFonts w:ascii="Times New Roman" w:hAnsi="Times New Roman" w:eastAsia="宋体" w:cs="Times New Roman"/>
      <w:sz w:val="18"/>
      <w:szCs w:val="18"/>
    </w:rPr>
  </w:style>
  <w:style w:type="character" w:customStyle="1" w:styleId="24">
    <w:name w:val="页脚 字符"/>
    <w:basedOn w:val="13"/>
    <w:link w:val="5"/>
    <w:qFormat/>
    <w:uiPriority w:val="99"/>
    <w:rPr>
      <w:rFonts w:ascii="Times New Roman" w:hAnsi="Times New Roman" w:eastAsia="宋体" w:cs="Times New Roman"/>
      <w:sz w:val="18"/>
      <w:szCs w:val="18"/>
    </w:rPr>
  </w:style>
  <w:style w:type="character" w:styleId="25">
    <w:name w:val="Placeholder Text"/>
    <w:basedOn w:val="13"/>
    <w:semiHidden/>
    <w:qFormat/>
    <w:uiPriority w:val="99"/>
    <w:rPr>
      <w:color w:val="808080"/>
    </w:rPr>
  </w:style>
  <w:style w:type="paragraph" w:customStyle="1" w:styleId="26">
    <w:name w:val="样式1"/>
    <w:basedOn w:val="1"/>
    <w:qFormat/>
    <w:uiPriority w:val="0"/>
  </w:style>
  <w:style w:type="paragraph" w:customStyle="1" w:styleId="27">
    <w:name w:val="Other|1"/>
    <w:basedOn w:val="1"/>
    <w:qFormat/>
    <w:uiPriority w:val="0"/>
    <w:rPr>
      <w:sz w:val="20"/>
      <w:szCs w:val="20"/>
      <w:lang w:val="zh-TW" w:eastAsia="zh-TW" w:bidi="zh-TW"/>
    </w:rPr>
  </w:style>
  <w:style w:type="character" w:customStyle="1" w:styleId="28">
    <w:name w:val="font11"/>
    <w:basedOn w:val="13"/>
    <w:qFormat/>
    <w:uiPriority w:val="0"/>
    <w:rPr>
      <w:rFonts w:ascii="Arial" w:hAnsi="Arial" w:cs="Arial"/>
      <w:color w:val="000000"/>
      <w:sz w:val="24"/>
      <w:szCs w:val="24"/>
      <w:u w:val="none"/>
    </w:rPr>
  </w:style>
  <w:style w:type="character" w:customStyle="1" w:styleId="29">
    <w:name w:val="font9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c1d1734-d98a-4bf6-91c9-62d55584e8cd}"/>
        <w:style w:val=""/>
        <w:category>
          <w:name w:val="常规"/>
          <w:gallery w:val="placeholder"/>
        </w:category>
        <w:types>
          <w:type w:val="bbPlcHdr"/>
        </w:types>
        <w:behaviors>
          <w:behavior w:val="content"/>
        </w:behaviors>
        <w:description w:val=""/>
        <w:guid w:val="{0c1d1734-d98a-4bf6-91c9-62d55584e8cd}"/>
      </w:docPartPr>
      <w:docPartBody>
        <w:p w14:paraId="3C87A7C7">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85A"/>
    <w:rsid w:val="00013D5D"/>
    <w:rsid w:val="00102898"/>
    <w:rsid w:val="001B2DBA"/>
    <w:rsid w:val="0048475D"/>
    <w:rsid w:val="007311C2"/>
    <w:rsid w:val="0080285A"/>
    <w:rsid w:val="00F22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60F420097394E1B8F5C294379C713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D4063EF51294538A22B0E574C99417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42B2A-350E-434F-87F3-8C099024305F}">
  <ds:schemaRefs/>
</ds:datastoreItem>
</file>

<file path=docProps/app.xml><?xml version="1.0" encoding="utf-8"?>
<Properties xmlns="http://schemas.openxmlformats.org/officeDocument/2006/extended-properties" xmlns:vt="http://schemas.openxmlformats.org/officeDocument/2006/docPropsVTypes">
  <Template>Normal</Template>
  <Pages>4</Pages>
  <Words>2203</Words>
  <Characters>2457</Characters>
  <Lines>26</Lines>
  <Paragraphs>7</Paragraphs>
  <TotalTime>0</TotalTime>
  <ScaleCrop>false</ScaleCrop>
  <LinksUpToDate>false</LinksUpToDate>
  <CharactersWithSpaces>2476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2021-01-18T01:58:00Z</dcterms:created>
  <dc:creator>c k</dc:creator>
  <cp:lastModifiedBy>老阳</cp:lastModifiedBy>
  <cp:lastPrinted>2024-03-15T08:34:00Z</cp:lastPrinted>
  <dcterms:modified xsi:type="dcterms:W3CDTF">2026-08-03T03:38:20Z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512C519012F149A3BFF7FD1C34E8D64A_13</vt:lpwstr>
  </property>
  <property fmtid="{D5CDD505-2E9C-101B-9397-08002B2CF9AE}" pid="4" name="KSOTemplateDocerSaveRecord">
    <vt:lpwstr>eyJoZGlkIjoiOTZkZDVmNzBiZGNiZTJiMTNjOTFhZTJiYjI4ZWQ4OTAiLCJ1c2VySWQiOiI0MzU5NDIxNTAifQ==</vt:lpwstr>
  </property>
</Properties>
</file>