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A62DC">
      <w:pPr>
        <w:spacing w:line="44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附件1：</w:t>
      </w:r>
    </w:p>
    <w:p w14:paraId="10229C26">
      <w:pPr>
        <w:pStyle w:val="2"/>
        <w:rPr>
          <w:rFonts w:hint="default"/>
          <w:i w:val="0"/>
          <w:iCs w:val="0"/>
          <w:sz w:val="36"/>
          <w:szCs w:val="36"/>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 w:val="0"/>
          <w:iCs w:val="0"/>
          <w:color w:val="auto"/>
          <w:sz w:val="36"/>
          <w:szCs w:val="36"/>
          <w:highlight w:val="none"/>
          <w:lang w:val="en-US" w:eastAsia="zh-CN"/>
        </w:rPr>
        <w:t>采购需求</w:t>
      </w:r>
    </w:p>
    <w:p w14:paraId="23611A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p>
    <w:p w14:paraId="6AFCAE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说明：1.所有技术规格参数要求均为实质性条款，必须满足或者优于，否则其投标文件无效</w:t>
      </w:r>
    </w:p>
    <w:p w14:paraId="2E0D880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2.供应商必须自行为其竞标产品侵犯他人的知识产权或者专利成果的行为承担相应法律责任。</w:t>
      </w:r>
    </w:p>
    <w:p w14:paraId="5629626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一、采购要求、技术规格参数、质量标准和要求</w:t>
      </w:r>
    </w:p>
    <w:p w14:paraId="4D0BC7A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（一）采购清单</w:t>
      </w:r>
    </w:p>
    <w:tbl>
      <w:tblPr>
        <w:tblStyle w:val="10"/>
        <w:tblW w:w="8822"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61"/>
        <w:gridCol w:w="1200"/>
        <w:gridCol w:w="1703"/>
        <w:gridCol w:w="3112"/>
      </w:tblGrid>
      <w:tr w14:paraId="7F42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46" w:type="dxa"/>
          </w:tcPr>
          <w:p w14:paraId="30D57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961" w:type="dxa"/>
          </w:tcPr>
          <w:p w14:paraId="3F023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w:t>
            </w:r>
          </w:p>
        </w:tc>
        <w:tc>
          <w:tcPr>
            <w:tcW w:w="1200" w:type="dxa"/>
          </w:tcPr>
          <w:p w14:paraId="4C3F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1703" w:type="dxa"/>
          </w:tcPr>
          <w:p w14:paraId="189D9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w:t>
            </w:r>
            <w:r>
              <w:rPr>
                <w:rFonts w:hint="eastAsia" w:ascii="宋体" w:hAnsi="宋体" w:cs="宋体"/>
                <w:color w:val="auto"/>
                <w:sz w:val="24"/>
                <w:szCs w:val="24"/>
                <w:highlight w:val="none"/>
                <w:lang w:val="en-US" w:eastAsia="zh-CN"/>
              </w:rPr>
              <w:t>（元）</w:t>
            </w:r>
          </w:p>
        </w:tc>
        <w:tc>
          <w:tcPr>
            <w:tcW w:w="3112" w:type="dxa"/>
          </w:tcPr>
          <w:p w14:paraId="223BB1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3AE7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46" w:type="dxa"/>
          </w:tcPr>
          <w:p w14:paraId="0BBD0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240" w:firstLineChars="1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61" w:type="dxa"/>
          </w:tcPr>
          <w:p w14:paraId="165A7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凝血分析仪</w:t>
            </w:r>
          </w:p>
        </w:tc>
        <w:tc>
          <w:tcPr>
            <w:tcW w:w="1200" w:type="dxa"/>
          </w:tcPr>
          <w:p w14:paraId="116CB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台</w:t>
            </w:r>
          </w:p>
        </w:tc>
        <w:tc>
          <w:tcPr>
            <w:tcW w:w="1703" w:type="dxa"/>
          </w:tcPr>
          <w:p w14:paraId="1003A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30000.00</w:t>
            </w:r>
          </w:p>
        </w:tc>
        <w:tc>
          <w:tcPr>
            <w:tcW w:w="3112" w:type="dxa"/>
          </w:tcPr>
          <w:p w14:paraId="6A4280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详见技术参数要求</w:t>
            </w:r>
          </w:p>
        </w:tc>
      </w:tr>
    </w:tbl>
    <w:p w14:paraId="01F1959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（二）技术规格参数要求</w:t>
      </w:r>
    </w:p>
    <w:p w14:paraId="429109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1.搭载离心式微流控技术平台；</w:t>
      </w:r>
    </w:p>
    <w:p w14:paraId="6E8C90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2.检测方法：光学法、免疫比浊法；</w:t>
      </w:r>
    </w:p>
    <w:p w14:paraId="169F45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3.检测项目：PT、APTT、FIB、TT、D-Dimer、ACT等；</w:t>
      </w:r>
    </w:p>
    <w:p w14:paraId="37C4D3D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4.样本类型：血浆、全血；</w:t>
      </w:r>
    </w:p>
    <w:p w14:paraId="0505BED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5.可免样本前处理，全血上机、机内离心、血浆反应；</w:t>
      </w:r>
    </w:p>
    <w:p w14:paraId="1D4561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6.免额外定标，定标信息预置到试剂二维码中，扫描二维码即可完成定标；</w:t>
      </w:r>
    </w:p>
    <w:p w14:paraId="1C6284A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7.冻干单人份扇形盘试剂（凝血四项检测冻干试剂盘、凝血五项检测冻干试剂盘）；</w:t>
      </w:r>
    </w:p>
    <w:p w14:paraId="1E4ED13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8.重复性：</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3964"/>
        <w:gridCol w:w="2906"/>
      </w:tblGrid>
      <w:tr w14:paraId="30ED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restart"/>
            <w:vAlign w:val="center"/>
          </w:tcPr>
          <w:p w14:paraId="50BC0BA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w:t>
            </w:r>
          </w:p>
        </w:tc>
        <w:tc>
          <w:tcPr>
            <w:tcW w:w="6870" w:type="dxa"/>
            <w:gridSpan w:val="2"/>
          </w:tcPr>
          <w:p w14:paraId="59190BF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CV</w:t>
            </w:r>
          </w:p>
        </w:tc>
      </w:tr>
      <w:tr w14:paraId="5EC9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701" w:type="dxa"/>
            <w:vMerge w:val="continue"/>
          </w:tcPr>
          <w:p w14:paraId="108AB1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p>
        </w:tc>
        <w:tc>
          <w:tcPr>
            <w:tcW w:w="3964" w:type="dxa"/>
          </w:tcPr>
          <w:p w14:paraId="33C8763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正常样本</w:t>
            </w:r>
          </w:p>
        </w:tc>
        <w:tc>
          <w:tcPr>
            <w:tcW w:w="2906" w:type="dxa"/>
          </w:tcPr>
          <w:p w14:paraId="2C6CA3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异常样本</w:t>
            </w:r>
          </w:p>
        </w:tc>
      </w:tr>
      <w:tr w14:paraId="3A88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701" w:type="dxa"/>
          </w:tcPr>
          <w:p w14:paraId="6E5567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PT</w:t>
            </w:r>
          </w:p>
        </w:tc>
        <w:tc>
          <w:tcPr>
            <w:tcW w:w="3964" w:type="dxa"/>
          </w:tcPr>
          <w:p w14:paraId="5D694EB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≤3.0%（样本要求：11s-14s）</w:t>
            </w:r>
          </w:p>
        </w:tc>
        <w:tc>
          <w:tcPr>
            <w:tcW w:w="2906" w:type="dxa"/>
          </w:tcPr>
          <w:p w14:paraId="2BFD96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≤8.0%</w:t>
            </w:r>
          </w:p>
        </w:tc>
      </w:tr>
      <w:tr w14:paraId="695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AA363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APTT</w:t>
            </w:r>
          </w:p>
        </w:tc>
        <w:tc>
          <w:tcPr>
            <w:tcW w:w="3964" w:type="dxa"/>
          </w:tcPr>
          <w:p w14:paraId="092F89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≤4.0%（样本要求：25s-37s）</w:t>
            </w:r>
          </w:p>
        </w:tc>
        <w:tc>
          <w:tcPr>
            <w:tcW w:w="2906" w:type="dxa"/>
          </w:tcPr>
          <w:p w14:paraId="7FC5FB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≤8.0%</w:t>
            </w:r>
          </w:p>
        </w:tc>
      </w:tr>
      <w:tr w14:paraId="5622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B0AE0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FIB</w:t>
            </w:r>
          </w:p>
        </w:tc>
        <w:tc>
          <w:tcPr>
            <w:tcW w:w="3964" w:type="dxa"/>
          </w:tcPr>
          <w:p w14:paraId="3B59B7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≤8.0%（样本要求：2g/L-4g/L）</w:t>
            </w:r>
          </w:p>
        </w:tc>
        <w:tc>
          <w:tcPr>
            <w:tcW w:w="2906" w:type="dxa"/>
          </w:tcPr>
          <w:p w14:paraId="7BE9DF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w:t>
            </w:r>
          </w:p>
        </w:tc>
      </w:tr>
      <w:tr w14:paraId="0579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7BBD80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TT</w:t>
            </w:r>
          </w:p>
        </w:tc>
        <w:tc>
          <w:tcPr>
            <w:tcW w:w="3964" w:type="dxa"/>
          </w:tcPr>
          <w:p w14:paraId="3000C2E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≤10.0%（样本要求：12s-16s）</w:t>
            </w:r>
          </w:p>
        </w:tc>
        <w:tc>
          <w:tcPr>
            <w:tcW w:w="2906" w:type="dxa"/>
          </w:tcPr>
          <w:p w14:paraId="2841F5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w:t>
            </w:r>
          </w:p>
        </w:tc>
      </w:tr>
      <w:tr w14:paraId="5894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1231A8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D-Dimer</w:t>
            </w:r>
          </w:p>
        </w:tc>
        <w:tc>
          <w:tcPr>
            <w:tcW w:w="3964" w:type="dxa"/>
          </w:tcPr>
          <w:p w14:paraId="2ABCCEE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w:t>
            </w:r>
          </w:p>
        </w:tc>
        <w:tc>
          <w:tcPr>
            <w:tcW w:w="2906" w:type="dxa"/>
          </w:tcPr>
          <w:p w14:paraId="285B7B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≤10.0%</w:t>
            </w:r>
          </w:p>
        </w:tc>
      </w:tr>
      <w:tr w14:paraId="2982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30FC90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ACT</w:t>
            </w:r>
          </w:p>
        </w:tc>
        <w:tc>
          <w:tcPr>
            <w:tcW w:w="3964" w:type="dxa"/>
          </w:tcPr>
          <w:p w14:paraId="126A14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≤10.0%</w:t>
            </w:r>
          </w:p>
        </w:tc>
        <w:tc>
          <w:tcPr>
            <w:tcW w:w="2906" w:type="dxa"/>
          </w:tcPr>
          <w:p w14:paraId="5ECE313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≤15.0%</w:t>
            </w:r>
          </w:p>
        </w:tc>
      </w:tr>
    </w:tbl>
    <w:p w14:paraId="09E2CF0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9.测量准确度，FIB测量的相对偏差不超过±10.0%；D-Dimer测量的相对偏差不超过±15.0%；</w:t>
      </w:r>
    </w:p>
    <w:p w14:paraId="00375B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10.光学结构：使用405nm、575mm、660mm波长</w:t>
      </w:r>
    </w:p>
    <w:p w14:paraId="5864A1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11.速度：产品恒定测速≥40 T/h；</w:t>
      </w:r>
    </w:p>
    <w:p w14:paraId="4D378A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12.TAT时间短，五项15min内出结果；</w:t>
      </w:r>
    </w:p>
    <w:p w14:paraId="441B6C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13.能自动添加稀释液；</w:t>
      </w:r>
    </w:p>
    <w:p w14:paraId="2B30679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14.通讯功能：USB接口、LAN接口、WiFi等；</w:t>
      </w:r>
    </w:p>
    <w:p w14:paraId="375B44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15.测量温度：37℃±1℃；</w:t>
      </w:r>
    </w:p>
    <w:p w14:paraId="0D87269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16.操作系统：Android5.1及以上版本；</w:t>
      </w:r>
    </w:p>
    <w:p w14:paraId="55CB16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17.自带报告打印功能；</w:t>
      </w:r>
    </w:p>
    <w:p w14:paraId="64DE00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18.支持单向LIS；</w:t>
      </w:r>
    </w:p>
    <w:p w14:paraId="43FD59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19.ACT检测</w:t>
      </w:r>
      <w:r>
        <w:rPr>
          <w:rFonts w:hint="eastAsia" w:ascii="宋体" w:hAnsi="宋体" w:cs="宋体"/>
          <w:color w:val="000000" w:themeColor="text1"/>
          <w:sz w:val="24"/>
          <w:szCs w:val="24"/>
          <w:highlight w:val="none"/>
          <w:lang w:val="en-US" w:eastAsia="zh-CN"/>
          <w14:textFill>
            <w14:solidFill>
              <w14:schemeClr w14:val="tx1"/>
            </w14:solidFill>
          </w14:textFill>
        </w:rPr>
        <w:t>最多</w:t>
      </w:r>
      <w:r>
        <w:rPr>
          <w:rFonts w:hint="eastAsia" w:ascii="宋体" w:hAnsi="宋体" w:eastAsia="宋体" w:cs="宋体"/>
          <w:color w:val="000000" w:themeColor="text1"/>
          <w:sz w:val="24"/>
          <w:szCs w:val="24"/>
          <w:highlight w:val="none"/>
          <w:lang w:val="en-US" w:eastAsia="zh-CN"/>
          <w14:textFill>
            <w14:solidFill>
              <w14:schemeClr w14:val="tx1"/>
            </w14:solidFill>
          </w14:textFill>
        </w:rPr>
        <w:t>只需30ul非抗凝全血。</w:t>
      </w:r>
    </w:p>
    <w:p w14:paraId="6883A2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20.配置使用的ACT检测试剂限价8</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lang w:val="en-US" w:eastAsia="zh-CN"/>
          <w14:textFill>
            <w14:solidFill>
              <w14:schemeClr w14:val="tx1"/>
            </w14:solidFill>
          </w14:textFill>
        </w:rPr>
        <w:t>元/人份。</w:t>
      </w:r>
    </w:p>
    <w:p w14:paraId="35F8C2E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二、商务要求：</w:t>
      </w:r>
    </w:p>
    <w:p w14:paraId="714764F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（一）安装要求</w:t>
      </w:r>
    </w:p>
    <w:p w14:paraId="13B072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1.交货前不允许提前开箱、调试;货物备齐后通知采购人对货物进行清点、核实，由采购人、成交人双方派代表当场开箱验货，确认没问题后，由双方代表签字，否则不予验收。</w:t>
      </w:r>
    </w:p>
    <w:p w14:paraId="18C0FF0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供应商需提交详细的安装计划和管理方案，包括但不限于设备到货后的开箱检查、搬运、安装位置选择、设备安装等内容。</w:t>
      </w:r>
    </w:p>
    <w:p w14:paraId="26E9A77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3.安装调试过程应遵循操作规程，并在完成后检查安装调试成果，确保产品达到采购的技术指标、使用条件及产品设备标准化安全管理。</w:t>
      </w:r>
    </w:p>
    <w:p w14:paraId="27C965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4.交货时，所有产品均严格按采购文件上的技术规格要求、成交供应商响应和承诺的技术参数及性能和国家有关标准进行验收，达不到实质性要求的视为产品验收不合格。</w:t>
      </w:r>
    </w:p>
    <w:p w14:paraId="3F01DF8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Fonts w:hint="default" w:ascii="宋体" w:hAnsi="宋体" w:eastAsia="宋体" w:cs="宋体"/>
          <w:b/>
          <w:bCs/>
          <w:color w:val="auto"/>
          <w:sz w:val="24"/>
          <w:szCs w:val="24"/>
          <w:highlight w:val="none"/>
          <w:lang w:val="en-US" w:eastAsia="zh-CN"/>
        </w:rPr>
        <w:t>本项目所有采购的设备设施凡涉及到需与</w:t>
      </w:r>
      <w:r>
        <w:rPr>
          <w:rFonts w:hint="eastAsia" w:ascii="宋体" w:hAnsi="宋体" w:eastAsia="宋体" w:cs="宋体"/>
          <w:b/>
          <w:bCs/>
          <w:color w:val="auto"/>
          <w:sz w:val="24"/>
          <w:szCs w:val="24"/>
          <w:highlight w:val="none"/>
          <w:lang w:val="en-US" w:eastAsia="zh-CN"/>
        </w:rPr>
        <w:t>采购人</w:t>
      </w:r>
      <w:r>
        <w:rPr>
          <w:rFonts w:hint="default" w:ascii="宋体" w:hAnsi="宋体" w:eastAsia="宋体" w:cs="宋体"/>
          <w:b/>
          <w:bCs/>
          <w:color w:val="auto"/>
          <w:sz w:val="24"/>
          <w:szCs w:val="24"/>
          <w:highlight w:val="none"/>
          <w:lang w:val="en-US" w:eastAsia="zh-CN"/>
        </w:rPr>
        <w:t>信息系统对接的，由中标供应商负责接入医院信息系统，</w:t>
      </w:r>
      <w:r>
        <w:rPr>
          <w:rFonts w:hint="eastAsia" w:ascii="宋体" w:hAnsi="宋体" w:eastAsia="宋体" w:cs="宋体"/>
          <w:b/>
          <w:bCs/>
          <w:color w:val="auto"/>
          <w:sz w:val="24"/>
          <w:szCs w:val="24"/>
          <w:highlight w:val="none"/>
          <w:lang w:val="en-US" w:eastAsia="zh-CN"/>
        </w:rPr>
        <w:t>采购人</w:t>
      </w:r>
      <w:r>
        <w:rPr>
          <w:rFonts w:hint="default" w:ascii="宋体" w:hAnsi="宋体" w:eastAsia="宋体" w:cs="宋体"/>
          <w:b/>
          <w:bCs/>
          <w:color w:val="auto"/>
          <w:sz w:val="24"/>
          <w:szCs w:val="24"/>
          <w:highlight w:val="none"/>
          <w:lang w:val="en-US" w:eastAsia="zh-CN"/>
        </w:rPr>
        <w:t>不额外</w:t>
      </w:r>
      <w:r>
        <w:rPr>
          <w:rFonts w:hint="eastAsia" w:ascii="宋体" w:hAnsi="宋体" w:eastAsia="宋体" w:cs="宋体"/>
          <w:b/>
          <w:bCs/>
          <w:color w:val="auto"/>
          <w:sz w:val="24"/>
          <w:szCs w:val="24"/>
          <w:highlight w:val="none"/>
          <w:lang w:val="en-US" w:eastAsia="zh-CN"/>
        </w:rPr>
        <w:t>支付任何</w:t>
      </w:r>
      <w:r>
        <w:rPr>
          <w:rFonts w:hint="default" w:ascii="宋体" w:hAnsi="宋体" w:eastAsia="宋体" w:cs="宋体"/>
          <w:b/>
          <w:bCs/>
          <w:color w:val="auto"/>
          <w:sz w:val="24"/>
          <w:szCs w:val="24"/>
          <w:highlight w:val="none"/>
          <w:lang w:val="en-US" w:eastAsia="zh-CN"/>
        </w:rPr>
        <w:t>费用。</w:t>
      </w:r>
      <w:r>
        <w:rPr>
          <w:rFonts w:hint="eastAsia" w:ascii="宋体" w:hAnsi="宋体" w:eastAsia="宋体" w:cs="宋体"/>
          <w:b/>
          <w:bCs/>
          <w:color w:val="auto"/>
          <w:sz w:val="24"/>
          <w:szCs w:val="24"/>
          <w:highlight w:val="none"/>
          <w:lang w:val="en-US" w:eastAsia="zh-CN"/>
        </w:rPr>
        <w:t xml:space="preserve"> </w:t>
      </w:r>
    </w:p>
    <w:p w14:paraId="7D08C5D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（二）产品要求</w:t>
      </w:r>
    </w:p>
    <w:p w14:paraId="4C9DFD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1.本项目支持创新产品、节能优化产品、环境标识产品、中小企业发展、支持采用本国产品等政府采购政策。</w:t>
      </w:r>
    </w:p>
    <w:p w14:paraId="4C8142E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2.投标产品必须是具备合法资质的制造商生产、生产日期为近半年的全新正品，并满足招标采购文件的要求，若产品在运输或安装过程中损坏或擦伤须无偿调换相同产品。</w:t>
      </w:r>
    </w:p>
    <w:p w14:paraId="3925323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3.投标人所投产品参数应同等或优于以上各项参数要求，产品、辅材及生产工艺符合国家相关规范。</w:t>
      </w:r>
    </w:p>
    <w:p w14:paraId="723B918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4.投标人应保证所提供的货物或其任何一部分均不会侵犯任何第三方的专利权、商标权等，如在使用过程中出现的一切经济和法律责任均由投标人负责。</w:t>
      </w:r>
    </w:p>
    <w:p w14:paraId="5CCCC4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医疗器械监督管理条例》（国务院令第739号）医疗器械分类管理要求具有有效的医疗器械生产许可证或医疗器械经营许可或者备案（按《医疗器械监督管理条例》免于经营备案和无需办理医疗器械经营许可或者备案的情形除外）（如产品为医疗器械的需设置要求）</w:t>
      </w:r>
    </w:p>
    <w:p w14:paraId="79274A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专用工具:如有专用工具，</w:t>
      </w: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lang w:val="en-US" w:eastAsia="zh-CN"/>
        </w:rPr>
        <w:t>应向</w:t>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lang w:val="en-US" w:eastAsia="zh-CN"/>
        </w:rPr>
        <w:t>提供设备维护的专用工具。</w:t>
      </w:r>
    </w:p>
    <w:p w14:paraId="67C2287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（三）售后服务和资质</w:t>
      </w:r>
    </w:p>
    <w:p w14:paraId="330961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1.质保期：设备安装完毕通过验收投入使用之日起</w:t>
      </w:r>
      <w:r>
        <w:rPr>
          <w:rFonts w:hint="eastAsia" w:ascii="宋体" w:hAnsi="宋体" w:eastAsia="宋体" w:cs="宋体"/>
          <w:color w:val="FF0000"/>
          <w:sz w:val="24"/>
          <w:szCs w:val="24"/>
          <w:highlight w:val="none"/>
          <w:u w:val="single"/>
          <w:lang w:val="en-US" w:eastAsia="zh-CN"/>
        </w:rPr>
        <w:t>不少于 3年</w:t>
      </w:r>
      <w:r>
        <w:rPr>
          <w:rFonts w:hint="eastAsia" w:ascii="宋体" w:hAnsi="宋体" w:eastAsia="宋体" w:cs="宋体"/>
          <w:color w:val="auto"/>
          <w:sz w:val="24"/>
          <w:szCs w:val="24"/>
          <w:highlight w:val="none"/>
          <w:lang w:val="en-US" w:eastAsia="zh-CN"/>
        </w:rPr>
        <w:t>。</w:t>
      </w:r>
    </w:p>
    <w:p w14:paraId="44E7CFD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2.投标人所投产品必须提供产品“三包”服务；定期安排相关人员回访进行质量跟踪；保证提供临床应用和售后技术服务支持方式；保修期后提供终身维修服务及配件供应；其他售后服务按厂家承诺实行。</w:t>
      </w:r>
    </w:p>
    <w:p w14:paraId="36E10A0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故障处理：质保期内，在使用过程中发现质量问题或故障时，须接到通知后24小时内派工程师到达用户现场及提供常用备件，按国家及行业标准对故障进行及时处理或更换，以保证采购单位的正常使用，所发生的一切费用由成交供应商负责。</w:t>
      </w:r>
    </w:p>
    <w:p w14:paraId="4FE1CE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（四）其他</w:t>
      </w:r>
    </w:p>
    <w:p w14:paraId="3DD970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1.签订合同后，30天内仪器设备安装调试结束并交付使用。投标人予以特别注意：如出现未能到期供货的情况，采购人有权单方终止合同的执行，所有的经济损失由逾期供货商单方承担。</w:t>
      </w:r>
    </w:p>
    <w:p w14:paraId="02636F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2.交货地点为：采购人广西壮族自治区桂东人民医院指定地点   </w:t>
      </w:r>
    </w:p>
    <w:p w14:paraId="0FA158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3.付款条件（进度和方式）：</w:t>
      </w:r>
    </w:p>
    <w:p w14:paraId="25EA0D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全部货物送达指定地点、安装调试并验收合格后，双方签署验收合格表单，中标人开具全额发票给采购人，采购人收到发票后10个工作日内按总合同金额的90%对公转账到中标人账户。验收合格第 12个月后，采购人收到中标人的请款材料后10个工作日内，按总合同金额的10%对公转账到中标人账户（不计利息）。</w:t>
      </w:r>
    </w:p>
    <w:p w14:paraId="32DF01D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如验收不合格以及发现伪劣产品等，招标人将视情形采取退货、拒付款、终止合同、索赔等措施，直至通过有关部门，依法维权。</w:t>
      </w:r>
    </w:p>
    <w:p w14:paraId="2D2DC8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4.合同签订：</w:t>
      </w:r>
    </w:p>
    <w:p w14:paraId="6BDC4D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采购人和中标人应当自公示结束后</w:t>
      </w:r>
      <w:sdt>
        <w:sdtPr>
          <w:rPr>
            <w:rFonts w:hint="eastAsia" w:ascii="宋体" w:hAnsi="宋体" w:eastAsia="宋体" w:cs="宋体"/>
            <w:color w:val="auto"/>
            <w:sz w:val="24"/>
            <w:szCs w:val="24"/>
            <w:highlight w:val="none"/>
            <w:lang w:val="en-US" w:eastAsia="zh-CN"/>
          </w:rPr>
          <w:alias w:val="无特殊情况不建议修改"/>
          <w:tag w:val="无特殊情况不建议修改"/>
          <w:id w:val="-183904816"/>
          <w:placeholder>
            <w:docPart w:val="DefaultPlaceholder_-1854013440"/>
          </w:placeholder>
          <w15:color w:val="FF0000"/>
        </w:sdtPr>
        <w:sdtEndPr>
          <w:rPr>
            <w:rFonts w:hint="eastAsia" w:ascii="宋体" w:hAnsi="宋体" w:eastAsia="宋体" w:cs="宋体"/>
            <w:color w:val="auto"/>
            <w:sz w:val="24"/>
            <w:szCs w:val="24"/>
            <w:highlight w:val="none"/>
            <w:lang w:val="en-US" w:eastAsia="zh-CN"/>
          </w:rPr>
        </w:sdtEndPr>
        <w:sdtContent>
          <w:r>
            <w:rPr>
              <w:rFonts w:hint="eastAsia" w:ascii="宋体" w:hAnsi="宋体" w:eastAsia="宋体" w:cs="宋体"/>
              <w:color w:val="auto"/>
              <w:sz w:val="24"/>
              <w:szCs w:val="24"/>
              <w:highlight w:val="none"/>
              <w:lang w:val="en-US" w:eastAsia="zh-CN"/>
            </w:rPr>
            <w:t>25</w:t>
          </w:r>
        </w:sdtContent>
      </w:sdt>
      <w:r>
        <w:rPr>
          <w:rFonts w:hint="eastAsia" w:ascii="宋体" w:hAnsi="宋体" w:eastAsia="宋体" w:cs="宋体"/>
          <w:color w:val="auto"/>
          <w:sz w:val="24"/>
          <w:szCs w:val="24"/>
          <w:highlight w:val="none"/>
          <w:lang w:val="en-US" w:eastAsia="zh-CN"/>
        </w:rPr>
        <w:t>日内签订采购合同。</w:t>
      </w:r>
    </w:p>
    <w:p w14:paraId="50C83C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w:t>
      </w:r>
      <w:r>
        <w:rPr>
          <w:rFonts w:hint="eastAsia" w:ascii="宋体" w:hAnsi="宋体" w:cs="宋体"/>
          <w:b/>
          <w:bCs/>
          <w:color w:val="auto"/>
          <w:sz w:val="24"/>
          <w:szCs w:val="24"/>
          <w:highlight w:val="none"/>
          <w:lang w:val="en-US" w:eastAsia="zh-CN"/>
        </w:rPr>
        <w:t>报价要求及评审方法</w:t>
      </w:r>
    </w:p>
    <w:p w14:paraId="72664A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7D96FA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本项目设备和配套专用的医用试剂</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val="en-US" w:eastAsia="zh-CN"/>
        </w:rPr>
        <w:t>分开报价。</w:t>
      </w:r>
    </w:p>
    <w:p w14:paraId="69CE76F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2.评审办法</w:t>
      </w:r>
    </w:p>
    <w:p w14:paraId="693E1F1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谈判小组按照评标方法依法对响应文件进行详细评审，采用最低评标价法，即设备最终评审报价最低的中标，配套专用医用试剂的报价只是作为后续采购人需</w:t>
      </w:r>
      <w:r>
        <w:rPr>
          <w:rFonts w:hint="eastAsia" w:ascii="宋体" w:hAnsi="宋体" w:cs="宋体"/>
          <w:b/>
          <w:bCs/>
          <w:color w:val="auto"/>
          <w:sz w:val="24"/>
          <w:szCs w:val="24"/>
          <w:highlight w:val="none"/>
          <w:lang w:val="en-US" w:eastAsia="zh-CN"/>
        </w:rPr>
        <w:t>使用时</w:t>
      </w:r>
      <w:r>
        <w:rPr>
          <w:rFonts w:hint="eastAsia" w:ascii="宋体" w:hAnsi="宋体" w:eastAsia="宋体" w:cs="宋体"/>
          <w:b/>
          <w:bCs/>
          <w:color w:val="auto"/>
          <w:sz w:val="24"/>
          <w:szCs w:val="24"/>
          <w:highlight w:val="none"/>
          <w:lang w:val="en-US" w:eastAsia="zh-CN"/>
        </w:rPr>
        <w:t>的采购价，不作为评审依据。</w:t>
      </w:r>
    </w:p>
    <w:p w14:paraId="70B9D6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lang w:val="en-US" w:eastAsia="zh-CN"/>
        </w:rPr>
      </w:pPr>
      <w:bookmarkStart w:id="0" w:name="_GoBack"/>
      <w:bookmarkEnd w:id="0"/>
    </w:p>
    <w:p w14:paraId="3A52C031">
      <w:pPr>
        <w:spacing w:line="440" w:lineRule="exact"/>
        <w:ind w:firstLine="480" w:firstLineChars="200"/>
        <w:rPr>
          <w:rFonts w:hint="eastAsia" w:ascii="宋体" w:hAnsi="宋体" w:eastAsia="宋体" w:cs="宋体"/>
          <w:color w:val="auto"/>
          <w:sz w:val="24"/>
          <w:szCs w:val="24"/>
          <w:highlight w:val="none"/>
          <w:lang w:val="en-US" w:eastAsia="zh-CN"/>
        </w:rPr>
      </w:pPr>
    </w:p>
    <w:sectPr>
      <w:headerReference r:id="rId3" w:type="default"/>
      <w:footerReference r:id="rId4"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E043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C6CFF">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CC6CFF">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C3E65">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204183"/>
    <w:rsid w:val="00241CD6"/>
    <w:rsid w:val="002C7944"/>
    <w:rsid w:val="003C3AB5"/>
    <w:rsid w:val="003E7DC1"/>
    <w:rsid w:val="00474079"/>
    <w:rsid w:val="004C7EB2"/>
    <w:rsid w:val="004D08F5"/>
    <w:rsid w:val="004D2825"/>
    <w:rsid w:val="004F5A76"/>
    <w:rsid w:val="005007DD"/>
    <w:rsid w:val="005D491D"/>
    <w:rsid w:val="00654BC6"/>
    <w:rsid w:val="00684BD7"/>
    <w:rsid w:val="006E5543"/>
    <w:rsid w:val="00707A97"/>
    <w:rsid w:val="007814EA"/>
    <w:rsid w:val="007A5910"/>
    <w:rsid w:val="007F6F70"/>
    <w:rsid w:val="00813BDB"/>
    <w:rsid w:val="00825B15"/>
    <w:rsid w:val="008553F8"/>
    <w:rsid w:val="008A5DC5"/>
    <w:rsid w:val="008D3A6F"/>
    <w:rsid w:val="009530DC"/>
    <w:rsid w:val="00A2105C"/>
    <w:rsid w:val="00A44D5C"/>
    <w:rsid w:val="00A83F43"/>
    <w:rsid w:val="00AC0EA5"/>
    <w:rsid w:val="00B71F65"/>
    <w:rsid w:val="00B8409A"/>
    <w:rsid w:val="00BA3521"/>
    <w:rsid w:val="00C33384"/>
    <w:rsid w:val="00C762C8"/>
    <w:rsid w:val="00C97AD7"/>
    <w:rsid w:val="00CC2DEE"/>
    <w:rsid w:val="00CD27A2"/>
    <w:rsid w:val="00D2685D"/>
    <w:rsid w:val="00D41CB5"/>
    <w:rsid w:val="00D57065"/>
    <w:rsid w:val="00DB5864"/>
    <w:rsid w:val="00DC4B54"/>
    <w:rsid w:val="00E14108"/>
    <w:rsid w:val="00E72BBE"/>
    <w:rsid w:val="00EB1C9B"/>
    <w:rsid w:val="00ED5546"/>
    <w:rsid w:val="010F7FF3"/>
    <w:rsid w:val="01124992"/>
    <w:rsid w:val="01A43ED9"/>
    <w:rsid w:val="01CB43E2"/>
    <w:rsid w:val="02493090"/>
    <w:rsid w:val="02615DF0"/>
    <w:rsid w:val="030516AD"/>
    <w:rsid w:val="039670E6"/>
    <w:rsid w:val="03B56736"/>
    <w:rsid w:val="03D713AA"/>
    <w:rsid w:val="040C6A6B"/>
    <w:rsid w:val="04784C0D"/>
    <w:rsid w:val="047E7B5C"/>
    <w:rsid w:val="050C4E8A"/>
    <w:rsid w:val="057F7823"/>
    <w:rsid w:val="05FE23E4"/>
    <w:rsid w:val="065D35AE"/>
    <w:rsid w:val="06813C84"/>
    <w:rsid w:val="06A905A2"/>
    <w:rsid w:val="07A377AC"/>
    <w:rsid w:val="07E61381"/>
    <w:rsid w:val="07F13FAE"/>
    <w:rsid w:val="09200F84"/>
    <w:rsid w:val="094E71DE"/>
    <w:rsid w:val="0A795D65"/>
    <w:rsid w:val="0B1526A9"/>
    <w:rsid w:val="0C6311F3"/>
    <w:rsid w:val="0CC05EEA"/>
    <w:rsid w:val="0D1644B7"/>
    <w:rsid w:val="0D4C7ED9"/>
    <w:rsid w:val="0DAB0B9B"/>
    <w:rsid w:val="0E6B1369"/>
    <w:rsid w:val="0E8C22E1"/>
    <w:rsid w:val="0EBC2BF7"/>
    <w:rsid w:val="0ECE5049"/>
    <w:rsid w:val="0EDE2DB2"/>
    <w:rsid w:val="0EE43F94"/>
    <w:rsid w:val="0F607CC8"/>
    <w:rsid w:val="0F6A2898"/>
    <w:rsid w:val="1017394C"/>
    <w:rsid w:val="10BE733F"/>
    <w:rsid w:val="10C97A40"/>
    <w:rsid w:val="10EC6F96"/>
    <w:rsid w:val="111563A0"/>
    <w:rsid w:val="114F61E9"/>
    <w:rsid w:val="11651CAD"/>
    <w:rsid w:val="11AC7198"/>
    <w:rsid w:val="12266F4A"/>
    <w:rsid w:val="122B15C9"/>
    <w:rsid w:val="12713099"/>
    <w:rsid w:val="12C97D37"/>
    <w:rsid w:val="144660B2"/>
    <w:rsid w:val="1461070D"/>
    <w:rsid w:val="14D73658"/>
    <w:rsid w:val="157601E9"/>
    <w:rsid w:val="159A4FC7"/>
    <w:rsid w:val="164B51D1"/>
    <w:rsid w:val="166A2F9B"/>
    <w:rsid w:val="166F4544"/>
    <w:rsid w:val="17BD008F"/>
    <w:rsid w:val="17BF5E77"/>
    <w:rsid w:val="188C387F"/>
    <w:rsid w:val="1B0B13D3"/>
    <w:rsid w:val="1B513EBB"/>
    <w:rsid w:val="1D306ECF"/>
    <w:rsid w:val="1E03496A"/>
    <w:rsid w:val="1E622ABE"/>
    <w:rsid w:val="20A57BD4"/>
    <w:rsid w:val="20BC5287"/>
    <w:rsid w:val="20F5557F"/>
    <w:rsid w:val="216B500D"/>
    <w:rsid w:val="21B710F4"/>
    <w:rsid w:val="2218153E"/>
    <w:rsid w:val="22486A69"/>
    <w:rsid w:val="22EB66BE"/>
    <w:rsid w:val="23720241"/>
    <w:rsid w:val="23CD191B"/>
    <w:rsid w:val="255F65A3"/>
    <w:rsid w:val="25773183"/>
    <w:rsid w:val="258113DB"/>
    <w:rsid w:val="26431704"/>
    <w:rsid w:val="26CD4569"/>
    <w:rsid w:val="27D01D3D"/>
    <w:rsid w:val="27D34CA5"/>
    <w:rsid w:val="27F03E2A"/>
    <w:rsid w:val="28110468"/>
    <w:rsid w:val="293A4A87"/>
    <w:rsid w:val="2A166937"/>
    <w:rsid w:val="2AF163C6"/>
    <w:rsid w:val="2B7975BA"/>
    <w:rsid w:val="2B9E0A95"/>
    <w:rsid w:val="2C4E575C"/>
    <w:rsid w:val="2CD07D87"/>
    <w:rsid w:val="2CED0939"/>
    <w:rsid w:val="2D856DA1"/>
    <w:rsid w:val="2E44559E"/>
    <w:rsid w:val="2EE81C3F"/>
    <w:rsid w:val="311834AF"/>
    <w:rsid w:val="318469E5"/>
    <w:rsid w:val="3194337D"/>
    <w:rsid w:val="321A5394"/>
    <w:rsid w:val="33B201E6"/>
    <w:rsid w:val="34B8718A"/>
    <w:rsid w:val="35AA676D"/>
    <w:rsid w:val="35D22DC1"/>
    <w:rsid w:val="36407DA0"/>
    <w:rsid w:val="364A2958"/>
    <w:rsid w:val="36C94F33"/>
    <w:rsid w:val="3737378F"/>
    <w:rsid w:val="3806606D"/>
    <w:rsid w:val="397701BE"/>
    <w:rsid w:val="398B5E5F"/>
    <w:rsid w:val="3B546CEC"/>
    <w:rsid w:val="3DFE0E07"/>
    <w:rsid w:val="3E111FAD"/>
    <w:rsid w:val="3E1A3557"/>
    <w:rsid w:val="3EA21DFC"/>
    <w:rsid w:val="3EC3599D"/>
    <w:rsid w:val="3F8769CB"/>
    <w:rsid w:val="4002773F"/>
    <w:rsid w:val="401670B8"/>
    <w:rsid w:val="41366ED0"/>
    <w:rsid w:val="417E755D"/>
    <w:rsid w:val="41BB52E8"/>
    <w:rsid w:val="424B1F31"/>
    <w:rsid w:val="44163FBA"/>
    <w:rsid w:val="473531B0"/>
    <w:rsid w:val="479C79C5"/>
    <w:rsid w:val="484D14FE"/>
    <w:rsid w:val="48741AB6"/>
    <w:rsid w:val="48BB2A88"/>
    <w:rsid w:val="48C447EC"/>
    <w:rsid w:val="48D85C25"/>
    <w:rsid w:val="49A95790"/>
    <w:rsid w:val="4A6022F2"/>
    <w:rsid w:val="4C1633E5"/>
    <w:rsid w:val="4C1C5576"/>
    <w:rsid w:val="4C3E6663"/>
    <w:rsid w:val="4CD9638C"/>
    <w:rsid w:val="4D442BFB"/>
    <w:rsid w:val="4D781BD4"/>
    <w:rsid w:val="4D7E6EBA"/>
    <w:rsid w:val="4DA009DA"/>
    <w:rsid w:val="4DA97E72"/>
    <w:rsid w:val="4DB9683E"/>
    <w:rsid w:val="4F3D41BA"/>
    <w:rsid w:val="4F512B51"/>
    <w:rsid w:val="4FA76B82"/>
    <w:rsid w:val="50502E0F"/>
    <w:rsid w:val="51794369"/>
    <w:rsid w:val="51B2246F"/>
    <w:rsid w:val="522D1654"/>
    <w:rsid w:val="539906F6"/>
    <w:rsid w:val="53DD2CA6"/>
    <w:rsid w:val="55D712FC"/>
    <w:rsid w:val="562A237D"/>
    <w:rsid w:val="56323DB6"/>
    <w:rsid w:val="56772E9D"/>
    <w:rsid w:val="57783371"/>
    <w:rsid w:val="589150FF"/>
    <w:rsid w:val="591470C9"/>
    <w:rsid w:val="593F2A1F"/>
    <w:rsid w:val="5C797243"/>
    <w:rsid w:val="5C950521"/>
    <w:rsid w:val="5D0336DD"/>
    <w:rsid w:val="5D0905C7"/>
    <w:rsid w:val="5D1A4465"/>
    <w:rsid w:val="5DA14CA4"/>
    <w:rsid w:val="5DCD43FF"/>
    <w:rsid w:val="5E761C8C"/>
    <w:rsid w:val="5EC40C4A"/>
    <w:rsid w:val="5ECE3876"/>
    <w:rsid w:val="5F97010C"/>
    <w:rsid w:val="5FB92779"/>
    <w:rsid w:val="5FFD63C3"/>
    <w:rsid w:val="603E2C7E"/>
    <w:rsid w:val="61E37639"/>
    <w:rsid w:val="62D226AB"/>
    <w:rsid w:val="62DE3608"/>
    <w:rsid w:val="635822A8"/>
    <w:rsid w:val="648A3E9D"/>
    <w:rsid w:val="64C00F08"/>
    <w:rsid w:val="64CA4726"/>
    <w:rsid w:val="65706B30"/>
    <w:rsid w:val="66763171"/>
    <w:rsid w:val="66FB73F2"/>
    <w:rsid w:val="677A58C0"/>
    <w:rsid w:val="67EF0C5A"/>
    <w:rsid w:val="68012F0F"/>
    <w:rsid w:val="69F42A26"/>
    <w:rsid w:val="6A513DD5"/>
    <w:rsid w:val="6BF540D9"/>
    <w:rsid w:val="6C9500C9"/>
    <w:rsid w:val="6CA20189"/>
    <w:rsid w:val="6CD52274"/>
    <w:rsid w:val="6DBD61DA"/>
    <w:rsid w:val="6DD0797D"/>
    <w:rsid w:val="6E1A0EFE"/>
    <w:rsid w:val="6E3B0389"/>
    <w:rsid w:val="6E511637"/>
    <w:rsid w:val="6E981206"/>
    <w:rsid w:val="70DE7BD3"/>
    <w:rsid w:val="71754026"/>
    <w:rsid w:val="725D6F93"/>
    <w:rsid w:val="72EA318B"/>
    <w:rsid w:val="73A11102"/>
    <w:rsid w:val="74B5471E"/>
    <w:rsid w:val="75A629FF"/>
    <w:rsid w:val="76C92E49"/>
    <w:rsid w:val="77E41C8F"/>
    <w:rsid w:val="77FF632E"/>
    <w:rsid w:val="78454752"/>
    <w:rsid w:val="78A771BA"/>
    <w:rsid w:val="7A205476"/>
    <w:rsid w:val="7A8F6158"/>
    <w:rsid w:val="7AFE24C7"/>
    <w:rsid w:val="7B036868"/>
    <w:rsid w:val="7B14665D"/>
    <w:rsid w:val="7CA915F3"/>
    <w:rsid w:val="7D0821F2"/>
    <w:rsid w:val="7D4634BC"/>
    <w:rsid w:val="7D843D95"/>
    <w:rsid w:val="7F0A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3">
    <w:name w:val="annotation text"/>
    <w:basedOn w:val="1"/>
    <w:link w:val="16"/>
    <w:qFormat/>
    <w:uiPriority w:val="99"/>
    <w:pPr>
      <w:jc w:val="left"/>
    </w:pPr>
  </w:style>
  <w:style w:type="paragraph" w:styleId="4">
    <w:name w:val="Plain Text"/>
    <w:basedOn w:val="1"/>
    <w:next w:val="1"/>
    <w:link w:val="18"/>
    <w:qFormat/>
    <w:uiPriority w:val="99"/>
    <w:rPr>
      <w:rFonts w:ascii="宋体" w:hAnsi="Courier New"/>
    </w:r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240" w:after="60"/>
      <w:jc w:val="center"/>
      <w:outlineLvl w:val="0"/>
    </w:pPr>
    <w:rPr>
      <w:rFonts w:ascii="Cambria" w:hAnsi="Cambria"/>
      <w:b/>
      <w:sz w:val="32"/>
      <w:szCs w:val="20"/>
    </w:rPr>
  </w:style>
  <w:style w:type="paragraph" w:styleId="8">
    <w:name w:val="annotation subject"/>
    <w:basedOn w:val="3"/>
    <w:next w:val="3"/>
    <w:link w:val="17"/>
    <w:semiHidden/>
    <w:unhideWhenUsed/>
    <w:qFormat/>
    <w:uiPriority w:val="99"/>
    <w:rPr>
      <w:b/>
      <w:bCs/>
    </w:rPr>
  </w:style>
  <w:style w:type="table" w:styleId="10">
    <w:name w:val="Table Grid"/>
    <w:basedOn w:val="9"/>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semiHidden/>
    <w:qFormat/>
    <w:uiPriority w:val="99"/>
    <w:rPr>
      <w:sz w:val="21"/>
      <w:szCs w:val="21"/>
    </w:rPr>
  </w:style>
  <w:style w:type="paragraph" w:customStyle="1" w:styleId="13">
    <w:name w:val="Default"/>
    <w:next w:val="14"/>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1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15">
    <w:name w:val="批注文字 字符"/>
    <w:basedOn w:val="11"/>
    <w:qFormat/>
    <w:uiPriority w:val="99"/>
    <w:rPr>
      <w:rFonts w:ascii="Times New Roman" w:hAnsi="Times New Roman" w:eastAsia="宋体" w:cs="Times New Roman"/>
      <w:szCs w:val="21"/>
    </w:rPr>
  </w:style>
  <w:style w:type="character" w:customStyle="1" w:styleId="16">
    <w:name w:val="批注文字 字符1"/>
    <w:link w:val="3"/>
    <w:semiHidden/>
    <w:qFormat/>
    <w:uiPriority w:val="99"/>
    <w:rPr>
      <w:rFonts w:ascii="Times New Roman" w:hAnsi="Times New Roman" w:eastAsia="宋体" w:cs="Times New Roman"/>
      <w:szCs w:val="21"/>
    </w:rPr>
  </w:style>
  <w:style w:type="character" w:customStyle="1" w:styleId="17">
    <w:name w:val="批注主题 字符"/>
    <w:basedOn w:val="16"/>
    <w:link w:val="8"/>
    <w:semiHidden/>
    <w:qFormat/>
    <w:uiPriority w:val="99"/>
    <w:rPr>
      <w:rFonts w:ascii="Times New Roman" w:hAnsi="Times New Roman" w:eastAsia="宋体" w:cs="Times New Roman"/>
      <w:b/>
      <w:bCs/>
      <w:szCs w:val="21"/>
    </w:rPr>
  </w:style>
  <w:style w:type="character" w:customStyle="1" w:styleId="18">
    <w:name w:val="纯文本 字符"/>
    <w:basedOn w:val="11"/>
    <w:link w:val="4"/>
    <w:qFormat/>
    <w:uiPriority w:val="99"/>
    <w:rPr>
      <w:rFonts w:ascii="宋体" w:hAnsi="Courier New" w:eastAsia="宋体" w:cs="Times New Roman"/>
      <w:szCs w:val="21"/>
    </w:rPr>
  </w:style>
  <w:style w:type="paragraph" w:customStyle="1" w:styleId="19">
    <w:name w:val="表格文字"/>
    <w:basedOn w:val="1"/>
    <w:qFormat/>
    <w:uiPriority w:val="0"/>
    <w:pPr>
      <w:spacing w:before="25" w:after="25"/>
      <w:jc w:val="left"/>
    </w:pPr>
    <w:rPr>
      <w:rFonts w:ascii="Calibri" w:hAnsi="Calibri"/>
      <w:bCs/>
      <w:spacing w:val="10"/>
      <w:kern w:val="0"/>
      <w:sz w:val="24"/>
      <w:szCs w:val="20"/>
    </w:rPr>
  </w:style>
  <w:style w:type="character" w:customStyle="1" w:styleId="20">
    <w:name w:val="fontstyle01"/>
    <w:qFormat/>
    <w:uiPriority w:val="0"/>
    <w:rPr>
      <w:rFonts w:hint="eastAsia" w:ascii="宋体" w:hAnsi="宋体" w:eastAsia="宋体"/>
      <w:color w:val="000000"/>
      <w:sz w:val="24"/>
      <w:szCs w:val="24"/>
    </w:rPr>
  </w:style>
  <w:style w:type="character" w:customStyle="1" w:styleId="21">
    <w:name w:val="页眉 字符"/>
    <w:basedOn w:val="11"/>
    <w:link w:val="6"/>
    <w:qFormat/>
    <w:uiPriority w:val="99"/>
    <w:rPr>
      <w:rFonts w:ascii="Times New Roman" w:hAnsi="Times New Roman" w:eastAsia="宋体" w:cs="Times New Roman"/>
      <w:sz w:val="18"/>
      <w:szCs w:val="18"/>
    </w:rPr>
  </w:style>
  <w:style w:type="character" w:customStyle="1" w:styleId="22">
    <w:name w:val="页脚 字符"/>
    <w:basedOn w:val="11"/>
    <w:link w:val="5"/>
    <w:qFormat/>
    <w:uiPriority w:val="99"/>
    <w:rPr>
      <w:rFonts w:ascii="Times New Roman" w:hAnsi="Times New Roman" w:eastAsia="宋体" w:cs="Times New Roman"/>
      <w:sz w:val="18"/>
      <w:szCs w:val="18"/>
    </w:rPr>
  </w:style>
  <w:style w:type="character" w:styleId="23">
    <w:name w:val="Placeholder Text"/>
    <w:basedOn w:val="11"/>
    <w:semiHidden/>
    <w:qFormat/>
    <w:uiPriority w:val="99"/>
    <w:rPr>
      <w:color w:val="808080"/>
    </w:rPr>
  </w:style>
  <w:style w:type="paragraph" w:customStyle="1" w:styleId="24">
    <w:name w:val="样式1"/>
    <w:basedOn w:val="1"/>
    <w:qFormat/>
    <w:uiPriority w:val="0"/>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D32AFAC4-F775-4A19-8224-BF45E683C7C0}"/>
      </w:docPartPr>
      <w:docPartBody>
        <w:p w14:paraId="31D9254B">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5A"/>
    <w:rsid w:val="00013D5D"/>
    <w:rsid w:val="00102898"/>
    <w:rsid w:val="001B2DBA"/>
    <w:rsid w:val="0048475D"/>
    <w:rsid w:val="007311C2"/>
    <w:rsid w:val="0080285A"/>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2021</Words>
  <Characters>2260</Characters>
  <Lines>26</Lines>
  <Paragraphs>7</Paragraphs>
  <TotalTime>1</TotalTime>
  <ScaleCrop>false</ScaleCrop>
  <LinksUpToDate>false</LinksUpToDate>
  <CharactersWithSpaces>2299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2021-01-18T07:59:00Z</cp:lastPrinted>
  <dcterms:modified xsi:type="dcterms:W3CDTF">2026-09-09T02:03:35Z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B1C8ADB6A08C49D88EF48001F8D355A1_13</vt:lpwstr>
  </property>
  <property fmtid="{D5CDD505-2E9C-101B-9397-08002B2CF9AE}" pid="4" name="KSOTemplateDocerSaveRecord">
    <vt:lpwstr>eyJoZGlkIjoiOTZkZDVmNzBiZGNiZTJiMTNjOTFhZTJiYjI4ZWQ4OTAiLCJ1c2VySWQiOiI0MzU5NDIxNTAifQ==</vt:lpwstr>
  </property>
</Properties>
</file>