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F926E">
      <w:pPr>
        <w:pStyle w:val="3"/>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附件1</w:t>
      </w:r>
    </w:p>
    <w:p w14:paraId="66656FFE">
      <w:pPr>
        <w:pStyle w:val="3"/>
        <w:numPr>
          <w:ilvl w:val="0"/>
          <w:numId w:val="0"/>
        </w:numPr>
        <w:spacing w:line="360" w:lineRule="auto"/>
        <w:ind w:leftChars="0" w:firstLine="2530" w:firstLineChars="700"/>
        <w:rPr>
          <w:rFonts w:hint="eastAsia" w:ascii="仿宋" w:hAnsi="仿宋" w:eastAsia="仿宋"/>
          <w:sz w:val="36"/>
          <w:szCs w:val="36"/>
        </w:rPr>
      </w:pPr>
      <w:r>
        <w:rPr>
          <w:rFonts w:hint="eastAsia" w:ascii="仿宋" w:hAnsi="仿宋" w:eastAsia="仿宋"/>
          <w:sz w:val="36"/>
          <w:szCs w:val="36"/>
        </w:rPr>
        <w:t>采购</w:t>
      </w:r>
      <w:r>
        <w:rPr>
          <w:rFonts w:hint="eastAsia" w:ascii="仿宋" w:hAnsi="仿宋" w:eastAsia="仿宋"/>
          <w:sz w:val="36"/>
          <w:szCs w:val="36"/>
          <w:lang w:eastAsia="zh-CN"/>
        </w:rPr>
        <w:t>内容</w:t>
      </w:r>
      <w:r>
        <w:rPr>
          <w:rFonts w:hint="eastAsia" w:ascii="仿宋" w:hAnsi="仿宋" w:eastAsia="仿宋"/>
          <w:sz w:val="36"/>
          <w:szCs w:val="36"/>
        </w:rPr>
        <w:t>及技术要求</w:t>
      </w:r>
    </w:p>
    <w:p w14:paraId="34894B88">
      <w:pPr>
        <w:spacing w:line="400" w:lineRule="exact"/>
        <w:ind w:firstLine="480" w:firstLineChars="200"/>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说明</w:t>
      </w:r>
      <w:r>
        <w:rPr>
          <w:rFonts w:hint="eastAsia" w:ascii="宋体" w:hAnsi="宋体" w:eastAsia="宋体" w:cs="宋体"/>
          <w:b w:val="0"/>
          <w:bCs w:val="0"/>
          <w:color w:val="000000" w:themeColor="text1"/>
          <w:sz w:val="24"/>
          <w:szCs w:val="24"/>
          <w:lang w:eastAsia="zh-CN"/>
          <w14:textFill>
            <w14:solidFill>
              <w14:schemeClr w14:val="tx1"/>
            </w14:solidFill>
          </w14:textFill>
        </w:rPr>
        <w:t>：</w:t>
      </w:r>
    </w:p>
    <w:p w14:paraId="16083479">
      <w:pPr>
        <w:spacing w:line="400" w:lineRule="exact"/>
        <w:ind w:firstLine="420"/>
        <w:jc w:val="left"/>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1.</w:t>
      </w:r>
      <w:r>
        <w:rPr>
          <w:rFonts w:hint="eastAsia" w:ascii="宋体" w:hAnsi="宋体" w:eastAsia="宋体" w:cs="宋体"/>
          <w:b w:val="0"/>
          <w:bCs w:val="0"/>
          <w:color w:val="000000" w:themeColor="text1"/>
          <w:sz w:val="24"/>
          <w:szCs w:val="24"/>
          <w:lang w:eastAsia="zh-CN"/>
          <w14:textFill>
            <w14:solidFill>
              <w14:schemeClr w14:val="tx1"/>
            </w14:solidFill>
          </w14:textFill>
        </w:rPr>
        <w:t>技术参数</w:t>
      </w:r>
      <w:r>
        <w:rPr>
          <w:rFonts w:hint="eastAsia" w:ascii="宋体" w:hAnsi="宋体" w:eastAsia="宋体" w:cs="宋体"/>
          <w:b w:val="0"/>
          <w:bCs w:val="0"/>
          <w:color w:val="000000" w:themeColor="text1"/>
          <w:sz w:val="24"/>
          <w:szCs w:val="24"/>
          <w14:textFill>
            <w14:solidFill>
              <w14:schemeClr w14:val="tx1"/>
            </w14:solidFill>
          </w14:textFill>
        </w:rPr>
        <w:t>中标注“★”号的条款为实质性条款或指标、要求，必须满足（无偏离）或优于（正偏离）。</w:t>
      </w:r>
    </w:p>
    <w:p w14:paraId="5B80B210">
      <w:pPr>
        <w:spacing w:line="400" w:lineRule="exact"/>
        <w:ind w:firstLine="420"/>
        <w:jc w:val="left"/>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14:textFill>
            <w14:solidFill>
              <w14:schemeClr w14:val="tx1"/>
            </w14:solidFill>
          </w14:textFill>
        </w:rPr>
        <w:t>．投标人必须自行为其投标产品侵犯其他投标人或专利人的专利成果承担相应法律责任；同时，具有产品专利</w:t>
      </w:r>
      <w:r>
        <w:rPr>
          <w:rFonts w:hint="eastAsia" w:ascii="宋体" w:hAnsi="宋体" w:eastAsia="宋体" w:cs="宋体"/>
          <w:b w:val="0"/>
          <w:bCs w:val="0"/>
          <w:color w:val="000000" w:themeColor="text1"/>
          <w:sz w:val="24"/>
          <w:szCs w:val="24"/>
          <w:lang w:eastAsia="zh-CN"/>
          <w14:textFill>
            <w14:solidFill>
              <w14:schemeClr w14:val="tx1"/>
            </w14:solidFill>
          </w14:textFill>
        </w:rPr>
        <w:t>授权</w:t>
      </w:r>
      <w:r>
        <w:rPr>
          <w:rFonts w:hint="eastAsia" w:ascii="宋体" w:hAnsi="宋体" w:eastAsia="宋体" w:cs="宋体"/>
          <w:b w:val="0"/>
          <w:bCs w:val="0"/>
          <w:color w:val="000000" w:themeColor="text1"/>
          <w:sz w:val="24"/>
          <w:szCs w:val="24"/>
          <w14:textFill>
            <w14:solidFill>
              <w14:schemeClr w14:val="tx1"/>
            </w14:solidFill>
          </w14:textFill>
        </w:rPr>
        <w:t>的投标人应在其投标文件中提供与其相关的有效证明材料，否则，不能就其产品的专利在本项目投标过程中被侵权问题提出异议。</w:t>
      </w:r>
    </w:p>
    <w:p w14:paraId="51DF9822">
      <w:pPr>
        <w:widowControl/>
        <w:spacing w:line="360" w:lineRule="auto"/>
        <w:ind w:firstLine="480" w:firstLineChars="200"/>
        <w:jc w:val="left"/>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z w:val="24"/>
          <w:szCs w:val="24"/>
          <w14:textFill>
            <w14:solidFill>
              <w14:schemeClr w14:val="tx1"/>
            </w14:solidFill>
          </w14:textFill>
        </w:rPr>
        <w:t>．投标人所投标</w:t>
      </w:r>
      <w:r>
        <w:rPr>
          <w:rFonts w:hint="eastAsia" w:ascii="宋体" w:hAnsi="宋体" w:eastAsia="宋体" w:cs="宋体"/>
          <w:b w:val="0"/>
          <w:bCs w:val="0"/>
          <w:color w:val="000000" w:themeColor="text1"/>
          <w:sz w:val="24"/>
          <w:szCs w:val="24"/>
          <w:lang w:eastAsia="zh-CN"/>
          <w14:textFill>
            <w14:solidFill>
              <w14:schemeClr w14:val="tx1"/>
            </w14:solidFill>
          </w14:textFill>
        </w:rPr>
        <w:t>产品</w:t>
      </w:r>
      <w:r>
        <w:rPr>
          <w:rFonts w:hint="eastAsia" w:ascii="宋体" w:hAnsi="宋体" w:eastAsia="宋体" w:cs="宋体"/>
          <w:b w:val="0"/>
          <w:bCs w:val="0"/>
          <w:color w:val="000000" w:themeColor="text1"/>
          <w:sz w:val="24"/>
          <w:szCs w:val="24"/>
          <w14:textFill>
            <w14:solidFill>
              <w14:schemeClr w14:val="tx1"/>
            </w14:solidFill>
          </w14:textFill>
        </w:rPr>
        <w:t>或服务如国家有强制性要求的应按国家规定执行，并提供相关证明材料。</w:t>
      </w:r>
    </w:p>
    <w:p w14:paraId="27B03CF6">
      <w:pPr>
        <w:widowControl/>
        <w:spacing w:line="360" w:lineRule="auto"/>
        <w:ind w:firstLine="480" w:firstLineChars="200"/>
        <w:jc w:val="left"/>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4.</w:t>
      </w:r>
      <w:r>
        <w:rPr>
          <w:rFonts w:hint="eastAsia" w:ascii="宋体" w:hAnsi="宋体" w:eastAsia="宋体" w:cs="宋体"/>
          <w:b w:val="0"/>
          <w:bCs w:val="0"/>
          <w:color w:val="000000" w:themeColor="text1"/>
          <w:sz w:val="24"/>
          <w:szCs w:val="24"/>
          <w:lang w:eastAsia="zh-CN"/>
          <w14:textFill>
            <w14:solidFill>
              <w14:schemeClr w14:val="tx1"/>
            </w14:solidFill>
          </w14:textFill>
        </w:rPr>
        <w:t>本项目供应商报价仅限推荐品牌及型号，不接受推荐品牌及型号以外的产品，供应商不得以任何理由更改设备的品牌、型号及配置，配置必须是原厂出厂标准配置，否则中标结果无效。</w:t>
      </w:r>
      <w:bookmarkStart w:id="0" w:name="_GoBack"/>
      <w:bookmarkEnd w:id="0"/>
    </w:p>
    <w:p w14:paraId="127C3FA0">
      <w:pPr>
        <w:pStyle w:val="8"/>
        <w:ind w:firstLine="480" w:firstLineChars="200"/>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一、技术要求</w:t>
      </w:r>
    </w:p>
    <w:tbl>
      <w:tblPr>
        <w:tblStyle w:val="9"/>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80"/>
        <w:gridCol w:w="7894"/>
      </w:tblGrid>
      <w:tr w14:paraId="076A2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D2D4">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lang w:val="en-US" w:eastAsia="zh-CN"/>
                <w14:textFill>
                  <w14:solidFill>
                    <w14:schemeClr w14:val="tx1"/>
                  </w14:solidFill>
                </w14:textFill>
              </w:rPr>
            </w:pPr>
            <w:r>
              <w:rPr>
                <w:rFonts w:hint="eastAsia" w:ascii="宋体" w:hAnsi="宋体" w:eastAsia="宋体" w:cs="宋体"/>
                <w:b w:val="0"/>
                <w:bCs w:val="0"/>
                <w:i w:val="0"/>
                <w:color w:val="000000" w:themeColor="text1"/>
                <w:sz w:val="24"/>
                <w:szCs w:val="24"/>
                <w:u w:val="none"/>
                <w:lang w:val="en-US" w:eastAsia="zh-CN"/>
                <w14:textFill>
                  <w14:solidFill>
                    <w14:schemeClr w14:val="tx1"/>
                  </w14:solidFill>
                </w14:textFill>
              </w:rPr>
              <w:t>序号</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CEB8">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default" w:ascii="宋体" w:hAnsi="宋体" w:eastAsia="宋体" w:cs="宋体"/>
                <w:b w:val="0"/>
                <w:bCs w:val="0"/>
                <w:i w:val="0"/>
                <w:color w:val="000000" w:themeColor="text1"/>
                <w:sz w:val="24"/>
                <w:szCs w:val="24"/>
                <w:u w:val="none"/>
                <w:lang w:val="en-US" w:eastAsia="zh-CN"/>
                <w14:textFill>
                  <w14:solidFill>
                    <w14:schemeClr w14:val="tx1"/>
                  </w14:solidFill>
                </w14:textFill>
              </w:rPr>
            </w:pPr>
            <w:r>
              <w:rPr>
                <w:rFonts w:hint="eastAsia" w:ascii="宋体" w:hAnsi="宋体" w:eastAsia="宋体" w:cs="宋体"/>
                <w:b w:val="0"/>
                <w:bCs w:val="0"/>
                <w:i w:val="0"/>
                <w:color w:val="000000" w:themeColor="text1"/>
                <w:sz w:val="24"/>
                <w:szCs w:val="24"/>
                <w:u w:val="none"/>
                <w:lang w:val="en-US" w:eastAsia="zh-CN"/>
                <w14:textFill>
                  <w14:solidFill>
                    <w14:schemeClr w14:val="tx1"/>
                  </w14:solidFill>
                </w14:textFill>
              </w:rPr>
              <w:t>技术参数要求</w:t>
            </w:r>
          </w:p>
        </w:tc>
      </w:tr>
      <w:tr w14:paraId="3E237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5FE2">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kern w:val="2"/>
                <w:sz w:val="24"/>
                <w:szCs w:val="24"/>
                <w:u w:val="none"/>
                <w:lang w:val="en-US" w:eastAsia="zh-CN" w:bidi="ar-SA"/>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F373">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kern w:val="2"/>
                <w:sz w:val="24"/>
                <w:szCs w:val="24"/>
                <w:u w:val="none"/>
                <w:lang w:val="en-US" w:eastAsia="zh-CN" w:bidi="ar-SA"/>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具有完全自主知识产权的办公软件核心技术。</w:t>
            </w:r>
          </w:p>
        </w:tc>
      </w:tr>
      <w:tr w14:paraId="6990D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39043">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2</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C31A">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★提供一年的互联网版本的云账号软件授权，至少可用400个互联网账户，且提供WPS 365正版软件授权码，可供医院所有内网电脑安装使用。</w:t>
            </w:r>
          </w:p>
        </w:tc>
      </w:tr>
      <w:tr w14:paraId="518EF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1612">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3</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2AFC">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支持多人访问/编辑文字、表格、演示文稿、PDF、流程图和思维导图等多种文件格式。</w:t>
            </w:r>
          </w:p>
        </w:tc>
      </w:tr>
      <w:tr w14:paraId="4C0EB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0DFB">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4</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0E8F">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各模块可整合在同一窗口下，亦可成为独立窗口。多窗口模式下，支持在系统任务栏显示多主窗口，可通过快捷键切换查看。PC端文字，表格，演示三个组件均支持查找命令功能，输入功能名称后可以模糊匹配查询，帮助用户快速定位到功能入口。提供功能截图证明。</w:t>
            </w:r>
          </w:p>
        </w:tc>
      </w:tr>
      <w:tr w14:paraId="6B37D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9E1C">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5</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0B05">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各模块能无缝打开市场主流的的文档格式；支持格式包括且不限于 doc、docx、xls、xlsx、ppt、pptx。</w:t>
            </w:r>
          </w:p>
        </w:tc>
      </w:tr>
      <w:tr w14:paraId="7AA9E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7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EA0F">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6</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13DA">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PC端文字，表格，演示三个组件均支持文档拆分合并功能。实现对wps、doc、docx、ppt、pptx、xls、xlsx、pdf格式的文档进行合并和拆分，且可自定义不同合并和拆分方式，包括合并范围、输出名称、输出目录、拆分范围等，帮助用户快速整合文档资料。提供功能截图证明。</w:t>
            </w:r>
          </w:p>
        </w:tc>
      </w:tr>
      <w:tr w14:paraId="00773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72A4">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7</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E4E9">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文字处理模块应支持智能格式整理，包括段落重排、删除空段、删除空格、首行缩进等。</w:t>
            </w:r>
          </w:p>
        </w:tc>
      </w:tr>
      <w:tr w14:paraId="30271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26B1">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8</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DA6B">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★文字处理模块需支持拼写检查、论文查重，文档校对、全文翻译、图片文字提取和简历助手。提供功能截图证明。</w:t>
            </w:r>
          </w:p>
        </w:tc>
      </w:tr>
      <w:tr w14:paraId="2B21E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45DC">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9</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87BC">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★文字处理模块需支持文档内插入流程图、思维导图、公式、水印、脚注尾注等多种对象。提供功能截图证明。</w:t>
            </w:r>
          </w:p>
        </w:tc>
      </w:tr>
      <w:tr w14:paraId="184AF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1504">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10</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0042">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表格模块功能需支持多人同时编辑，同时能定位到协作者的编辑位置，减少编辑冲突。</w:t>
            </w:r>
          </w:p>
        </w:tc>
      </w:tr>
      <w:tr w14:paraId="6BAA2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DA3D">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11</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6223">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表格模块功能需支持直接导入其它表格的数据和关联表单收集数据，提高数据收集效率。</w:t>
            </w:r>
          </w:p>
        </w:tc>
      </w:tr>
      <w:tr w14:paraId="202A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2BC5">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12</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E21D">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表格模块功能需提供便捷的信息处理工具，如重复数据处理（高亮、删除和统计）和证件信息提取。</w:t>
            </w:r>
          </w:p>
        </w:tc>
      </w:tr>
      <w:tr w14:paraId="4113D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36ED">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13</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E0BD">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★表格模块功能需支持筛选时选择是否对其他人可见，避免影响他人协作。支持一键美化表格。支持合并拆分表格。提供功能截图证明。</w:t>
            </w:r>
          </w:p>
        </w:tc>
      </w:tr>
      <w:tr w14:paraId="68074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23B4">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14</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7FC4">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演示模块功能需支持插入问卷、答题和投票，满足演示文稿中的协作场景。支持文档加密、文档定稿、文档备份和翻译。提供功能截图证明。</w:t>
            </w:r>
          </w:p>
        </w:tc>
      </w:tr>
      <w:tr w14:paraId="5E6B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79C8">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15</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A446">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★演示模块功能需支持提供丰富的素材，包括图片、图标、流程图和思维导图。支持动画刷，可以快速将指定选中对象的动画应用到其他对象上。提供功能截图证明。</w:t>
            </w:r>
          </w:p>
        </w:tc>
      </w:tr>
      <w:tr w14:paraId="31533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B989">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16</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20D4">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互联网环境下使用时提供后台管理功能，支持统一管理医院内所有团队，如创建团队、设置团队拥有者、恢复解散团队。支持灵活给部门进行空间分配，实现对存储空间的合理使用。支持二级回收站，防止重要文件误删。支持团队文档加密保护，管控在线和本地文档的权限，仅本团队成员和授权的用户才能打开，文件被下载后，其他人也无法打开。支持一键转让离职员工所有的企业文档和日程给其他成员，实现文档和工作的交接。提供功能截图证明。</w:t>
            </w:r>
          </w:p>
        </w:tc>
      </w:tr>
      <w:tr w14:paraId="14A1D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22E4">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17</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BB6E">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互联网环境下使用时提供PDF多项功能，如支持PDF格式转换功能，支持转为Word、Excel、PPT、TXT和CAD格式。支持提取页面、文字、表格和图片功能，提高信息提取效率。支持扫描件识别、编辑、优化。支持多人在线访问协同编辑。提供功能截图证明。</w:t>
            </w:r>
          </w:p>
        </w:tc>
      </w:tr>
      <w:tr w14:paraId="5BD5A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2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87BC">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18</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CC2BF">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互联网环境下使用时，提供在线智能表格功能，支持数据表、看板、甘特图、仪表盘等多种视图，提升信息管理和可视化能力。支持多人编辑时提及其他企业成员,并通过消息提醒对方。支持Python脚本编辑器，支持智能扫描录入数据。</w:t>
            </w:r>
          </w:p>
        </w:tc>
      </w:tr>
      <w:tr w14:paraId="3461A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0240">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19</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660B">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互联网环境下使用时提供思维导图模块，支持多种结构类型切换。系统内置多种思维导图模板，一键克隆使用，快速上手。支持多套主题随意切换。支持自定义主题，可选择某一主题风格设置为默认主题。支持多种格式文件导入、导出。支持导入.xmind.pos.posm.xlsx等格式文件。支持导出.png.jpg.pdf等格式文件。支持文件多人协作，一键共享及权限管理，团队配合更高效。</w:t>
            </w:r>
          </w:p>
        </w:tc>
      </w:tr>
      <w:tr w14:paraId="439F2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3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DC8D">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20</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9029">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互联网环境下使用时提供办公消息协作应用，如支持查看消息的已读未读状态、消息撤回与加急，提高消息的触达效率。支持直接在聊天中发送云文档，同时设置该成员或群聊的文档权限。支持在聊天中参与文档的评论和回复，更便捷和即时地进行文档协作。支持创建一站式企业审批流程，快速完成审批和任务流转。支持文档快速发送到聊天面板并发起讨论，文档截图快速发起文档讨论，文档节选发送到右侧聊天。文档支持协作者建群，文档支持发送到与文档协作有关的聊天群组。提供功能截图证明。</w:t>
            </w:r>
          </w:p>
        </w:tc>
      </w:tr>
      <w:tr w14:paraId="7A3BA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34AA">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21</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9FC1">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互联网环境下使用时提供数据收集工具，可快速收集信息及汇总数据。支持智能表单功能，提供多种场景下的表单模板，如打卡、投票、文件收集、问卷等，快速创建表单。支持百万收集量，搭配实时数据大屏，实时查看数据的趋势。支持智能识别提取证照、票据等信息。支持提交数据实时汇总到在线表格，从采集到汇总以及数据的后处理一气呵成。</w:t>
            </w:r>
          </w:p>
        </w:tc>
      </w:tr>
      <w:tr w14:paraId="4A17F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8D54">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center"/>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22</w:t>
            </w:r>
          </w:p>
        </w:tc>
        <w:tc>
          <w:tcPr>
            <w:tcW w:w="7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B5E8">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firstLine="0" w:firstLineChars="0"/>
              <w:jc w:val="both"/>
              <w:textAlignment w:val="center"/>
              <w:outlineLvl w:val="9"/>
              <w:rPr>
                <w:rFonts w:hint="eastAsia" w:ascii="宋体" w:hAnsi="宋体" w:eastAsia="宋体" w:cs="宋体"/>
                <w:b w:val="0"/>
                <w:bCs w:val="0"/>
                <w:i w:val="0"/>
                <w:color w:val="000000" w:themeColor="text1"/>
                <w:sz w:val="24"/>
                <w:szCs w:val="24"/>
                <w:u w:val="none"/>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提供在线会议功能，支持预定会议、邀请成员、共享屏幕、指定主持人等基本会议功能，支持在会议中共享文档，参会人可以在文档中协作。</w:t>
            </w:r>
          </w:p>
        </w:tc>
      </w:tr>
    </w:tbl>
    <w:p w14:paraId="46DA28D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eastAsia="zh-CN"/>
          <w14:textFill>
            <w14:solidFill>
              <w14:schemeClr w14:val="tx1"/>
            </w14:solidFill>
          </w14:textFill>
        </w:rPr>
        <w:t>二、商务要求</w:t>
      </w:r>
    </w:p>
    <w:p w14:paraId="0BD47038">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一</w:t>
      </w:r>
      <w:r>
        <w:rPr>
          <w:rFonts w:hint="eastAsia" w:ascii="宋体" w:hAnsi="宋体" w:eastAsia="宋体" w:cs="宋体"/>
          <w:b w:val="0"/>
          <w:bCs w:val="0"/>
          <w:color w:val="000000" w:themeColor="text1"/>
          <w:sz w:val="24"/>
          <w:szCs w:val="24"/>
          <w:lang w:eastAsia="zh-CN"/>
          <w14:textFill>
            <w14:solidFill>
              <w14:schemeClr w14:val="tx1"/>
            </w14:solidFill>
          </w14:textFill>
        </w:rPr>
        <w:t>）报价要求</w:t>
      </w:r>
    </w:p>
    <w:p w14:paraId="271D09F9">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本次报价须为人民币报价，报价金额实行总承包报价，包括但不限于:</w:t>
      </w:r>
    </w:p>
    <w:p w14:paraId="6CB2D012">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1.货物采购包括货款、标准附件、备品备件、专用工具、包装、运输、装卸、保险、税金、货到就位以及安装、调试、培训、保修等一切税金和费用;</w:t>
      </w:r>
    </w:p>
    <w:p w14:paraId="3F4573BB">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2.项目验收、人员服务等费用;</w:t>
      </w:r>
    </w:p>
    <w:p w14:paraId="38061FA5">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3.根据合同规定，履行合同可能产生的其他费用;</w:t>
      </w:r>
    </w:p>
    <w:p w14:paraId="26F6F58D">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4.项目包含但不限于安装后可正常使用的相应设施、设备、软件、调试等，采购人不再另行支付费用。</w:t>
      </w:r>
    </w:p>
    <w:p w14:paraId="625CBBBB">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5.如质量上发生争议，可由第三方检测机构进行检测，费用由成交人承担。</w:t>
      </w:r>
    </w:p>
    <w:p w14:paraId="160F2E98">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6.对于本文件中未列明，而供应商认为必需的费用也需列入总报价。在合同实施时，采购人将不予支付成交供应商没有列入的项目费用，并认为此项目的费用已包括在响应总报价中。</w:t>
      </w:r>
    </w:p>
    <w:p w14:paraId="4E436C17">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二</w:t>
      </w:r>
      <w:r>
        <w:rPr>
          <w:rFonts w:hint="eastAsia" w:ascii="宋体" w:hAnsi="宋体" w:eastAsia="宋体" w:cs="宋体"/>
          <w:b w:val="0"/>
          <w:bCs w:val="0"/>
          <w:color w:val="000000" w:themeColor="text1"/>
          <w:sz w:val="24"/>
          <w:szCs w:val="24"/>
          <w:lang w:eastAsia="zh-CN"/>
          <w14:textFill>
            <w14:solidFill>
              <w14:schemeClr w14:val="tx1"/>
            </w14:solidFill>
          </w14:textFill>
        </w:rPr>
        <w:t>）知识产权</w:t>
      </w:r>
    </w:p>
    <w:p w14:paraId="40255F0D">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采购人在中华人民共和国境内使用供应商提供的产品及服务时免受第三方提出的侵犯其专利权或其它知识产权的起诉。如果第三方提出侵权指控，成交供应商应承担由此而引起的—切法律责任和费用。</w:t>
      </w:r>
    </w:p>
    <w:p w14:paraId="1EF386F3">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三</w:t>
      </w:r>
      <w:r>
        <w:rPr>
          <w:rFonts w:hint="eastAsia" w:ascii="宋体" w:hAnsi="宋体" w:eastAsia="宋体" w:cs="宋体"/>
          <w:b w:val="0"/>
          <w:bCs w:val="0"/>
          <w:color w:val="000000" w:themeColor="text1"/>
          <w:sz w:val="24"/>
          <w:szCs w:val="24"/>
          <w:lang w:eastAsia="zh-CN"/>
          <w14:textFill>
            <w14:solidFill>
              <w14:schemeClr w14:val="tx1"/>
            </w14:solidFill>
          </w14:textFill>
        </w:rPr>
        <w:t>）签订合同</w:t>
      </w:r>
    </w:p>
    <w:p w14:paraId="686C1961">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1.本次采购方式已指定品牌、型号，为确保采购人的合法权益，合同签订前，中标供应商须提供所投货物指定品牌生产厂家项目授权书原件（加盖厂家公章或厂家项目授权章)，经采购人向生产厂家核实真伪后方可签订合同。如中标供应商在成交结果确定之日起2个工作日内无法提供以上材料，或提供的所有产品指定品牌生产厂家项目授权书与采购文件要求不符，或提交材料虚假等，中标结果无效，采购人将不予签订合同，取消采购结果，追究中标供应商责任，并向市政府采购监督管理办公室举报。</w:t>
      </w:r>
    </w:p>
    <w:p w14:paraId="58D573B8">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2.签订合同前，采购人通知中标供应商提供产品试用样品给采购人检测，中标供应商须在收到通知后3个工作日内提供样品，以确认竞标产品是否满足采购文件的要求，并且产生额外费用由中标供应商承担。中标供应商提供样品后，采购方将向生产厂商核实产品样品的真实性。如生产厂商核实产品样品为虚假产品，中标结果无效，采购人将不予签订合同，取消采购结果并追究责任。</w:t>
      </w:r>
    </w:p>
    <w:p w14:paraId="6E2A7BBA">
      <w:pPr>
        <w:widowControl/>
        <w:spacing w:line="360" w:lineRule="auto"/>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四</w:t>
      </w:r>
      <w:r>
        <w:rPr>
          <w:rFonts w:hint="eastAsia" w:ascii="宋体" w:hAnsi="宋体" w:eastAsia="宋体" w:cs="宋体"/>
          <w:b w:val="0"/>
          <w:bCs w:val="0"/>
          <w:color w:val="000000" w:themeColor="text1"/>
          <w:sz w:val="24"/>
          <w:szCs w:val="24"/>
          <w:lang w:eastAsia="zh-CN"/>
          <w14:textFill>
            <w14:solidFill>
              <w14:schemeClr w14:val="tx1"/>
            </w14:solidFill>
          </w14:textFill>
        </w:rPr>
        <w:t>）供货要求</w:t>
      </w:r>
    </w:p>
    <w:p w14:paraId="2135CB3B">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1.签订合同后15个工作日内必须全部供完产品并安装验收完毕。</w:t>
      </w:r>
    </w:p>
    <w:p w14:paraId="298BDDB8">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2</w:t>
      </w:r>
      <w:r>
        <w:rPr>
          <w:rFonts w:hint="eastAsia" w:ascii="宋体" w:hAnsi="宋体" w:eastAsia="宋体" w:cs="宋体"/>
          <w:b w:val="0"/>
          <w:bCs w:val="0"/>
          <w:color w:val="000000" w:themeColor="text1"/>
          <w:sz w:val="24"/>
          <w:szCs w:val="24"/>
          <w:lang w:val="en-US" w:eastAsia="zh-CN"/>
          <w14:textFill>
            <w14:solidFill>
              <w14:schemeClr w14:val="tx1"/>
            </w14:solidFill>
          </w14:textFill>
        </w:rPr>
        <w:t>.</w:t>
      </w:r>
      <w:r>
        <w:rPr>
          <w:rFonts w:hint="eastAsia" w:ascii="宋体" w:hAnsi="宋体" w:eastAsia="宋体" w:cs="宋体"/>
          <w:b w:val="0"/>
          <w:bCs w:val="0"/>
          <w:color w:val="000000" w:themeColor="text1"/>
          <w:sz w:val="24"/>
          <w:szCs w:val="24"/>
          <w:lang w:eastAsia="zh-CN"/>
          <w14:textFill>
            <w14:solidFill>
              <w14:schemeClr w14:val="tx1"/>
            </w14:solidFill>
          </w14:textFill>
        </w:rPr>
        <w:t>为保证原装正品及防虚假参数应标，签合同时，需提交本项目采购产品生产厂家针对此项目的供货证明原件(加盖厂家公章或厂家项目授权章)、售后服务承诺函原件(加盖厂家公章或厂家项目授权章)作为验收材料。验收时，采购方将严格按照采购文件要求现场验收。验收不合格的，按虚假应标处理，供应商需承担被采购方终止合同的一切风险和费用。</w:t>
      </w:r>
    </w:p>
    <w:p w14:paraId="3BEE0DFB">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3</w:t>
      </w:r>
      <w:r>
        <w:rPr>
          <w:rFonts w:hint="eastAsia" w:ascii="宋体" w:hAnsi="宋体" w:eastAsia="宋体" w:cs="宋体"/>
          <w:b w:val="0"/>
          <w:bCs w:val="0"/>
          <w:color w:val="000000" w:themeColor="text1"/>
          <w:sz w:val="24"/>
          <w:szCs w:val="24"/>
          <w:lang w:val="en-US" w:eastAsia="zh-CN"/>
          <w14:textFill>
            <w14:solidFill>
              <w14:schemeClr w14:val="tx1"/>
            </w14:solidFill>
          </w14:textFill>
        </w:rPr>
        <w:t>.</w:t>
      </w:r>
      <w:r>
        <w:rPr>
          <w:rFonts w:hint="eastAsia" w:ascii="宋体" w:hAnsi="宋体" w:eastAsia="宋体" w:cs="宋体"/>
          <w:b w:val="0"/>
          <w:bCs w:val="0"/>
          <w:color w:val="000000" w:themeColor="text1"/>
          <w:sz w:val="24"/>
          <w:szCs w:val="24"/>
          <w:lang w:eastAsia="zh-CN"/>
          <w14:textFill>
            <w14:solidFill>
              <w14:schemeClr w14:val="tx1"/>
            </w14:solidFill>
          </w14:textFill>
        </w:rPr>
        <w:t>本项目要求提供的材料为实质性要求，如不能提供以上材料或提供以上材料与要求不符，或以上材料不齐全，则视为虚假应标，虚假应标的投标人投标无效，如该投标人中标的，中标结果无效，采购人将取消采购结果并追究责任;如明知不满足竞价文件对于品牌、型号、资质等要求而进行恶意竞争的，或因竞标人虚假竞标导致竞标无效造成的工期延误及损失，将由中标人给采购人造成的损失予以赔偿。</w:t>
      </w:r>
    </w:p>
    <w:p w14:paraId="7CDCBABD">
      <w:pPr>
        <w:widowControl/>
        <w:spacing w:line="360" w:lineRule="auto"/>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五</w:t>
      </w:r>
      <w:r>
        <w:rPr>
          <w:rFonts w:hint="eastAsia" w:ascii="宋体" w:hAnsi="宋体" w:eastAsia="宋体" w:cs="宋体"/>
          <w:b w:val="0"/>
          <w:bCs w:val="0"/>
          <w:color w:val="000000" w:themeColor="text1"/>
          <w:sz w:val="24"/>
          <w:szCs w:val="24"/>
          <w:lang w:eastAsia="zh-CN"/>
          <w14:textFill>
            <w14:solidFill>
              <w14:schemeClr w14:val="tx1"/>
            </w14:solidFill>
          </w14:textFill>
        </w:rPr>
        <w:t>）售后服务要求</w:t>
      </w:r>
    </w:p>
    <w:p w14:paraId="092CCC77">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1.免费安装调试和</w:t>
      </w:r>
      <w:r>
        <w:rPr>
          <w:rFonts w:hint="eastAsia" w:ascii="宋体" w:hAnsi="宋体" w:eastAsia="宋体" w:cs="宋体"/>
          <w:b w:val="0"/>
          <w:bCs w:val="0"/>
          <w:color w:val="000000" w:themeColor="text1"/>
          <w:sz w:val="24"/>
          <w:szCs w:val="24"/>
          <w:lang w:val="en-US" w:eastAsia="zh-CN"/>
          <w14:textFill>
            <w14:solidFill>
              <w14:schemeClr w14:val="tx1"/>
            </w14:solidFill>
          </w14:textFill>
        </w:rPr>
        <w:t>组织全员对软件使用的</w:t>
      </w:r>
      <w:r>
        <w:rPr>
          <w:rFonts w:hint="eastAsia" w:ascii="宋体" w:hAnsi="宋体" w:eastAsia="宋体" w:cs="宋体"/>
          <w:b w:val="0"/>
          <w:bCs w:val="0"/>
          <w:color w:val="000000" w:themeColor="text1"/>
          <w:sz w:val="24"/>
          <w:szCs w:val="24"/>
          <w:lang w:eastAsia="zh-CN"/>
          <w14:textFill>
            <w14:solidFill>
              <w14:schemeClr w14:val="tx1"/>
            </w14:solidFill>
          </w14:textFill>
        </w:rPr>
        <w:t>培训。</w:t>
      </w:r>
    </w:p>
    <w:p w14:paraId="0BD5C689">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2.质保期</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eastAsia="zh-CN"/>
          <w14:textFill>
            <w14:solidFill>
              <w14:schemeClr w14:val="tx1"/>
            </w14:solidFill>
          </w14:textFill>
        </w:rPr>
        <w:t>年，免费上门服务(自交货安装完毕，验收合格之日起计)。</w:t>
      </w:r>
    </w:p>
    <w:p w14:paraId="37B05648">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3.其他售后服务要求:提供</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eastAsia="zh-CN"/>
          <w14:textFill>
            <w14:solidFill>
              <w14:schemeClr w14:val="tx1"/>
            </w14:solidFill>
          </w14:textFill>
        </w:rPr>
        <w:t>年质量保证期内免费服务，服务内容如下:质保期内，成交人应当提供7×24小时电话支持服务。成交人接到采购人保修通知后1个小时内响应，4个小时内排除故障。如不能及时解决故障，供应商应提供备用方案确保采购方正常使用。</w:t>
      </w:r>
    </w:p>
    <w:p w14:paraId="470E058A">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4.维保:自货物通过最终验收合格之日起免费维保</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eastAsia="zh-CN"/>
          <w14:textFill>
            <w14:solidFill>
              <w14:schemeClr w14:val="tx1"/>
            </w14:solidFill>
          </w14:textFill>
        </w:rPr>
        <w:t>年。</w:t>
      </w:r>
    </w:p>
    <w:p w14:paraId="03B46155">
      <w:pPr>
        <w:widowControl/>
        <w:spacing w:line="360" w:lineRule="auto"/>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六</w:t>
      </w:r>
      <w:r>
        <w:rPr>
          <w:rFonts w:hint="eastAsia" w:ascii="宋体" w:hAnsi="宋体" w:eastAsia="宋体" w:cs="宋体"/>
          <w:b w:val="0"/>
          <w:bCs w:val="0"/>
          <w:color w:val="000000" w:themeColor="text1"/>
          <w:sz w:val="24"/>
          <w:szCs w:val="24"/>
          <w:lang w:eastAsia="zh-CN"/>
          <w14:textFill>
            <w14:solidFill>
              <w14:schemeClr w14:val="tx1"/>
            </w14:solidFill>
          </w14:textFill>
        </w:rPr>
        <w:t>）验收方式</w:t>
      </w:r>
    </w:p>
    <w:p w14:paraId="3C0B98BF">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eastAsia="zh-CN"/>
          <w14:textFill>
            <w14:solidFill>
              <w14:schemeClr w14:val="tx1"/>
            </w14:solidFill>
          </w14:textFill>
        </w:rPr>
        <w:t>产品交付使用后，由采购人进行基本质量和数量的验收（但不作为最终合格的保证）。</w:t>
      </w:r>
    </w:p>
    <w:p w14:paraId="7DFE404D">
      <w:pPr>
        <w:widowControl/>
        <w:spacing w:line="360" w:lineRule="auto"/>
        <w:ind w:firstLine="480" w:firstLineChars="200"/>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lang w:eastAsia="zh-CN"/>
          <w14:textFill>
            <w14:solidFill>
              <w14:schemeClr w14:val="tx1"/>
            </w14:solidFill>
          </w14:textFill>
        </w:rPr>
        <w:t>.最终验收:安装调试结束后，由成交人组织相关人员按采购文件规定的技术要求进行验收。</w:t>
      </w:r>
    </w:p>
    <w:p w14:paraId="57619518">
      <w:pPr>
        <w:widowControl/>
        <w:spacing w:line="360" w:lineRule="auto"/>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七</w:t>
      </w:r>
      <w:r>
        <w:rPr>
          <w:rFonts w:hint="eastAsia" w:ascii="宋体" w:hAnsi="宋体" w:eastAsia="宋体" w:cs="宋体"/>
          <w:b w:val="0"/>
          <w:bCs w:val="0"/>
          <w:color w:val="000000" w:themeColor="text1"/>
          <w:sz w:val="24"/>
          <w:szCs w:val="24"/>
          <w:lang w:eastAsia="zh-CN"/>
          <w14:textFill>
            <w14:solidFill>
              <w14:schemeClr w14:val="tx1"/>
            </w14:solidFill>
          </w14:textFill>
        </w:rPr>
        <w:t>）付款条件</w:t>
      </w:r>
    </w:p>
    <w:p w14:paraId="382E0ABC">
      <w:pPr>
        <w:widowControl/>
        <w:spacing w:line="360" w:lineRule="auto"/>
        <w:ind w:firstLine="480" w:firstLineChars="200"/>
        <w:jc w:val="left"/>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本次项目无预付款，产品安装调试并通过采购人验收合格后，成交人开具全额发票给采购人，采购人收到发票后</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eastAsia="zh-CN"/>
          <w14:textFill>
            <w14:solidFill>
              <w14:schemeClr w14:val="tx1"/>
            </w14:solidFill>
          </w14:textFill>
        </w:rPr>
        <w:t>0个工作日内支付合同总价的全款支付给成交人。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细黑">
    <w:altName w:val="微软雅黑"/>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315"/>
    <w:rsid w:val="00003048"/>
    <w:rsid w:val="00022CA4"/>
    <w:rsid w:val="0002632C"/>
    <w:rsid w:val="000449E7"/>
    <w:rsid w:val="00047B71"/>
    <w:rsid w:val="0005328C"/>
    <w:rsid w:val="00053F15"/>
    <w:rsid w:val="00064E8F"/>
    <w:rsid w:val="000726F5"/>
    <w:rsid w:val="00077BA6"/>
    <w:rsid w:val="000C588E"/>
    <w:rsid w:val="000D4D2F"/>
    <w:rsid w:val="000E05B6"/>
    <w:rsid w:val="000E2C3E"/>
    <w:rsid w:val="00110887"/>
    <w:rsid w:val="0012542D"/>
    <w:rsid w:val="00163CF6"/>
    <w:rsid w:val="001767FC"/>
    <w:rsid w:val="00183076"/>
    <w:rsid w:val="00185023"/>
    <w:rsid w:val="001D222F"/>
    <w:rsid w:val="001F48D7"/>
    <w:rsid w:val="002619D9"/>
    <w:rsid w:val="00264A32"/>
    <w:rsid w:val="002B2CC6"/>
    <w:rsid w:val="002D5F35"/>
    <w:rsid w:val="002E2ADA"/>
    <w:rsid w:val="002E2DB2"/>
    <w:rsid w:val="00300944"/>
    <w:rsid w:val="00326716"/>
    <w:rsid w:val="0033319D"/>
    <w:rsid w:val="00350F29"/>
    <w:rsid w:val="00362B17"/>
    <w:rsid w:val="00384842"/>
    <w:rsid w:val="003B581C"/>
    <w:rsid w:val="00411510"/>
    <w:rsid w:val="00417B0A"/>
    <w:rsid w:val="00472587"/>
    <w:rsid w:val="00492C2B"/>
    <w:rsid w:val="004D3E7A"/>
    <w:rsid w:val="004F5003"/>
    <w:rsid w:val="0051443F"/>
    <w:rsid w:val="00520022"/>
    <w:rsid w:val="00525CE9"/>
    <w:rsid w:val="005767FD"/>
    <w:rsid w:val="00586AC1"/>
    <w:rsid w:val="005A1386"/>
    <w:rsid w:val="005A29EB"/>
    <w:rsid w:val="005C54B5"/>
    <w:rsid w:val="005C727B"/>
    <w:rsid w:val="005E26DE"/>
    <w:rsid w:val="0062452B"/>
    <w:rsid w:val="0062538F"/>
    <w:rsid w:val="00625F98"/>
    <w:rsid w:val="0064196E"/>
    <w:rsid w:val="00641D15"/>
    <w:rsid w:val="0065685A"/>
    <w:rsid w:val="00657104"/>
    <w:rsid w:val="00676774"/>
    <w:rsid w:val="006A46F2"/>
    <w:rsid w:val="006A6D01"/>
    <w:rsid w:val="006D0EF1"/>
    <w:rsid w:val="007011F6"/>
    <w:rsid w:val="00707726"/>
    <w:rsid w:val="007802C0"/>
    <w:rsid w:val="00782D9D"/>
    <w:rsid w:val="007C708D"/>
    <w:rsid w:val="007D0DBB"/>
    <w:rsid w:val="007D0F61"/>
    <w:rsid w:val="007D2F0B"/>
    <w:rsid w:val="0081126A"/>
    <w:rsid w:val="00817628"/>
    <w:rsid w:val="00824B87"/>
    <w:rsid w:val="00875838"/>
    <w:rsid w:val="00887BFE"/>
    <w:rsid w:val="008B48ED"/>
    <w:rsid w:val="008C02F9"/>
    <w:rsid w:val="008C78CC"/>
    <w:rsid w:val="008E277E"/>
    <w:rsid w:val="00920504"/>
    <w:rsid w:val="009230DF"/>
    <w:rsid w:val="00926B93"/>
    <w:rsid w:val="009378CC"/>
    <w:rsid w:val="009912CA"/>
    <w:rsid w:val="009B40BE"/>
    <w:rsid w:val="009C3FC1"/>
    <w:rsid w:val="009D22B5"/>
    <w:rsid w:val="009E2DB3"/>
    <w:rsid w:val="00A02BD9"/>
    <w:rsid w:val="00A16C17"/>
    <w:rsid w:val="00A37956"/>
    <w:rsid w:val="00A5352E"/>
    <w:rsid w:val="00A66719"/>
    <w:rsid w:val="00AC088D"/>
    <w:rsid w:val="00AC3E36"/>
    <w:rsid w:val="00B01917"/>
    <w:rsid w:val="00B04905"/>
    <w:rsid w:val="00B14E82"/>
    <w:rsid w:val="00B71322"/>
    <w:rsid w:val="00B81AB6"/>
    <w:rsid w:val="00B94202"/>
    <w:rsid w:val="00BD4DC0"/>
    <w:rsid w:val="00C05315"/>
    <w:rsid w:val="00C0548C"/>
    <w:rsid w:val="00C15A71"/>
    <w:rsid w:val="00C21053"/>
    <w:rsid w:val="00C3170A"/>
    <w:rsid w:val="00C422B2"/>
    <w:rsid w:val="00CC343A"/>
    <w:rsid w:val="00CE248C"/>
    <w:rsid w:val="00D20446"/>
    <w:rsid w:val="00D33583"/>
    <w:rsid w:val="00D6296D"/>
    <w:rsid w:val="00D81EE5"/>
    <w:rsid w:val="00D85CB4"/>
    <w:rsid w:val="00D86F91"/>
    <w:rsid w:val="00D91C03"/>
    <w:rsid w:val="00DF6700"/>
    <w:rsid w:val="00DF7293"/>
    <w:rsid w:val="00E21665"/>
    <w:rsid w:val="00E22C25"/>
    <w:rsid w:val="00E3690C"/>
    <w:rsid w:val="00E51FDE"/>
    <w:rsid w:val="00E56C9E"/>
    <w:rsid w:val="00E9722A"/>
    <w:rsid w:val="00EE747A"/>
    <w:rsid w:val="00F0147F"/>
    <w:rsid w:val="00F2442F"/>
    <w:rsid w:val="00F562DE"/>
    <w:rsid w:val="00F91FBC"/>
    <w:rsid w:val="00FB4160"/>
    <w:rsid w:val="00FB7E45"/>
    <w:rsid w:val="00FC075F"/>
    <w:rsid w:val="00FF39E3"/>
    <w:rsid w:val="0A090B7E"/>
    <w:rsid w:val="0AFF553E"/>
    <w:rsid w:val="0D6B342F"/>
    <w:rsid w:val="0FB46B93"/>
    <w:rsid w:val="133F4C23"/>
    <w:rsid w:val="1A2F6D03"/>
    <w:rsid w:val="1EB429F5"/>
    <w:rsid w:val="22CA12A4"/>
    <w:rsid w:val="32847649"/>
    <w:rsid w:val="36BD6613"/>
    <w:rsid w:val="3B4C7FCA"/>
    <w:rsid w:val="3BEF5BEA"/>
    <w:rsid w:val="3D283D7D"/>
    <w:rsid w:val="449F4A05"/>
    <w:rsid w:val="5FA36994"/>
    <w:rsid w:val="7A211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5">
    <w:name w:val="Body Text"/>
    <w:basedOn w:val="1"/>
    <w:link w:val="19"/>
    <w:qFormat/>
    <w:uiPriority w:val="1"/>
    <w:pPr>
      <w:autoSpaceDE w:val="0"/>
      <w:autoSpaceDN w:val="0"/>
      <w:jc w:val="left"/>
    </w:pPr>
    <w:rPr>
      <w:rFonts w:ascii="宋体" w:hAnsi="宋体" w:eastAsia="宋体" w:cs="宋体"/>
      <w:kern w:val="0"/>
      <w:sz w:val="24"/>
      <w:szCs w:val="24"/>
      <w:lang w:val="zh-CN" w:bidi="zh-CN"/>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tabs>
        <w:tab w:val="center" w:pos="4153"/>
        <w:tab w:val="right" w:pos="8306"/>
      </w:tabs>
      <w:snapToGrid w:val="0"/>
      <w:jc w:val="center"/>
    </w:pPr>
    <w:rPr>
      <w:sz w:val="18"/>
      <w:szCs w:val="18"/>
    </w:rPr>
  </w:style>
  <w:style w:type="paragraph" w:styleId="8">
    <w:name w:val="toc 1"/>
    <w:basedOn w:val="1"/>
    <w:next w:val="1"/>
    <w:semiHidden/>
    <w:unhideWhenUsed/>
    <w:qFormat/>
    <w:uiPriority w:val="39"/>
    <w:pPr>
      <w:tabs>
        <w:tab w:val="right" w:leader="dot" w:pos="8398"/>
      </w:tabs>
      <w:spacing w:before="120" w:after="120"/>
      <w:ind w:firstLine="240" w:firstLineChars="100"/>
      <w:jc w:val="left"/>
    </w:pPr>
    <w:rPr>
      <w:rFonts w:ascii="宋体" w:hAnsi="宋体"/>
      <w:b/>
      <w:bCs/>
      <w:caps/>
      <w:sz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character" w:customStyle="1" w:styleId="14">
    <w:name w:val="标题 1 字符"/>
    <w:basedOn w:val="11"/>
    <w:link w:val="3"/>
    <w:qFormat/>
    <w:uiPriority w:val="9"/>
    <w:rPr>
      <w:b/>
      <w:bCs/>
      <w:kern w:val="44"/>
      <w:sz w:val="44"/>
      <w:szCs w:val="44"/>
    </w:rPr>
  </w:style>
  <w:style w:type="character" w:customStyle="1" w:styleId="15">
    <w:name w:val="标题 2 字符"/>
    <w:basedOn w:val="11"/>
    <w:link w:val="4"/>
    <w:qFormat/>
    <w:uiPriority w:val="9"/>
    <w:rPr>
      <w:rFonts w:asciiTheme="majorHAnsi" w:hAnsiTheme="majorHAnsi" w:eastAsiaTheme="majorEastAsia" w:cstheme="majorBidi"/>
      <w:b/>
      <w:bCs/>
      <w:sz w:val="32"/>
      <w:szCs w:val="32"/>
    </w:rPr>
  </w:style>
  <w:style w:type="paragraph" w:customStyle="1" w:styleId="16">
    <w:name w:val="方案正文"/>
    <w:basedOn w:val="1"/>
    <w:link w:val="17"/>
    <w:qFormat/>
    <w:uiPriority w:val="99"/>
    <w:pPr>
      <w:spacing w:before="120"/>
      <w:ind w:firstLine="425" w:firstLineChars="177"/>
    </w:pPr>
    <w:rPr>
      <w:rFonts w:ascii="华文细黑" w:hAnsi="华文细黑" w:eastAsia="华文细黑" w:cs="Times New Roman"/>
      <w:szCs w:val="20"/>
    </w:rPr>
  </w:style>
  <w:style w:type="character" w:customStyle="1" w:styleId="17">
    <w:name w:val="方案正文 Char"/>
    <w:link w:val="16"/>
    <w:qFormat/>
    <w:locked/>
    <w:uiPriority w:val="99"/>
    <w:rPr>
      <w:rFonts w:ascii="华文细黑" w:hAnsi="华文细黑" w:eastAsia="华文细黑" w:cs="Times New Roman"/>
      <w:szCs w:val="20"/>
    </w:rPr>
  </w:style>
  <w:style w:type="paragraph" w:styleId="18">
    <w:name w:val="List Paragraph"/>
    <w:basedOn w:val="1"/>
    <w:qFormat/>
    <w:uiPriority w:val="34"/>
    <w:pPr>
      <w:ind w:firstLine="420" w:firstLineChars="200"/>
    </w:pPr>
  </w:style>
  <w:style w:type="character" w:customStyle="1" w:styleId="19">
    <w:name w:val="正文文本 字符"/>
    <w:basedOn w:val="11"/>
    <w:link w:val="5"/>
    <w:qFormat/>
    <w:uiPriority w:val="1"/>
    <w:rPr>
      <w:rFonts w:ascii="宋体" w:hAnsi="宋体" w:eastAsia="宋体" w:cs="宋体"/>
      <w:kern w:val="0"/>
      <w:sz w:val="24"/>
      <w:szCs w:val="24"/>
      <w:lang w:val="zh-CN" w:bidi="zh-CN"/>
    </w:rPr>
  </w:style>
  <w:style w:type="table" w:customStyle="1" w:styleId="20">
    <w:name w:val="Table Normal"/>
    <w:semiHidden/>
    <w:unhideWhenUsed/>
    <w:qFormat/>
    <w:uiPriority w:val="2"/>
    <w:pPr>
      <w:widowControl w:val="0"/>
      <w:autoSpaceDE w:val="0"/>
      <w:autoSpaceDN w:val="0"/>
    </w:pPr>
    <w:rPr>
      <w:kern w:val="0"/>
      <w:sz w:val="22"/>
      <w:szCs w:val="20"/>
      <w:lang w:eastAsia="en-US"/>
    </w:rPr>
    <w:tblPr>
      <w:tblCellMar>
        <w:top w:w="0" w:type="dxa"/>
        <w:left w:w="0" w:type="dxa"/>
        <w:bottom w:w="0" w:type="dxa"/>
        <w:right w:w="0" w:type="dxa"/>
      </w:tblCellMar>
    </w:tblPr>
  </w:style>
  <w:style w:type="paragraph" w:customStyle="1" w:styleId="21">
    <w:name w:val="Table Paragraph"/>
    <w:basedOn w:val="1"/>
    <w:qFormat/>
    <w:uiPriority w:val="99"/>
    <w:pPr>
      <w:autoSpaceDE w:val="0"/>
      <w:autoSpaceDN w:val="0"/>
      <w:jc w:val="left"/>
    </w:pPr>
    <w:rPr>
      <w:rFonts w:ascii="宋体" w:hAnsi="宋体" w:eastAsia="宋体" w:cs="宋体"/>
      <w:kern w:val="0"/>
      <w:sz w:val="2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73F08-3B94-4DA7-9E6C-29A4EE4D76E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3987</Words>
  <Characters>4131</Characters>
  <Lines>14</Lines>
  <Paragraphs>4</Paragraphs>
  <TotalTime>4</TotalTime>
  <ScaleCrop>false</ScaleCrop>
  <LinksUpToDate>false</LinksUpToDate>
  <CharactersWithSpaces>4133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2023-02-08T01:24:00Z</dcterms:created>
  <dc:creator>Hu jie</dc:creator>
  <cp:lastModifiedBy>老阳</cp:lastModifiedBy>
  <dcterms:modified xsi:type="dcterms:W3CDTF">2026-10-08T00:53:07Z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eyJoZGlkIjoiOTZkZDVmNzBiZGNiZTJiMTNjOTFhZTJiYjI4ZWQ4OTAiLCJ1c2VySWQiOiI0MzU5NDIxNTAifQ==</vt:lpwstr>
  </property>
  <property fmtid="{D5CDD505-2E9C-101B-9397-08002B2CF9AE}" pid="4" name="ICV">
    <vt:lpwstr>45D4BA7570D0481CA080BC0CB89F7243_13</vt:lpwstr>
  </property>
</Properties>
</file>