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0C190">
      <w:pPr>
        <w:pStyle w:val="17"/>
        <w:keepNext w:val="0"/>
        <w:keepLines w:val="0"/>
        <w:pageBreakBefore w:val="0"/>
        <w:kinsoku/>
        <w:wordWrap/>
        <w:overflowPunct/>
        <w:topLinePunct w:val="0"/>
        <w:bidi w:val="0"/>
        <w:spacing w:line="400" w:lineRule="exact"/>
        <w:ind w:left="0" w:leftChars="0" w:firstLine="0" w:firstLineChars="0"/>
        <w:rPr>
          <w:rFonts w:hint="eastAsia" w:ascii="宋体" w:hAnsi="宋体"/>
          <w:b w:val="0"/>
          <w:bCs w:val="0"/>
          <w:color w:val="000000" w:themeColor="text1"/>
          <w:sz w:val="28"/>
          <w:szCs w:val="28"/>
          <w:lang w:val="en-US" w:eastAsia="zh-CN"/>
          <w14:textFill>
            <w14:solidFill>
              <w14:schemeClr w14:val="tx1"/>
            </w14:solidFill>
          </w14:textFill>
        </w:rPr>
      </w:pPr>
      <w:r>
        <w:rPr>
          <w:rFonts w:hint="eastAsia" w:ascii="宋体" w:hAnsi="宋体"/>
          <w:b w:val="0"/>
          <w:bCs w:val="0"/>
          <w:color w:val="000000" w:themeColor="text1"/>
          <w:sz w:val="28"/>
          <w:szCs w:val="28"/>
          <w:lang w:val="en-US" w:eastAsia="zh-CN"/>
          <w14:textFill>
            <w14:solidFill>
              <w14:schemeClr w14:val="tx1"/>
            </w14:solidFill>
          </w14:textFill>
        </w:rPr>
        <w:t>附件1</w:t>
      </w:r>
    </w:p>
    <w:p w14:paraId="683E3206">
      <w:pPr>
        <w:pStyle w:val="17"/>
        <w:keepNext w:val="0"/>
        <w:keepLines w:val="0"/>
        <w:pageBreakBefore w:val="0"/>
        <w:kinsoku/>
        <w:wordWrap/>
        <w:overflowPunct/>
        <w:topLinePunct w:val="0"/>
        <w:bidi w:val="0"/>
        <w:spacing w:line="240" w:lineRule="auto"/>
        <w:ind w:firstLine="3960" w:firstLineChars="900"/>
        <w:rPr>
          <w:rFonts w:hint="eastAsia" w:ascii="宋体" w:hAnsi="宋体"/>
          <w:b w:val="0"/>
          <w:bCs w:val="0"/>
          <w:color w:val="000000" w:themeColor="text1"/>
          <w:sz w:val="44"/>
          <w:szCs w:val="44"/>
          <w:lang w:val="en-US" w:eastAsia="zh-CN"/>
          <w14:textFill>
            <w14:solidFill>
              <w14:schemeClr w14:val="tx1"/>
            </w14:solidFill>
          </w14:textFill>
        </w:rPr>
      </w:pPr>
      <w:r>
        <w:rPr>
          <w:rFonts w:hint="eastAsia" w:ascii="宋体" w:hAnsi="宋体"/>
          <w:b w:val="0"/>
          <w:bCs w:val="0"/>
          <w:color w:val="000000" w:themeColor="text1"/>
          <w:sz w:val="44"/>
          <w:szCs w:val="44"/>
          <w:lang w:val="en-US" w:eastAsia="zh-CN"/>
          <w14:textFill>
            <w14:solidFill>
              <w14:schemeClr w14:val="tx1"/>
            </w14:solidFill>
          </w14:textFill>
        </w:rPr>
        <w:t>采购需求</w:t>
      </w:r>
    </w:p>
    <w:p w14:paraId="52A038A6">
      <w:pPr>
        <w:pStyle w:val="18"/>
        <w:rPr>
          <w:rFonts w:hint="default"/>
          <w:lang w:val="en-US" w:eastAsia="zh-CN"/>
        </w:rPr>
      </w:pPr>
    </w:p>
    <w:p w14:paraId="6E08C8D2">
      <w:pPr>
        <w:pStyle w:val="17"/>
        <w:keepNext w:val="0"/>
        <w:keepLines w:val="0"/>
        <w:pageBreakBefore w:val="0"/>
        <w:kinsoku/>
        <w:wordWrap/>
        <w:overflowPunct/>
        <w:topLinePunct w:val="0"/>
        <w:bidi w:val="0"/>
        <w:spacing w:line="400" w:lineRule="exact"/>
        <w:ind w:left="0" w:leftChars="0" w:firstLine="480" w:firstLineChars="200"/>
        <w:rPr>
          <w:rFonts w:hint="eastAsia"/>
          <w:color w:val="auto"/>
          <w:lang w:val="en-US" w:eastAsia="zh-CN"/>
        </w:rPr>
      </w:pPr>
      <w:r>
        <w:rPr>
          <w:rFonts w:hint="eastAsia"/>
          <w:color w:val="auto"/>
          <w:lang w:eastAsia="zh-CN"/>
        </w:rPr>
        <w:t>所有</w:t>
      </w:r>
      <w:r>
        <w:rPr>
          <w:rFonts w:hint="eastAsia"/>
          <w:color w:val="auto"/>
        </w:rPr>
        <w:t>技术</w:t>
      </w:r>
      <w:r>
        <w:rPr>
          <w:rFonts w:hint="eastAsia"/>
          <w:color w:val="auto"/>
          <w:lang w:eastAsia="zh-CN"/>
        </w:rPr>
        <w:t>规格参数</w:t>
      </w:r>
      <w:r>
        <w:rPr>
          <w:rFonts w:hint="eastAsia"/>
          <w:color w:val="auto"/>
        </w:rPr>
        <w:t>要求</w:t>
      </w:r>
      <w:r>
        <w:rPr>
          <w:rFonts w:hint="eastAsia"/>
          <w:color w:val="auto"/>
          <w:lang w:val="en-US" w:eastAsia="zh-CN"/>
        </w:rPr>
        <w:t>及商务要求</w:t>
      </w:r>
      <w:r>
        <w:rPr>
          <w:rFonts w:hint="eastAsia"/>
          <w:color w:val="auto"/>
        </w:rPr>
        <w:t>均为实质性条款，必须满足或者优于，否则其</w:t>
      </w:r>
      <w:r>
        <w:rPr>
          <w:rFonts w:hint="eastAsia"/>
          <w:color w:val="auto"/>
          <w:lang w:eastAsia="zh-CN"/>
        </w:rPr>
        <w:t>投标</w:t>
      </w:r>
      <w:r>
        <w:rPr>
          <w:rFonts w:hint="eastAsia"/>
          <w:color w:val="auto"/>
        </w:rPr>
        <w:t>文件</w:t>
      </w:r>
      <w:r>
        <w:rPr>
          <w:rFonts w:hint="eastAsia"/>
          <w:color w:val="auto"/>
          <w:lang w:eastAsia="zh-CN"/>
        </w:rPr>
        <w:t>无效。</w:t>
      </w:r>
    </w:p>
    <w:p w14:paraId="11BBA451">
      <w:pPr>
        <w:pStyle w:val="17"/>
        <w:keepNext w:val="0"/>
        <w:keepLines w:val="0"/>
        <w:pageBreakBefore w:val="0"/>
        <w:kinsoku/>
        <w:wordWrap/>
        <w:overflowPunct/>
        <w:topLinePunct w:val="0"/>
        <w:bidi w:val="0"/>
        <w:spacing w:line="400" w:lineRule="exact"/>
        <w:ind w:left="0" w:leftChars="0" w:firstLine="480" w:firstLineChars="200"/>
        <w:rPr>
          <w:rFonts w:hint="eastAsia"/>
          <w:color w:val="auto"/>
        </w:rPr>
      </w:pPr>
      <w:r>
        <w:rPr>
          <w:rFonts w:hint="eastAsia"/>
          <w:color w:val="auto"/>
        </w:rPr>
        <w:t>一、采购清单、技术规格参数、质量标准和要求</w:t>
      </w:r>
    </w:p>
    <w:p w14:paraId="515CA7BA">
      <w:pPr>
        <w:pStyle w:val="17"/>
        <w:keepNext w:val="0"/>
        <w:keepLines w:val="0"/>
        <w:pageBreakBefore w:val="0"/>
        <w:kinsoku/>
        <w:wordWrap/>
        <w:overflowPunct/>
        <w:topLinePunct w:val="0"/>
        <w:bidi w:val="0"/>
        <w:spacing w:line="400" w:lineRule="exact"/>
        <w:ind w:left="0" w:leftChars="0"/>
        <w:rPr>
          <w:b/>
          <w:bCs/>
        </w:rPr>
      </w:pPr>
      <w:r>
        <w:rPr>
          <w:rFonts w:hint="eastAsia" w:cs="宋体"/>
          <w:b/>
          <w:bCs/>
        </w:rPr>
        <w:t>（一）采购清单</w:t>
      </w:r>
      <w:r>
        <w:rPr>
          <w:b/>
          <w:bCs/>
        </w:rPr>
        <w:t> </w:t>
      </w:r>
    </w:p>
    <w:tbl>
      <w:tblPr>
        <w:tblStyle w:val="14"/>
        <w:tblW w:w="96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801"/>
        <w:gridCol w:w="1052"/>
        <w:gridCol w:w="1269"/>
        <w:gridCol w:w="1597"/>
        <w:gridCol w:w="3131"/>
      </w:tblGrid>
      <w:tr w14:paraId="0566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Pr>
          <w:p w14:paraId="79F0CC7B">
            <w:pPr>
              <w:pStyle w:val="17"/>
              <w:keepNext w:val="0"/>
              <w:keepLines w:val="0"/>
              <w:pageBreakBefore w:val="0"/>
              <w:kinsoku/>
              <w:wordWrap/>
              <w:overflowPunct/>
              <w:topLinePunct w:val="0"/>
              <w:bidi w:val="0"/>
              <w:spacing w:line="400" w:lineRule="exact"/>
              <w:ind w:left="0" w:leftChars="0"/>
              <w:jc w:val="center"/>
              <w:rPr>
                <w:rFonts w:hint="default"/>
                <w:b/>
                <w:bCs/>
                <w:vertAlign w:val="baseline"/>
                <w:lang w:val="en-US" w:eastAsia="zh-CN"/>
              </w:rPr>
            </w:pPr>
            <w:r>
              <w:rPr>
                <w:rFonts w:hint="eastAsia"/>
                <w:b/>
                <w:bCs/>
                <w:vertAlign w:val="baseline"/>
                <w:lang w:val="en-US" w:eastAsia="zh-CN"/>
              </w:rPr>
              <w:t>序号</w:t>
            </w:r>
          </w:p>
        </w:tc>
        <w:tc>
          <w:tcPr>
            <w:tcW w:w="1801" w:type="dxa"/>
          </w:tcPr>
          <w:p w14:paraId="0CE425C8">
            <w:pPr>
              <w:pStyle w:val="17"/>
              <w:keepNext w:val="0"/>
              <w:keepLines w:val="0"/>
              <w:pageBreakBefore w:val="0"/>
              <w:kinsoku/>
              <w:wordWrap/>
              <w:overflowPunct/>
              <w:topLinePunct w:val="0"/>
              <w:bidi w:val="0"/>
              <w:spacing w:line="400" w:lineRule="exact"/>
              <w:ind w:left="0" w:leftChars="0" w:firstLine="241" w:firstLineChars="100"/>
              <w:jc w:val="center"/>
              <w:rPr>
                <w:rFonts w:hint="default"/>
                <w:b/>
                <w:bCs/>
                <w:vertAlign w:val="baseline"/>
                <w:lang w:val="en-US" w:eastAsia="zh-CN"/>
              </w:rPr>
            </w:pPr>
            <w:r>
              <w:rPr>
                <w:rFonts w:hint="eastAsia"/>
                <w:b/>
                <w:bCs/>
                <w:vertAlign w:val="baseline"/>
                <w:lang w:val="en-US" w:eastAsia="zh-CN"/>
              </w:rPr>
              <w:t>项目名称</w:t>
            </w:r>
          </w:p>
        </w:tc>
        <w:tc>
          <w:tcPr>
            <w:tcW w:w="1052" w:type="dxa"/>
          </w:tcPr>
          <w:p w14:paraId="5BDDBDE3">
            <w:pPr>
              <w:pStyle w:val="17"/>
              <w:keepNext w:val="0"/>
              <w:keepLines w:val="0"/>
              <w:pageBreakBefore w:val="0"/>
              <w:kinsoku/>
              <w:wordWrap/>
              <w:overflowPunct/>
              <w:topLinePunct w:val="0"/>
              <w:bidi w:val="0"/>
              <w:spacing w:line="400" w:lineRule="exact"/>
              <w:ind w:left="0" w:leftChars="0"/>
              <w:jc w:val="center"/>
              <w:rPr>
                <w:rFonts w:hint="default"/>
                <w:b/>
                <w:bCs/>
                <w:vertAlign w:val="baseline"/>
                <w:lang w:val="en-US" w:eastAsia="zh-CN"/>
              </w:rPr>
            </w:pPr>
            <w:r>
              <w:rPr>
                <w:rFonts w:hint="eastAsia"/>
                <w:b/>
                <w:bCs/>
                <w:vertAlign w:val="baseline"/>
                <w:lang w:val="en-US" w:eastAsia="zh-CN"/>
              </w:rPr>
              <w:t>数量</w:t>
            </w:r>
          </w:p>
        </w:tc>
        <w:tc>
          <w:tcPr>
            <w:tcW w:w="1269" w:type="dxa"/>
          </w:tcPr>
          <w:p w14:paraId="3982FC44">
            <w:pPr>
              <w:pStyle w:val="17"/>
              <w:keepNext w:val="0"/>
              <w:keepLines w:val="0"/>
              <w:pageBreakBefore w:val="0"/>
              <w:kinsoku/>
              <w:wordWrap/>
              <w:overflowPunct/>
              <w:topLinePunct w:val="0"/>
              <w:bidi w:val="0"/>
              <w:spacing w:line="400" w:lineRule="exact"/>
              <w:ind w:left="0" w:leftChars="0"/>
              <w:jc w:val="center"/>
              <w:rPr>
                <w:rFonts w:hint="default"/>
                <w:b/>
                <w:bCs/>
                <w:vertAlign w:val="baseline"/>
                <w:lang w:val="en-US" w:eastAsia="zh-CN"/>
              </w:rPr>
            </w:pPr>
            <w:r>
              <w:rPr>
                <w:rFonts w:hint="eastAsia"/>
                <w:b/>
                <w:bCs/>
                <w:vertAlign w:val="baseline"/>
                <w:lang w:val="en-US" w:eastAsia="zh-CN"/>
              </w:rPr>
              <w:t>上控单价</w:t>
            </w:r>
          </w:p>
        </w:tc>
        <w:tc>
          <w:tcPr>
            <w:tcW w:w="1597" w:type="dxa"/>
          </w:tcPr>
          <w:p w14:paraId="25F152CC">
            <w:pPr>
              <w:pStyle w:val="17"/>
              <w:keepNext w:val="0"/>
              <w:keepLines w:val="0"/>
              <w:pageBreakBefore w:val="0"/>
              <w:kinsoku/>
              <w:wordWrap/>
              <w:overflowPunct/>
              <w:topLinePunct w:val="0"/>
              <w:bidi w:val="0"/>
              <w:spacing w:line="400" w:lineRule="exact"/>
              <w:ind w:left="0" w:leftChars="0"/>
              <w:jc w:val="center"/>
              <w:rPr>
                <w:rFonts w:hint="default"/>
                <w:b/>
                <w:bCs/>
                <w:vertAlign w:val="baseline"/>
                <w:lang w:val="en-US" w:eastAsia="zh-CN"/>
              </w:rPr>
            </w:pPr>
            <w:r>
              <w:rPr>
                <w:rFonts w:hint="eastAsia"/>
                <w:b/>
                <w:bCs/>
                <w:vertAlign w:val="baseline"/>
                <w:lang w:val="en-US" w:eastAsia="zh-CN"/>
              </w:rPr>
              <w:t>上控价小计</w:t>
            </w:r>
          </w:p>
        </w:tc>
        <w:tc>
          <w:tcPr>
            <w:tcW w:w="3131" w:type="dxa"/>
          </w:tcPr>
          <w:p w14:paraId="5BF1303E">
            <w:pPr>
              <w:pStyle w:val="17"/>
              <w:keepNext w:val="0"/>
              <w:keepLines w:val="0"/>
              <w:pageBreakBefore w:val="0"/>
              <w:kinsoku/>
              <w:wordWrap/>
              <w:overflowPunct/>
              <w:topLinePunct w:val="0"/>
              <w:bidi w:val="0"/>
              <w:spacing w:line="400" w:lineRule="exact"/>
              <w:ind w:left="0" w:leftChars="0"/>
              <w:jc w:val="center"/>
              <w:rPr>
                <w:rFonts w:hint="eastAsia"/>
                <w:b/>
                <w:bCs/>
                <w:vertAlign w:val="baseline"/>
                <w:lang w:val="en-US" w:eastAsia="zh-CN"/>
              </w:rPr>
            </w:pPr>
          </w:p>
        </w:tc>
      </w:tr>
      <w:tr w14:paraId="04E8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0CA5AC56">
            <w:pPr>
              <w:pStyle w:val="17"/>
              <w:keepNext w:val="0"/>
              <w:keepLines w:val="0"/>
              <w:pageBreakBefore w:val="0"/>
              <w:kinsoku/>
              <w:wordWrap/>
              <w:overflowPunct/>
              <w:topLinePunct w:val="0"/>
              <w:bidi w:val="0"/>
              <w:spacing w:line="400" w:lineRule="exact"/>
              <w:ind w:left="0" w:leftChars="0"/>
              <w:jc w:val="center"/>
              <w:rPr>
                <w:rFonts w:hint="default" w:cs="宋体"/>
                <w:sz w:val="24"/>
                <w:szCs w:val="24"/>
                <w:lang w:val="en-US" w:eastAsia="zh-CN"/>
              </w:rPr>
            </w:pPr>
            <w:r>
              <w:rPr>
                <w:rFonts w:hint="eastAsia" w:cs="宋体"/>
                <w:sz w:val="24"/>
                <w:szCs w:val="24"/>
                <w:lang w:val="en-US" w:eastAsia="zh-CN"/>
              </w:rPr>
              <w:t>1</w:t>
            </w:r>
          </w:p>
        </w:tc>
        <w:tc>
          <w:tcPr>
            <w:tcW w:w="1801" w:type="dxa"/>
            <w:vAlign w:val="center"/>
          </w:tcPr>
          <w:p w14:paraId="32425AEC">
            <w:pPr>
              <w:pStyle w:val="17"/>
              <w:keepNext w:val="0"/>
              <w:keepLines w:val="0"/>
              <w:pageBreakBefore w:val="0"/>
              <w:kinsoku/>
              <w:wordWrap/>
              <w:overflowPunct/>
              <w:topLinePunct w:val="0"/>
              <w:bidi w:val="0"/>
              <w:spacing w:line="400" w:lineRule="exact"/>
              <w:ind w:left="0" w:leftChars="0"/>
              <w:jc w:val="center"/>
              <w:rPr>
                <w:rFonts w:hint="eastAsia" w:cs="宋体"/>
                <w:sz w:val="24"/>
                <w:szCs w:val="24"/>
                <w:lang w:val="en-US" w:eastAsia="zh-CN"/>
              </w:rPr>
            </w:pPr>
            <w:r>
              <w:rPr>
                <w:rFonts w:hint="eastAsia" w:cs="宋体"/>
                <w:sz w:val="24"/>
                <w:szCs w:val="24"/>
                <w:lang w:val="en-US" w:eastAsia="zh-CN"/>
              </w:rPr>
              <w:t>中药熏</w:t>
            </w:r>
            <w:r>
              <w:rPr>
                <w:rFonts w:hint="eastAsia" w:ascii="宋体" w:hAnsi="宋体" w:eastAsia="宋体" w:cs="宋体"/>
                <w:b w:val="0"/>
                <w:bCs w:val="0"/>
                <w:color w:val="auto"/>
                <w:kern w:val="0"/>
                <w:sz w:val="28"/>
                <w:szCs w:val="28"/>
                <w:lang w:val="en-US" w:eastAsia="zh-CN" w:bidi="ar-SA"/>
              </w:rPr>
              <w:t>蒸</w:t>
            </w:r>
            <w:bookmarkStart w:id="0" w:name="_GoBack"/>
            <w:bookmarkEnd w:id="0"/>
            <w:r>
              <w:rPr>
                <w:rFonts w:hint="eastAsia" w:cs="宋体"/>
                <w:sz w:val="24"/>
                <w:szCs w:val="24"/>
                <w:lang w:val="en-US" w:eastAsia="zh-CN"/>
              </w:rPr>
              <w:t>机</w:t>
            </w:r>
          </w:p>
        </w:tc>
        <w:tc>
          <w:tcPr>
            <w:tcW w:w="1052" w:type="dxa"/>
            <w:vAlign w:val="center"/>
          </w:tcPr>
          <w:p w14:paraId="2E5336D2">
            <w:pPr>
              <w:pStyle w:val="17"/>
              <w:keepNext w:val="0"/>
              <w:keepLines w:val="0"/>
              <w:pageBreakBefore w:val="0"/>
              <w:kinsoku/>
              <w:wordWrap/>
              <w:overflowPunct/>
              <w:topLinePunct w:val="0"/>
              <w:bidi w:val="0"/>
              <w:spacing w:line="400" w:lineRule="exact"/>
              <w:ind w:left="0" w:leftChars="0"/>
              <w:jc w:val="center"/>
              <w:rPr>
                <w:rFonts w:hint="default" w:cs="宋体"/>
                <w:sz w:val="24"/>
                <w:szCs w:val="24"/>
                <w:lang w:val="en-US" w:eastAsia="zh-CN"/>
              </w:rPr>
            </w:pPr>
            <w:r>
              <w:rPr>
                <w:rFonts w:hint="eastAsia" w:cs="宋体"/>
                <w:sz w:val="24"/>
                <w:szCs w:val="24"/>
                <w:lang w:val="en-US" w:eastAsia="zh-CN"/>
              </w:rPr>
              <w:t>1台</w:t>
            </w:r>
          </w:p>
        </w:tc>
        <w:tc>
          <w:tcPr>
            <w:tcW w:w="1269" w:type="dxa"/>
            <w:vAlign w:val="center"/>
          </w:tcPr>
          <w:p w14:paraId="1D830FBD">
            <w:pPr>
              <w:pStyle w:val="17"/>
              <w:keepNext w:val="0"/>
              <w:keepLines w:val="0"/>
              <w:pageBreakBefore w:val="0"/>
              <w:kinsoku/>
              <w:wordWrap/>
              <w:overflowPunct/>
              <w:topLinePunct w:val="0"/>
              <w:bidi w:val="0"/>
              <w:spacing w:line="400" w:lineRule="exact"/>
              <w:ind w:left="0" w:leftChars="0"/>
              <w:jc w:val="center"/>
              <w:rPr>
                <w:rFonts w:hint="default" w:cs="宋体"/>
                <w:sz w:val="24"/>
                <w:szCs w:val="24"/>
                <w:lang w:val="en-US" w:eastAsia="zh-CN"/>
              </w:rPr>
            </w:pPr>
            <w:r>
              <w:rPr>
                <w:rFonts w:hint="eastAsia" w:cs="宋体"/>
                <w:sz w:val="24"/>
                <w:szCs w:val="24"/>
                <w:lang w:val="en-US" w:eastAsia="zh-CN"/>
              </w:rPr>
              <w:t>2万元</w:t>
            </w:r>
          </w:p>
        </w:tc>
        <w:tc>
          <w:tcPr>
            <w:tcW w:w="1597" w:type="dxa"/>
            <w:vAlign w:val="center"/>
          </w:tcPr>
          <w:p w14:paraId="3CF13F07">
            <w:pPr>
              <w:pStyle w:val="17"/>
              <w:keepNext w:val="0"/>
              <w:keepLines w:val="0"/>
              <w:pageBreakBefore w:val="0"/>
              <w:kinsoku/>
              <w:wordWrap/>
              <w:overflowPunct/>
              <w:topLinePunct w:val="0"/>
              <w:bidi w:val="0"/>
              <w:spacing w:line="400" w:lineRule="exact"/>
              <w:ind w:left="0" w:leftChars="0"/>
              <w:jc w:val="center"/>
              <w:rPr>
                <w:rFonts w:hint="default" w:cs="宋体"/>
                <w:sz w:val="24"/>
                <w:szCs w:val="24"/>
                <w:lang w:val="en-US" w:eastAsia="zh-CN"/>
              </w:rPr>
            </w:pPr>
            <w:r>
              <w:rPr>
                <w:rFonts w:hint="eastAsia" w:cs="宋体"/>
                <w:sz w:val="24"/>
                <w:szCs w:val="24"/>
                <w:lang w:val="en-US" w:eastAsia="zh-CN"/>
              </w:rPr>
              <w:t>2万元</w:t>
            </w:r>
          </w:p>
        </w:tc>
        <w:tc>
          <w:tcPr>
            <w:tcW w:w="3131" w:type="dxa"/>
            <w:vAlign w:val="center"/>
          </w:tcPr>
          <w:p w14:paraId="5FB5AB96">
            <w:pPr>
              <w:pStyle w:val="17"/>
              <w:keepNext w:val="0"/>
              <w:keepLines w:val="0"/>
              <w:pageBreakBefore w:val="0"/>
              <w:kinsoku/>
              <w:wordWrap/>
              <w:overflowPunct/>
              <w:topLinePunct w:val="0"/>
              <w:bidi w:val="0"/>
              <w:spacing w:line="400" w:lineRule="exact"/>
              <w:ind w:left="0" w:leftChars="0"/>
              <w:jc w:val="both"/>
              <w:rPr>
                <w:rFonts w:hint="eastAsia" w:eastAsia="宋体"/>
                <w:b/>
                <w:bCs/>
                <w:vertAlign w:val="baseline"/>
                <w:lang w:val="en-US" w:eastAsia="zh-CN"/>
              </w:rPr>
            </w:pPr>
            <w:r>
              <w:rPr>
                <w:rFonts w:hint="eastAsia" w:ascii="宋体" w:hAnsi="宋体" w:cs="宋体"/>
                <w:sz w:val="24"/>
                <w:szCs w:val="24"/>
              </w:rPr>
              <w:t>详见</w:t>
            </w:r>
            <w:r>
              <w:rPr>
                <w:rFonts w:hint="eastAsia" w:cs="宋体"/>
                <w:sz w:val="24"/>
                <w:szCs w:val="24"/>
              </w:rPr>
              <w:t>技术参数、性能（配置）及其他</w:t>
            </w:r>
            <w:r>
              <w:rPr>
                <w:rFonts w:hint="eastAsia" w:cs="宋体"/>
                <w:sz w:val="24"/>
                <w:szCs w:val="24"/>
                <w:lang w:val="en-US" w:eastAsia="zh-CN"/>
              </w:rPr>
              <w:t>要求</w:t>
            </w:r>
          </w:p>
        </w:tc>
      </w:tr>
    </w:tbl>
    <w:p w14:paraId="5037C68B">
      <w:pPr>
        <w:pStyle w:val="18"/>
        <w:ind w:left="0" w:leftChars="0" w:firstLine="0" w:firstLineChars="0"/>
        <w:rPr>
          <w:rFonts w:hint="default" w:eastAsia="宋体"/>
          <w:b/>
          <w:bCs/>
          <w:lang w:val="en-US" w:eastAsia="zh-CN"/>
        </w:rPr>
      </w:pPr>
    </w:p>
    <w:p w14:paraId="01F1959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lang w:eastAsia="zh-CN"/>
        </w:rPr>
        <w:t>设备</w:t>
      </w:r>
      <w:r>
        <w:rPr>
          <w:rFonts w:hint="eastAsia" w:ascii="宋体" w:hAnsi="宋体" w:eastAsia="宋体" w:cs="宋体"/>
          <w:color w:val="auto"/>
          <w:sz w:val="24"/>
          <w:szCs w:val="24"/>
        </w:rPr>
        <w:t>技术参数</w:t>
      </w:r>
      <w:r>
        <w:rPr>
          <w:rFonts w:hint="eastAsia" w:ascii="宋体" w:hAnsi="宋体" w:eastAsia="宋体" w:cs="宋体"/>
          <w:color w:val="auto"/>
          <w:sz w:val="24"/>
          <w:szCs w:val="24"/>
          <w:lang w:val="en-US" w:eastAsia="zh-CN"/>
        </w:rPr>
        <w:t>要求</w:t>
      </w:r>
    </w:p>
    <w:p w14:paraId="495AEF8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1.额定容量：≥1.8L(药罐)</w:t>
      </w:r>
    </w:p>
    <w:p w14:paraId="000F5AE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2.输入功率：≥1600VA</w:t>
      </w:r>
    </w:p>
    <w:p w14:paraId="1C1EA8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3.通道：单通道，1个熏蒸喷头</w:t>
      </w:r>
    </w:p>
    <w:p w14:paraId="5B545E1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4.加热性能：常温加热至95℃,</w:t>
      </w:r>
      <w:r>
        <w:rPr>
          <w:rFonts w:hint="eastAsia" w:ascii="宋体" w:hAnsi="宋体" w:eastAsia="宋体" w:cs="宋体"/>
          <w:color w:val="auto"/>
          <w:sz w:val="24"/>
          <w:szCs w:val="24"/>
          <w:lang w:val="en-US" w:eastAsia="zh-CN"/>
        </w:rPr>
        <w:t>时间</w:t>
      </w:r>
      <w:r>
        <w:rPr>
          <w:rFonts w:hint="eastAsia" w:ascii="宋体" w:hAnsi="宋体" w:eastAsia="宋体" w:cs="宋体"/>
          <w:color w:val="auto"/>
          <w:sz w:val="24"/>
          <w:szCs w:val="24"/>
        </w:rPr>
        <w:t>≤15分钟</w:t>
      </w:r>
    </w:p>
    <w:p w14:paraId="23A1922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5.预热设定温度：50-90℃可调</w:t>
      </w:r>
    </w:p>
    <w:p w14:paraId="0D2601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6.治疗定时：1-35分钟，智能倒计时，治疗结束自动停机+声音提示</w:t>
      </w:r>
    </w:p>
    <w:p w14:paraId="4DED02A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7.功率档位：</w:t>
      </w:r>
      <w:r>
        <w:rPr>
          <w:rFonts w:hint="eastAsia" w:ascii="宋体" w:hAnsi="宋体" w:eastAsia="宋体" w:cs="宋体"/>
          <w:color w:val="auto"/>
          <w:sz w:val="24"/>
          <w:szCs w:val="24"/>
          <w:lang w:val="en-US" w:eastAsia="zh-CN"/>
        </w:rPr>
        <w:t>至少</w:t>
      </w:r>
      <w:r>
        <w:rPr>
          <w:rFonts w:hint="eastAsia" w:ascii="宋体" w:hAnsi="宋体" w:eastAsia="宋体" w:cs="宋体"/>
          <w:color w:val="auto"/>
          <w:sz w:val="24"/>
          <w:szCs w:val="24"/>
        </w:rPr>
        <w:t>4档功率可调(1/2/3/4档)</w:t>
      </w:r>
    </w:p>
    <w:p w14:paraId="0EEF8F0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.缺液保护：</w:t>
      </w:r>
      <w:r>
        <w:rPr>
          <w:rFonts w:hint="eastAsia" w:ascii="宋体" w:hAnsi="宋体" w:eastAsia="宋体" w:cs="宋体"/>
          <w:color w:val="auto"/>
          <w:sz w:val="24"/>
          <w:szCs w:val="24"/>
          <w:lang w:val="en-US" w:eastAsia="zh-CN"/>
        </w:rPr>
        <w:t>具有</w:t>
      </w:r>
      <w:r>
        <w:rPr>
          <w:rFonts w:hint="eastAsia" w:ascii="宋体" w:hAnsi="宋体" w:eastAsia="宋体" w:cs="宋体"/>
          <w:color w:val="auto"/>
          <w:sz w:val="24"/>
          <w:szCs w:val="24"/>
        </w:rPr>
        <w:t>缺液声光报警，自动停止加热，防干烧</w:t>
      </w:r>
    </w:p>
    <w:p w14:paraId="070084C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超压保护：罐内压力&gt;0.08MPa,减压阀自动泄压</w:t>
      </w:r>
    </w:p>
    <w:p w14:paraId="58D738D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.喷头：具备隔热防烫设计的喷头，配备方向可调喷杆；蒸汽输出均匀，不滴水、不喷水</w:t>
      </w:r>
    </w:p>
    <w:p w14:paraId="09C961A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.结构：电路与药液容器分体隔离，防漏电；大口径排液管路，一键排液，减少药渣堵塞</w:t>
      </w:r>
    </w:p>
    <w:p w14:paraId="688F8D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rPr>
        <w:t>提示功能：按键操作、预热到位、缺液、治疗结束均有声响提示</w:t>
      </w:r>
    </w:p>
    <w:p w14:paraId="652FB5D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13.设备</w:t>
      </w:r>
      <w:r>
        <w:rPr>
          <w:rFonts w:hint="eastAsia" w:ascii="宋体" w:hAnsi="宋体" w:eastAsia="宋体" w:cs="宋体"/>
          <w:color w:val="auto"/>
          <w:sz w:val="24"/>
          <w:szCs w:val="24"/>
        </w:rPr>
        <w:t>配合中药药液，</w:t>
      </w:r>
      <w:r>
        <w:rPr>
          <w:rFonts w:hint="eastAsia" w:ascii="宋体" w:hAnsi="宋体" w:eastAsia="宋体" w:cs="宋体"/>
          <w:color w:val="auto"/>
          <w:sz w:val="24"/>
          <w:szCs w:val="24"/>
          <w:lang w:val="en-US" w:eastAsia="zh-CN"/>
        </w:rPr>
        <w:t>可</w:t>
      </w:r>
      <w:r>
        <w:rPr>
          <w:rFonts w:hint="eastAsia" w:ascii="宋体" w:hAnsi="宋体" w:eastAsia="宋体" w:cs="宋体"/>
          <w:color w:val="auto"/>
          <w:sz w:val="24"/>
          <w:szCs w:val="24"/>
        </w:rPr>
        <w:t>用于关节、软组织局部熏蒸治疗</w:t>
      </w:r>
    </w:p>
    <w:p w14:paraId="41F7161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14.具有</w:t>
      </w:r>
      <w:r>
        <w:rPr>
          <w:rFonts w:hint="eastAsia" w:ascii="宋体" w:hAnsi="宋体" w:eastAsia="宋体" w:cs="宋体"/>
          <w:color w:val="auto"/>
          <w:sz w:val="24"/>
          <w:szCs w:val="24"/>
        </w:rPr>
        <w:t>缺液、干烧、超温、超压、漏电、管路堵塞防护</w:t>
      </w:r>
      <w:r>
        <w:rPr>
          <w:rFonts w:hint="eastAsia" w:ascii="宋体" w:hAnsi="宋体" w:eastAsia="宋体" w:cs="宋体"/>
          <w:color w:val="auto"/>
          <w:sz w:val="24"/>
          <w:szCs w:val="24"/>
          <w:lang w:val="en-US" w:eastAsia="zh-CN"/>
        </w:rPr>
        <w:t>等至少6种防护</w:t>
      </w:r>
    </w:p>
    <w:p w14:paraId="455768E1">
      <w:pPr>
        <w:keepNext w:val="0"/>
        <w:keepLines w:val="0"/>
        <w:pageBreakBefore w:val="0"/>
        <w:widowControl/>
        <w:numPr>
          <w:ilvl w:val="0"/>
          <w:numId w:val="0"/>
        </w:numPr>
        <w:kinsoku/>
        <w:wordWrap/>
        <w:overflowPunct/>
        <w:topLinePunct w:val="0"/>
        <w:bidi w:val="0"/>
        <w:spacing w:line="400" w:lineRule="exact"/>
        <w:ind w:firstLine="482" w:firstLineChars="200"/>
        <w:jc w:val="left"/>
        <w:rPr>
          <w:rFonts w:hint="default" w:cs="宋体"/>
          <w:b/>
          <w:bCs/>
          <w:color w:val="000000"/>
          <w:kern w:val="0"/>
          <w:sz w:val="24"/>
          <w:szCs w:val="24"/>
          <w:lang w:val="en-US" w:eastAsia="zh-CN"/>
        </w:rPr>
      </w:pPr>
      <w:r>
        <w:rPr>
          <w:rFonts w:hint="eastAsia" w:cs="宋体"/>
          <w:b/>
          <w:bCs/>
          <w:color w:val="000000"/>
          <w:kern w:val="0"/>
          <w:sz w:val="24"/>
          <w:szCs w:val="24"/>
          <w:lang w:val="en-US" w:eastAsia="zh-CN"/>
        </w:rPr>
        <w:t>二、商务要求</w:t>
      </w:r>
    </w:p>
    <w:p w14:paraId="3D4B798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olor w:val="auto"/>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一</w:t>
      </w:r>
      <w:r>
        <w:rPr>
          <w:rFonts w:hint="eastAsia" w:ascii="宋体" w:hAnsi="宋体" w:eastAsia="宋体" w:cs="宋体"/>
          <w:color w:val="auto"/>
          <w:sz w:val="24"/>
          <w:szCs w:val="24"/>
          <w:highlight w:val="none"/>
          <w:lang w:val="en-US" w:eastAsia="zh-CN"/>
        </w:rPr>
        <w:t>）产品要求</w:t>
      </w:r>
    </w:p>
    <w:p w14:paraId="166C665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color w:val="auto"/>
        </w:rPr>
      </w:pPr>
      <w:r>
        <w:rPr>
          <w:rFonts w:hint="eastAsia"/>
          <w:color w:val="auto"/>
        </w:rPr>
        <w:t>1</w:t>
      </w:r>
      <w:r>
        <w:rPr>
          <w:rFonts w:hint="eastAsia"/>
          <w:color w:val="auto"/>
          <w:lang w:val="en-US" w:eastAsia="zh-CN"/>
        </w:rPr>
        <w:t>.</w:t>
      </w:r>
      <w:r>
        <w:rPr>
          <w:rFonts w:hint="eastAsia" w:ascii="宋体" w:hAnsi="宋体" w:eastAsia="宋体" w:cs="宋体"/>
          <w:color w:val="auto"/>
          <w:sz w:val="24"/>
          <w:szCs w:val="24"/>
          <w:highlight w:val="none"/>
          <w:lang w:val="en-US" w:eastAsia="zh-CN"/>
        </w:rPr>
        <w:t>投标产品必须是具备合法资质的制造商生产、生产日期为近半年的全新正品，并满足招标采购文件的要求，若产品在运输或安装过程中损坏或擦伤须无偿调换相同产品。</w:t>
      </w:r>
    </w:p>
    <w:p w14:paraId="724C088B">
      <w:pPr>
        <w:pStyle w:val="17"/>
        <w:keepNext w:val="0"/>
        <w:keepLines w:val="0"/>
        <w:pageBreakBefore w:val="0"/>
        <w:kinsoku/>
        <w:wordWrap/>
        <w:overflowPunct/>
        <w:topLinePunct w:val="0"/>
        <w:bidi w:val="0"/>
        <w:spacing w:line="400" w:lineRule="exact"/>
        <w:ind w:left="0" w:leftChars="0" w:firstLine="480" w:firstLineChars="200"/>
        <w:rPr>
          <w:color w:val="auto"/>
        </w:rPr>
      </w:pPr>
      <w:r>
        <w:rPr>
          <w:rFonts w:hint="eastAsia"/>
          <w:color w:val="auto"/>
        </w:rPr>
        <w:t>2</w:t>
      </w:r>
      <w:r>
        <w:rPr>
          <w:rFonts w:hint="eastAsia"/>
          <w:color w:val="auto"/>
          <w:lang w:val="en-US" w:eastAsia="zh-CN"/>
        </w:rPr>
        <w:t>.</w:t>
      </w:r>
      <w:r>
        <w:rPr>
          <w:rFonts w:hint="eastAsia"/>
          <w:color w:val="auto"/>
        </w:rPr>
        <w:t>投标人所投产品参数应同等或优于以上各项参数要求，产品、辅材及生产工艺符合国家相关规范。</w:t>
      </w:r>
    </w:p>
    <w:p w14:paraId="62ED69AC">
      <w:pPr>
        <w:pStyle w:val="17"/>
        <w:keepNext w:val="0"/>
        <w:keepLines w:val="0"/>
        <w:pageBreakBefore w:val="0"/>
        <w:kinsoku/>
        <w:wordWrap/>
        <w:overflowPunct/>
        <w:topLinePunct w:val="0"/>
        <w:bidi w:val="0"/>
        <w:spacing w:line="400" w:lineRule="exact"/>
        <w:ind w:left="0" w:leftChars="0" w:firstLine="480" w:firstLineChars="200"/>
        <w:rPr>
          <w:color w:val="auto"/>
        </w:rPr>
      </w:pPr>
      <w:r>
        <w:rPr>
          <w:rFonts w:hint="eastAsia"/>
          <w:color w:val="auto"/>
        </w:rPr>
        <w:t>3</w:t>
      </w:r>
      <w:r>
        <w:rPr>
          <w:rFonts w:hint="eastAsia"/>
          <w:color w:val="auto"/>
          <w:lang w:val="en-US" w:eastAsia="zh-CN"/>
        </w:rPr>
        <w:t>.</w:t>
      </w:r>
      <w:r>
        <w:rPr>
          <w:rFonts w:hint="eastAsia"/>
          <w:color w:val="auto"/>
        </w:rPr>
        <w:t>投标人应保证所提供的货物或其任何一部分均不会侵犯任何第三方的专利权、商标权等，如在使用过程中出现的一切经济和法律责任均由投标人负责。</w:t>
      </w:r>
    </w:p>
    <w:p w14:paraId="6C89FF25">
      <w:pPr>
        <w:pStyle w:val="17"/>
        <w:keepNext w:val="0"/>
        <w:keepLines w:val="0"/>
        <w:pageBreakBefore w:val="0"/>
        <w:kinsoku/>
        <w:wordWrap/>
        <w:overflowPunct/>
        <w:topLinePunct w:val="0"/>
        <w:bidi w:val="0"/>
        <w:spacing w:line="400" w:lineRule="exact"/>
        <w:ind w:left="0" w:leftChars="0" w:firstLine="480" w:firstLineChars="200"/>
        <w:rPr>
          <w:color w:val="auto"/>
        </w:rPr>
      </w:pPr>
      <w:r>
        <w:rPr>
          <w:rFonts w:hint="eastAsia"/>
          <w:color w:val="auto"/>
        </w:rPr>
        <w:t>4</w:t>
      </w:r>
      <w:r>
        <w:rPr>
          <w:rFonts w:hint="eastAsia"/>
          <w:color w:val="auto"/>
          <w:lang w:val="en-US" w:eastAsia="zh-CN"/>
        </w:rPr>
        <w:t>.</w:t>
      </w:r>
      <w:r>
        <w:rPr>
          <w:rFonts w:hint="eastAsia"/>
          <w:color w:val="auto"/>
        </w:rPr>
        <w:t>投标总价必须包含货物及货物运抵指定交货地点的各种费用和安装调校、售后服务、税金、验收检验及其它所有费用的总和，如另有要求请在投标文件中注明。</w:t>
      </w:r>
    </w:p>
    <w:p w14:paraId="544401A4">
      <w:pPr>
        <w:pStyle w:val="17"/>
        <w:keepNext w:val="0"/>
        <w:keepLines w:val="0"/>
        <w:pageBreakBefore w:val="0"/>
        <w:kinsoku/>
        <w:wordWrap/>
        <w:overflowPunct/>
        <w:topLinePunct w:val="0"/>
        <w:bidi w:val="0"/>
        <w:spacing w:line="400" w:lineRule="exact"/>
        <w:ind w:left="0" w:leftChars="0" w:firstLine="480" w:firstLineChars="200"/>
        <w:rPr>
          <w:rFonts w:hint="eastAsia"/>
          <w:color w:val="auto"/>
        </w:rPr>
      </w:pPr>
      <w:r>
        <w:rPr>
          <w:rFonts w:hint="eastAsia"/>
          <w:color w:val="auto"/>
        </w:rPr>
        <w:t>5</w:t>
      </w:r>
      <w:r>
        <w:rPr>
          <w:rFonts w:hint="eastAsia"/>
          <w:color w:val="auto"/>
          <w:lang w:val="en-US" w:eastAsia="zh-CN"/>
        </w:rPr>
        <w:t>.投标</w:t>
      </w:r>
      <w:r>
        <w:rPr>
          <w:rFonts w:hint="eastAsia"/>
        </w:rPr>
        <w:t>人在竞价文件中必须提交设备配置清单，如设备有配套耗材及定期更换的配件请投标时与设备一起报价</w:t>
      </w:r>
      <w:r>
        <w:rPr>
          <w:rFonts w:hint="eastAsia"/>
          <w:color w:val="auto"/>
        </w:rPr>
        <w:t>。</w:t>
      </w:r>
    </w:p>
    <w:p w14:paraId="55AF7A05">
      <w:pPr>
        <w:pStyle w:val="17"/>
        <w:keepNext w:val="0"/>
        <w:keepLines w:val="0"/>
        <w:pageBreakBefore w:val="0"/>
        <w:kinsoku/>
        <w:wordWrap/>
        <w:overflowPunct/>
        <w:topLinePunct w:val="0"/>
        <w:bidi w:val="0"/>
        <w:spacing w:line="400" w:lineRule="exact"/>
        <w:ind w:left="0" w:leftChars="0" w:firstLine="480" w:firstLineChars="200"/>
        <w:rPr>
          <w:rFonts w:hint="default" w:eastAsia="宋体"/>
          <w:b/>
          <w:color w:val="000000" w:themeColor="text1"/>
          <w:spacing w:val="-8"/>
          <w:szCs w:val="21"/>
          <w:highlight w:val="yellow"/>
          <w:u w:val="single"/>
          <w:lang w:val="en-US" w:eastAsia="zh-CN"/>
          <w14:textFill>
            <w14:solidFill>
              <w14:schemeClr w14:val="tx1"/>
            </w14:solidFill>
          </w14:textFill>
        </w:rPr>
      </w:pPr>
      <w:r>
        <w:rPr>
          <w:rFonts w:hint="eastAsia" w:ascii="宋体" w:hAnsi="宋体" w:cs="宋体"/>
          <w:color w:val="auto"/>
          <w:sz w:val="24"/>
          <w:szCs w:val="24"/>
          <w:highlight w:val="none"/>
          <w:lang w:val="en-US" w:eastAsia="zh-CN"/>
        </w:rPr>
        <w:t>6.具有满足</w:t>
      </w:r>
      <w:r>
        <w:rPr>
          <w:rFonts w:hint="eastAsia" w:ascii="宋体" w:hAnsi="宋体" w:eastAsia="宋体" w:cs="宋体"/>
          <w:color w:val="auto"/>
          <w:sz w:val="24"/>
          <w:szCs w:val="24"/>
          <w:highlight w:val="none"/>
          <w:lang w:val="en-US" w:eastAsia="zh-CN"/>
        </w:rPr>
        <w:t>《医疗器械监督管理条例》（国务院令第739号）医疗器械分类管理要求的医疗器械生产许可证或医疗器械经营许可或者备案（按《医疗器械监督管理条例》免于经营备案和无需办理医疗器械经营许可或者备案的情形除外）</w:t>
      </w:r>
    </w:p>
    <w:p w14:paraId="26F6C95F">
      <w:pPr>
        <w:pStyle w:val="17"/>
        <w:keepNext w:val="0"/>
        <w:keepLines w:val="0"/>
        <w:pageBreakBefore w:val="0"/>
        <w:kinsoku/>
        <w:wordWrap/>
        <w:overflowPunct/>
        <w:topLinePunct w:val="0"/>
        <w:bidi w:val="0"/>
        <w:spacing w:line="400" w:lineRule="exact"/>
        <w:ind w:left="0" w:leftChars="0" w:firstLine="240" w:firstLineChars="100"/>
        <w:rPr>
          <w:rFonts w:hint="eastAsia" w:eastAsia="宋体"/>
          <w:b w:val="0"/>
          <w:bCs w:val="0"/>
          <w:lang w:eastAsia="zh-CN"/>
        </w:rPr>
      </w:pPr>
      <w:r>
        <w:rPr>
          <w:rFonts w:hint="eastAsia"/>
          <w:b w:val="0"/>
          <w:bCs w:val="0"/>
          <w:lang w:eastAsia="zh-CN"/>
        </w:rPr>
        <w:t>（</w:t>
      </w:r>
      <w:r>
        <w:rPr>
          <w:rFonts w:hint="eastAsia"/>
          <w:b w:val="0"/>
          <w:bCs w:val="0"/>
          <w:lang w:val="en-US" w:eastAsia="zh-CN"/>
        </w:rPr>
        <w:t>二）</w:t>
      </w:r>
      <w:r>
        <w:rPr>
          <w:rFonts w:hint="eastAsia"/>
          <w:b w:val="0"/>
          <w:bCs w:val="0"/>
        </w:rPr>
        <w:t>售后服务</w:t>
      </w:r>
      <w:r>
        <w:rPr>
          <w:rFonts w:hint="eastAsia"/>
          <w:b w:val="0"/>
          <w:bCs w:val="0"/>
          <w:lang w:val="en-US" w:eastAsia="zh-CN"/>
        </w:rPr>
        <w:t>要求</w:t>
      </w:r>
    </w:p>
    <w:p w14:paraId="730B2F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1.质保期：设备安装完毕通过验收投入使用之日起</w:t>
      </w:r>
      <w:r>
        <w:rPr>
          <w:rFonts w:hint="eastAsia" w:ascii="宋体" w:hAnsi="宋体" w:eastAsia="宋体" w:cs="宋体"/>
          <w:color w:val="FF0000"/>
          <w:sz w:val="24"/>
          <w:szCs w:val="24"/>
          <w:highlight w:val="none"/>
          <w:u w:val="none"/>
          <w:lang w:val="en-US" w:eastAsia="zh-CN"/>
        </w:rPr>
        <w:t>不少于</w:t>
      </w:r>
      <w:r>
        <w:rPr>
          <w:rFonts w:hint="eastAsia" w:ascii="宋体" w:hAnsi="宋体" w:eastAsia="宋体" w:cs="宋体"/>
          <w:color w:val="FF0000"/>
          <w:sz w:val="24"/>
          <w:szCs w:val="24"/>
          <w:highlight w:val="none"/>
          <w:u w:val="single"/>
          <w:lang w:val="en-US" w:eastAsia="zh-CN"/>
        </w:rPr>
        <w:t xml:space="preserve"> </w:t>
      </w:r>
      <w:r>
        <w:rPr>
          <w:rFonts w:hint="eastAsia" w:ascii="宋体" w:hAnsi="宋体" w:cs="宋体"/>
          <w:color w:val="FF0000"/>
          <w:sz w:val="24"/>
          <w:szCs w:val="24"/>
          <w:highlight w:val="none"/>
          <w:u w:val="single"/>
          <w:lang w:val="en-US" w:eastAsia="zh-CN"/>
        </w:rPr>
        <w:t>2</w:t>
      </w:r>
      <w:r>
        <w:rPr>
          <w:rFonts w:hint="eastAsia" w:ascii="宋体" w:hAnsi="宋体" w:eastAsia="宋体" w:cs="宋体"/>
          <w:color w:val="FF0000"/>
          <w:sz w:val="24"/>
          <w:szCs w:val="24"/>
          <w:highlight w:val="none"/>
          <w:u w:val="single"/>
          <w:lang w:val="en-US" w:eastAsia="zh-CN"/>
        </w:rPr>
        <w:t xml:space="preserve"> </w:t>
      </w:r>
      <w:r>
        <w:rPr>
          <w:rFonts w:hint="eastAsia" w:ascii="宋体" w:hAnsi="宋体" w:eastAsia="宋体" w:cs="宋体"/>
          <w:color w:val="FF0000"/>
          <w:sz w:val="24"/>
          <w:szCs w:val="24"/>
          <w:highlight w:val="none"/>
          <w:u w:val="none"/>
          <w:lang w:val="en-US" w:eastAsia="zh-CN"/>
        </w:rPr>
        <w:t>年</w:t>
      </w:r>
      <w:r>
        <w:rPr>
          <w:rFonts w:hint="eastAsia" w:ascii="宋体" w:hAnsi="宋体" w:eastAsia="宋体" w:cs="宋体"/>
          <w:color w:val="auto"/>
          <w:sz w:val="24"/>
          <w:szCs w:val="24"/>
          <w:highlight w:val="none"/>
          <w:lang w:val="en-US" w:eastAsia="zh-CN"/>
        </w:rPr>
        <w:t>。</w:t>
      </w:r>
    </w:p>
    <w:p w14:paraId="44E7CF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2.投标人所投产品必须提供产品“三包”服务；定期安排相关人员回访进行质量跟踪；保证提供临床应用和售后技术服务支持方式；保修期后提供终身维修服务及配件供应；其他售后服务按厂家承诺实行。</w:t>
      </w:r>
    </w:p>
    <w:p w14:paraId="76E9D12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kern w:val="0"/>
          <w:sz w:val="24"/>
          <w:szCs w:val="24"/>
          <w:lang w:val="en-US"/>
        </w:rPr>
      </w:pPr>
      <w:r>
        <w:rPr>
          <w:rFonts w:hint="eastAsia" w:ascii="宋体" w:hAnsi="宋体" w:eastAsia="宋体" w:cs="宋体"/>
          <w:color w:val="auto"/>
          <w:sz w:val="24"/>
          <w:szCs w:val="24"/>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w:t>
      </w:r>
      <w:r>
        <w:rPr>
          <w:rFonts w:hint="eastAsia" w:ascii="宋体" w:hAnsi="宋体" w:cs="宋体"/>
          <w:color w:val="auto"/>
          <w:sz w:val="24"/>
          <w:szCs w:val="24"/>
          <w:highlight w:val="none"/>
          <w:lang w:val="en-US" w:eastAsia="zh-CN"/>
        </w:rPr>
        <w:t>方</w:t>
      </w:r>
      <w:r>
        <w:rPr>
          <w:rFonts w:hint="eastAsia" w:ascii="宋体" w:hAnsi="宋体" w:eastAsia="宋体" w:cs="宋体"/>
          <w:color w:val="auto"/>
          <w:sz w:val="24"/>
          <w:szCs w:val="24"/>
          <w:highlight w:val="none"/>
          <w:lang w:val="en-US" w:eastAsia="zh-CN"/>
        </w:rPr>
        <w:t>的正常使用，所发生的一切费用由成交供应商负责。</w:t>
      </w:r>
    </w:p>
    <w:p w14:paraId="4FE1CE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三</w:t>
      </w:r>
      <w:r>
        <w:rPr>
          <w:rFonts w:hint="eastAsia" w:ascii="宋体" w:hAnsi="宋体" w:eastAsia="宋体" w:cs="宋体"/>
          <w:color w:val="auto"/>
          <w:sz w:val="24"/>
          <w:szCs w:val="24"/>
          <w:highlight w:val="none"/>
          <w:lang w:val="en-US" w:eastAsia="zh-CN"/>
        </w:rPr>
        <w:t>）其他</w:t>
      </w:r>
    </w:p>
    <w:p w14:paraId="12742C6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1.签订合同后，30天内仪器设备安装调试结束并交付使用。投标人予以特别注意：如出现未能到期供货的情况，采购人有权单方终止合同的执行，所有的经济损失由逾期供货商单方承担。</w:t>
      </w:r>
    </w:p>
    <w:p w14:paraId="073C5CF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2.交货地点为：采购人广西壮族自治区桂东人民医院指定地点   </w:t>
      </w:r>
    </w:p>
    <w:p w14:paraId="72394B2B">
      <w:pPr>
        <w:pStyle w:val="4"/>
        <w:adjustRightInd w:val="0"/>
        <w:spacing w:line="360" w:lineRule="auto"/>
        <w:ind w:firstLine="480" w:firstLineChars="200"/>
        <w:outlineLvl w:val="9"/>
        <w:rPr>
          <w:rFonts w:hint="eastAsia" w:ascii="宋体" w:hAnsi="宋体" w:eastAsia="宋体" w:cs="宋体"/>
          <w:b w:val="0"/>
          <w:bCs/>
          <w:color w:val="auto"/>
          <w:szCs w:val="24"/>
          <w:highlight w:val="none"/>
          <w:lang w:val="en-US" w:eastAsia="zh-CN"/>
        </w:rPr>
      </w:pPr>
      <w:r>
        <w:rPr>
          <w:rFonts w:hint="eastAsia" w:eastAsia="宋体" w:cs="宋体"/>
          <w:b w:val="0"/>
          <w:bCs/>
          <w:color w:val="auto"/>
          <w:szCs w:val="24"/>
          <w:highlight w:val="none"/>
          <w:lang w:val="en-US" w:eastAsia="zh-CN"/>
        </w:rPr>
        <w:t>3.</w:t>
      </w:r>
      <w:r>
        <w:rPr>
          <w:rFonts w:hint="eastAsia" w:ascii="宋体" w:hAnsi="宋体" w:eastAsia="宋体" w:cs="宋体"/>
          <w:b w:val="0"/>
          <w:bCs/>
          <w:color w:val="auto"/>
          <w:szCs w:val="24"/>
          <w:highlight w:val="none"/>
          <w:lang w:val="en-US" w:eastAsia="zh-CN"/>
        </w:rPr>
        <w:t>付款条件（进度和方式）：</w:t>
      </w:r>
    </w:p>
    <w:p w14:paraId="25EA0DDA">
      <w:pPr>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auto"/>
        <w:rPr>
          <w:rFonts w:hint="eastAsia" w:cs="宋体"/>
          <w:kern w:val="0"/>
          <w:sz w:val="24"/>
          <w:szCs w:val="24"/>
        </w:rPr>
      </w:pPr>
      <w:r>
        <w:rPr>
          <w:rFonts w:hint="eastAsia" w:ascii="宋体" w:hAnsi="宋体" w:eastAsia="宋体" w:cs="宋体"/>
          <w:b w:val="0"/>
          <w:bCs w:val="0"/>
          <w:kern w:val="0"/>
          <w:sz w:val="24"/>
          <w:szCs w:val="24"/>
        </w:rPr>
        <w:t>全部货物送达指定地点、安装调试并验收合格后，双方签署验收合格表单，乙方开具全额发票给甲方，甲方收到发票后10个工作日内按总合同金额的90%对公转账到乙方账户。验收合格第 12个月后，甲方收到乙方的请款材料后10个工作日内，按总合同金额的10%对公转账到乙方账户（不计利息）。</w:t>
      </w:r>
    </w:p>
    <w:p w14:paraId="32DF01DC">
      <w:pPr>
        <w:keepNext w:val="0"/>
        <w:keepLines w:val="0"/>
        <w:pageBreakBefore w:val="0"/>
        <w:widowControl/>
        <w:kinsoku/>
        <w:wordWrap/>
        <w:overflowPunct/>
        <w:topLinePunct w:val="0"/>
        <w:bidi w:val="0"/>
        <w:spacing w:line="400" w:lineRule="exact"/>
        <w:ind w:left="0" w:leftChars="0" w:firstLine="480" w:firstLineChars="200"/>
        <w:jc w:val="left"/>
        <w:rPr>
          <w:rFonts w:cs="宋体"/>
          <w:kern w:val="0"/>
          <w:sz w:val="24"/>
          <w:szCs w:val="24"/>
        </w:rPr>
      </w:pPr>
      <w:r>
        <w:rPr>
          <w:rFonts w:hint="eastAsia" w:cs="宋体"/>
          <w:kern w:val="0"/>
          <w:sz w:val="24"/>
          <w:szCs w:val="24"/>
        </w:rPr>
        <w:t>如验收不合格以及发现伪劣产品等，招标人将视情形采取退货、拒付款、终止合同、索赔等措施，直至通过有关部门，依法维权。</w:t>
      </w:r>
    </w:p>
    <w:p w14:paraId="6BDC4D1C">
      <w:pPr>
        <w:keepNext w:val="0"/>
        <w:keepLines w:val="0"/>
        <w:pageBreakBefore w:val="0"/>
        <w:widowControl/>
        <w:kinsoku/>
        <w:wordWrap/>
        <w:overflowPunct/>
        <w:topLinePunct w:val="0"/>
        <w:bidi w:val="0"/>
        <w:spacing w:line="400" w:lineRule="exact"/>
        <w:ind w:left="0" w:leftChars="0" w:firstLine="480" w:firstLineChars="200"/>
        <w:jc w:val="left"/>
        <w:rPr>
          <w:rFonts w:hint="eastAsia" w:cs="宋体"/>
          <w:kern w:val="0"/>
          <w:sz w:val="24"/>
          <w:szCs w:val="24"/>
        </w:rPr>
      </w:pPr>
      <w:r>
        <w:rPr>
          <w:rFonts w:hint="eastAsia" w:cs="宋体"/>
          <w:kern w:val="0"/>
          <w:sz w:val="24"/>
          <w:szCs w:val="24"/>
        </w:rPr>
        <w:t> </w:t>
      </w:r>
      <w:r>
        <w:rPr>
          <w:rFonts w:hint="eastAsia" w:cs="宋体"/>
          <w:kern w:val="0"/>
          <w:sz w:val="24"/>
          <w:szCs w:val="24"/>
          <w:lang w:val="en-US" w:eastAsia="zh-CN"/>
        </w:rPr>
        <w:t>4.</w:t>
      </w:r>
      <w:r>
        <w:rPr>
          <w:rFonts w:hint="eastAsia" w:cs="宋体"/>
          <w:kern w:val="0"/>
          <w:sz w:val="24"/>
          <w:szCs w:val="24"/>
        </w:rPr>
        <w:t>合同签订</w:t>
      </w:r>
      <w:r>
        <w:rPr>
          <w:rFonts w:hint="eastAsia" w:cs="宋体"/>
          <w:kern w:val="0"/>
          <w:sz w:val="24"/>
          <w:szCs w:val="24"/>
          <w:lang w:val="en-US" w:eastAsia="zh-CN"/>
        </w:rPr>
        <w:t>:</w:t>
      </w:r>
      <w:r>
        <w:rPr>
          <w:rFonts w:hint="eastAsia" w:cs="宋体"/>
          <w:kern w:val="0"/>
          <w:sz w:val="24"/>
          <w:szCs w:val="24"/>
        </w:rPr>
        <w:t>招标人和中标人应当自公示结束后</w:t>
      </w:r>
      <w:sdt>
        <w:sdtPr>
          <w:rPr>
            <w:rFonts w:hint="eastAsia" w:cs="宋体"/>
            <w:kern w:val="0"/>
            <w:sz w:val="24"/>
            <w:szCs w:val="24"/>
          </w:rPr>
          <w:alias w:val="无特殊情况不建议修改"/>
          <w:tag w:val="无特殊情况不建议修改"/>
          <w:id w:val="147468448"/>
          <w:placeholder>
            <w:docPart w:val="{e68637b5-4f2f-4ec3-b4ae-db27248cb070}"/>
          </w:placeholder>
          <w15:color w:val="FF0000"/>
        </w:sdtPr>
        <w:sdtEndPr>
          <w:rPr>
            <w:rFonts w:hint="eastAsia" w:cs="宋体"/>
            <w:kern w:val="0"/>
            <w:sz w:val="24"/>
            <w:szCs w:val="24"/>
          </w:rPr>
        </w:sdtEndPr>
        <w:sdtContent>
          <w:r>
            <w:rPr>
              <w:rFonts w:hint="eastAsia" w:cs="宋体"/>
              <w:kern w:val="0"/>
              <w:sz w:val="24"/>
              <w:szCs w:val="24"/>
              <w:lang w:eastAsia="zh-CN"/>
            </w:rPr>
            <w:t>2</w:t>
          </w:r>
          <w:r>
            <w:rPr>
              <w:rFonts w:hint="eastAsia" w:cs="宋体"/>
              <w:kern w:val="0"/>
              <w:sz w:val="24"/>
              <w:szCs w:val="24"/>
              <w:lang w:val="en-US" w:eastAsia="zh-CN"/>
            </w:rPr>
            <w:t>5</w:t>
          </w:r>
        </w:sdtContent>
      </w:sdt>
      <w:r>
        <w:rPr>
          <w:rFonts w:hint="eastAsia" w:cs="宋体"/>
          <w:kern w:val="0"/>
          <w:sz w:val="24"/>
          <w:szCs w:val="24"/>
          <w:lang w:val="en-US" w:eastAsia="zh-CN"/>
        </w:rPr>
        <w:t>日</w:t>
      </w:r>
      <w:r>
        <w:rPr>
          <w:rFonts w:hint="eastAsia" w:cs="宋体"/>
          <w:kern w:val="0"/>
          <w:sz w:val="24"/>
          <w:szCs w:val="24"/>
        </w:rPr>
        <w:t>内签订采购合同。</w:t>
      </w:r>
    </w:p>
    <w:p w14:paraId="498C74F3">
      <w:pPr>
        <w:keepNext w:val="0"/>
        <w:keepLines w:val="0"/>
        <w:pageBreakBefore w:val="0"/>
        <w:widowControl/>
        <w:kinsoku/>
        <w:wordWrap/>
        <w:overflowPunct/>
        <w:topLinePunct w:val="0"/>
        <w:bidi w:val="0"/>
        <w:spacing w:line="400" w:lineRule="exact"/>
        <w:ind w:left="279" w:leftChars="133" w:firstLine="278" w:firstLineChars="99"/>
        <w:jc w:val="left"/>
        <w:rPr>
          <w:rFonts w:cs="宋体"/>
          <w:b/>
          <w:bCs/>
          <w:kern w:val="0"/>
          <w:sz w:val="28"/>
          <w:szCs w:val="28"/>
        </w:rPr>
      </w:pPr>
      <w:r>
        <w:rPr>
          <w:rFonts w:hint="eastAsia" w:cs="宋体"/>
          <w:b/>
          <w:bCs/>
          <w:kern w:val="0"/>
          <w:sz w:val="28"/>
          <w:szCs w:val="28"/>
          <w:lang w:val="en-US" w:eastAsia="zh-CN"/>
        </w:rPr>
        <w:t>三</w:t>
      </w:r>
      <w:r>
        <w:rPr>
          <w:rFonts w:hint="eastAsia" w:cs="宋体"/>
          <w:b/>
          <w:bCs/>
          <w:kern w:val="0"/>
          <w:sz w:val="28"/>
          <w:szCs w:val="28"/>
        </w:rPr>
        <w:t>、特别说明</w:t>
      </w:r>
    </w:p>
    <w:p w14:paraId="13B45921">
      <w:pPr>
        <w:keepNext w:val="0"/>
        <w:keepLines w:val="0"/>
        <w:pageBreakBefore w:val="0"/>
        <w:widowControl/>
        <w:kinsoku/>
        <w:wordWrap/>
        <w:overflowPunct/>
        <w:topLinePunct w:val="0"/>
        <w:bidi w:val="0"/>
        <w:spacing w:line="400" w:lineRule="exact"/>
        <w:ind w:left="0" w:leftChars="0" w:firstLine="412" w:firstLineChars="172"/>
        <w:jc w:val="left"/>
      </w:pPr>
      <w:r>
        <w:rPr>
          <w:rFonts w:hint="eastAsia" w:cs="宋体"/>
          <w:kern w:val="0"/>
          <w:sz w:val="24"/>
          <w:szCs w:val="24"/>
        </w:rPr>
        <w:t>如果招标文件中对部分采购设备技术参数要求不详细，请各投标人在投标时补充说明。如投标人不作补充说明，广西壮族自治区桂东人民医院招标管理办公室将从有利于招标人的角度出发，认定其所报配置为可能存在情况的最高标准。</w:t>
      </w:r>
    </w:p>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E043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CC6CFF">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CC6CFF">
                    <w:pPr>
                      <w:pStyle w:val="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C3E65">
    <w:pPr>
      <w:pStyle w:val="1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03CDCF"/>
    <w:multiLevelType w:val="singleLevel"/>
    <w:tmpl w:val="3803CDCF"/>
    <w:lvl w:ilvl="0" w:tentative="0">
      <w:start w:val="1"/>
      <w:numFmt w:val="bullet"/>
      <w:pStyle w:val="5"/>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5D83"/>
    <w:rsid w:val="000A6C18"/>
    <w:rsid w:val="000B7E2D"/>
    <w:rsid w:val="000E1AA6"/>
    <w:rsid w:val="00204183"/>
    <w:rsid w:val="00241CD6"/>
    <w:rsid w:val="002C7944"/>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71F65"/>
    <w:rsid w:val="00B8409A"/>
    <w:rsid w:val="00BA3521"/>
    <w:rsid w:val="00C33384"/>
    <w:rsid w:val="00C762C8"/>
    <w:rsid w:val="00C97AD7"/>
    <w:rsid w:val="00CC2DEE"/>
    <w:rsid w:val="00CD27A2"/>
    <w:rsid w:val="00D2685D"/>
    <w:rsid w:val="00D41CB5"/>
    <w:rsid w:val="00D57065"/>
    <w:rsid w:val="00DB5864"/>
    <w:rsid w:val="00DC4B54"/>
    <w:rsid w:val="00E14108"/>
    <w:rsid w:val="00E72BBE"/>
    <w:rsid w:val="00EB1C9B"/>
    <w:rsid w:val="00ED5546"/>
    <w:rsid w:val="010F7FF3"/>
    <w:rsid w:val="01124992"/>
    <w:rsid w:val="01A43ED9"/>
    <w:rsid w:val="01CB43E2"/>
    <w:rsid w:val="02615DF0"/>
    <w:rsid w:val="02FB598B"/>
    <w:rsid w:val="030516AD"/>
    <w:rsid w:val="03962305"/>
    <w:rsid w:val="039670E6"/>
    <w:rsid w:val="03B56736"/>
    <w:rsid w:val="03D713AA"/>
    <w:rsid w:val="04784C0D"/>
    <w:rsid w:val="050C4E8A"/>
    <w:rsid w:val="057E7745"/>
    <w:rsid w:val="057F7823"/>
    <w:rsid w:val="065D35AE"/>
    <w:rsid w:val="07A377AC"/>
    <w:rsid w:val="07E61381"/>
    <w:rsid w:val="07F13FAE"/>
    <w:rsid w:val="085207C5"/>
    <w:rsid w:val="09200F84"/>
    <w:rsid w:val="094E71DE"/>
    <w:rsid w:val="0A795D65"/>
    <w:rsid w:val="0AA7129C"/>
    <w:rsid w:val="0BC37695"/>
    <w:rsid w:val="0CC05EEA"/>
    <w:rsid w:val="0D1644B7"/>
    <w:rsid w:val="0D4C7ED9"/>
    <w:rsid w:val="0DAB0B9B"/>
    <w:rsid w:val="0E6B1369"/>
    <w:rsid w:val="0E8C22E1"/>
    <w:rsid w:val="0ECE5049"/>
    <w:rsid w:val="0EE43F94"/>
    <w:rsid w:val="1017394C"/>
    <w:rsid w:val="10BE733F"/>
    <w:rsid w:val="10C97A40"/>
    <w:rsid w:val="10EC6F96"/>
    <w:rsid w:val="111563A0"/>
    <w:rsid w:val="11651CAD"/>
    <w:rsid w:val="11AC7198"/>
    <w:rsid w:val="12266F4A"/>
    <w:rsid w:val="122B15C9"/>
    <w:rsid w:val="12713099"/>
    <w:rsid w:val="12C97D37"/>
    <w:rsid w:val="1370543F"/>
    <w:rsid w:val="13E56991"/>
    <w:rsid w:val="14221993"/>
    <w:rsid w:val="144660B2"/>
    <w:rsid w:val="1461070D"/>
    <w:rsid w:val="14D73658"/>
    <w:rsid w:val="157601E9"/>
    <w:rsid w:val="166F4544"/>
    <w:rsid w:val="17BD008F"/>
    <w:rsid w:val="17BF5E77"/>
    <w:rsid w:val="188C387F"/>
    <w:rsid w:val="18B4496E"/>
    <w:rsid w:val="1B0B13D3"/>
    <w:rsid w:val="1B513EBB"/>
    <w:rsid w:val="1DA74CDD"/>
    <w:rsid w:val="1E03496A"/>
    <w:rsid w:val="1E622ABE"/>
    <w:rsid w:val="20580C17"/>
    <w:rsid w:val="20A57BD4"/>
    <w:rsid w:val="20F5557F"/>
    <w:rsid w:val="216B500D"/>
    <w:rsid w:val="21B710F4"/>
    <w:rsid w:val="2218153E"/>
    <w:rsid w:val="22486A69"/>
    <w:rsid w:val="23720241"/>
    <w:rsid w:val="23CD191B"/>
    <w:rsid w:val="23D34A58"/>
    <w:rsid w:val="25773183"/>
    <w:rsid w:val="258113DB"/>
    <w:rsid w:val="26431704"/>
    <w:rsid w:val="26CD4569"/>
    <w:rsid w:val="27D01D3D"/>
    <w:rsid w:val="27D34CA5"/>
    <w:rsid w:val="27F03E2A"/>
    <w:rsid w:val="28110468"/>
    <w:rsid w:val="28340062"/>
    <w:rsid w:val="293A4A87"/>
    <w:rsid w:val="2A166937"/>
    <w:rsid w:val="2B7975BA"/>
    <w:rsid w:val="2B9E0A95"/>
    <w:rsid w:val="2C4E575C"/>
    <w:rsid w:val="2CD07D87"/>
    <w:rsid w:val="2E44559E"/>
    <w:rsid w:val="311834AF"/>
    <w:rsid w:val="313F372D"/>
    <w:rsid w:val="318469E5"/>
    <w:rsid w:val="3194337D"/>
    <w:rsid w:val="33B201E6"/>
    <w:rsid w:val="34B8718A"/>
    <w:rsid w:val="35D22DC1"/>
    <w:rsid w:val="364A2958"/>
    <w:rsid w:val="3737378F"/>
    <w:rsid w:val="3806606D"/>
    <w:rsid w:val="397701BE"/>
    <w:rsid w:val="398B5E5F"/>
    <w:rsid w:val="3B546CEC"/>
    <w:rsid w:val="3EA21DFC"/>
    <w:rsid w:val="3F8769CB"/>
    <w:rsid w:val="41366ED0"/>
    <w:rsid w:val="417E755D"/>
    <w:rsid w:val="419640DE"/>
    <w:rsid w:val="41A15A5D"/>
    <w:rsid w:val="41BB52E8"/>
    <w:rsid w:val="41FB71FC"/>
    <w:rsid w:val="428B4A24"/>
    <w:rsid w:val="44163FBA"/>
    <w:rsid w:val="473531B0"/>
    <w:rsid w:val="484D14FE"/>
    <w:rsid w:val="486378A9"/>
    <w:rsid w:val="48BB2A88"/>
    <w:rsid w:val="48D85C25"/>
    <w:rsid w:val="499A554C"/>
    <w:rsid w:val="49A95790"/>
    <w:rsid w:val="4A6022F2"/>
    <w:rsid w:val="4C1633E5"/>
    <w:rsid w:val="4C1C5576"/>
    <w:rsid w:val="4C3E6663"/>
    <w:rsid w:val="4CD9638C"/>
    <w:rsid w:val="4D442BFB"/>
    <w:rsid w:val="4D781BD4"/>
    <w:rsid w:val="4D7E6EBA"/>
    <w:rsid w:val="4DA009DA"/>
    <w:rsid w:val="4DA97E72"/>
    <w:rsid w:val="4DB9683E"/>
    <w:rsid w:val="4E7403F7"/>
    <w:rsid w:val="4E7740AE"/>
    <w:rsid w:val="4F3D41BA"/>
    <w:rsid w:val="4FA76B82"/>
    <w:rsid w:val="50502E0F"/>
    <w:rsid w:val="51220301"/>
    <w:rsid w:val="51794369"/>
    <w:rsid w:val="51B2246F"/>
    <w:rsid w:val="539906F6"/>
    <w:rsid w:val="55D712FC"/>
    <w:rsid w:val="561140E3"/>
    <w:rsid w:val="562A237D"/>
    <w:rsid w:val="57783371"/>
    <w:rsid w:val="58584F50"/>
    <w:rsid w:val="589150FF"/>
    <w:rsid w:val="591470C9"/>
    <w:rsid w:val="593F2A1F"/>
    <w:rsid w:val="5BA04C44"/>
    <w:rsid w:val="5C797243"/>
    <w:rsid w:val="5C950521"/>
    <w:rsid w:val="5D1A4465"/>
    <w:rsid w:val="5DA14CA4"/>
    <w:rsid w:val="5DCD43FF"/>
    <w:rsid w:val="5E761C8C"/>
    <w:rsid w:val="5ECE3876"/>
    <w:rsid w:val="5F97010C"/>
    <w:rsid w:val="5FFD63C3"/>
    <w:rsid w:val="62D226AB"/>
    <w:rsid w:val="62DE3608"/>
    <w:rsid w:val="635822A8"/>
    <w:rsid w:val="64C00F08"/>
    <w:rsid w:val="64CA4726"/>
    <w:rsid w:val="64E020C6"/>
    <w:rsid w:val="65706B30"/>
    <w:rsid w:val="66763171"/>
    <w:rsid w:val="668E33DC"/>
    <w:rsid w:val="668F4233"/>
    <w:rsid w:val="66FB73F2"/>
    <w:rsid w:val="677A58C0"/>
    <w:rsid w:val="67EF0C5A"/>
    <w:rsid w:val="68012F0F"/>
    <w:rsid w:val="69F42A26"/>
    <w:rsid w:val="6A513DD5"/>
    <w:rsid w:val="6B96396E"/>
    <w:rsid w:val="6BF540D9"/>
    <w:rsid w:val="6CA20189"/>
    <w:rsid w:val="6CD52274"/>
    <w:rsid w:val="6D1501EA"/>
    <w:rsid w:val="6D5B2169"/>
    <w:rsid w:val="6DD0797D"/>
    <w:rsid w:val="6E1A0EFE"/>
    <w:rsid w:val="6E315BD0"/>
    <w:rsid w:val="6E3B0389"/>
    <w:rsid w:val="6E981206"/>
    <w:rsid w:val="70DE7BD3"/>
    <w:rsid w:val="711E068D"/>
    <w:rsid w:val="71754026"/>
    <w:rsid w:val="725D6F93"/>
    <w:rsid w:val="72EA318B"/>
    <w:rsid w:val="73335F46"/>
    <w:rsid w:val="73A11102"/>
    <w:rsid w:val="74B5471E"/>
    <w:rsid w:val="76C92E49"/>
    <w:rsid w:val="7711659E"/>
    <w:rsid w:val="77E41C8F"/>
    <w:rsid w:val="77FF632E"/>
    <w:rsid w:val="79863274"/>
    <w:rsid w:val="7A1C7734"/>
    <w:rsid w:val="7A7632E8"/>
    <w:rsid w:val="7A8F6158"/>
    <w:rsid w:val="7AFE24C7"/>
    <w:rsid w:val="7B036868"/>
    <w:rsid w:val="7B14665D"/>
    <w:rsid w:val="7C56738C"/>
    <w:rsid w:val="7CA915F3"/>
    <w:rsid w:val="7D0821F2"/>
    <w:rsid w:val="7D4634BC"/>
    <w:rsid w:val="7D843D95"/>
    <w:rsid w:val="7E5E6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qFormat/>
    <w:uiPriority w:val="99"/>
    <w:pPr>
      <w:jc w:val="left"/>
    </w:pPr>
  </w:style>
  <w:style w:type="paragraph" w:styleId="3">
    <w:name w:val="Body Text"/>
    <w:basedOn w:val="1"/>
    <w:next w:val="1"/>
    <w:qFormat/>
    <w:uiPriority w:val="99"/>
    <w:pPr>
      <w:jc w:val="left"/>
    </w:pPr>
    <w:rPr>
      <w:i/>
      <w:iCs/>
    </w:rPr>
  </w:style>
  <w:style w:type="paragraph" w:styleId="4">
    <w:name w:val="Body Text Indent"/>
    <w:basedOn w:val="1"/>
    <w:next w:val="5"/>
    <w:qFormat/>
    <w:uiPriority w:val="0"/>
    <w:pPr>
      <w:spacing w:line="480" w:lineRule="exact"/>
      <w:ind w:firstLine="480" w:firstLineChars="200"/>
    </w:pPr>
    <w:rPr>
      <w:rFonts w:ascii="宋体" w:hAnsi="宋体"/>
      <w:sz w:val="24"/>
    </w:rPr>
  </w:style>
  <w:style w:type="paragraph" w:styleId="5">
    <w:name w:val="List Bullet 2"/>
    <w:basedOn w:val="1"/>
    <w:next w:val="6"/>
    <w:semiHidden/>
    <w:unhideWhenUsed/>
    <w:qFormat/>
    <w:uiPriority w:val="99"/>
    <w:pPr>
      <w:numPr>
        <w:ilvl w:val="0"/>
        <w:numId w:val="1"/>
      </w:numPr>
    </w:pPr>
  </w:style>
  <w:style w:type="paragraph" w:customStyle="1" w:styleId="6">
    <w:name w:val="正文1"/>
    <w:basedOn w:val="7"/>
    <w:next w:val="4"/>
    <w:qFormat/>
    <w:uiPriority w:val="0"/>
    <w:pPr>
      <w:ind w:left="0" w:leftChars="0" w:firstLine="480" w:firstLineChars="200"/>
    </w:pPr>
    <w:rPr>
      <w:rFonts w:ascii="仿宋_GB2312" w:hAnsi="Courier New" w:eastAsia="仿宋_GB2312"/>
      <w:kern w:val="28"/>
      <w:sz w:val="24"/>
    </w:rPr>
  </w:style>
  <w:style w:type="paragraph" w:styleId="7">
    <w:name w:val="toc 3"/>
    <w:basedOn w:val="1"/>
    <w:next w:val="1"/>
    <w:qFormat/>
    <w:uiPriority w:val="0"/>
    <w:pPr>
      <w:spacing w:line="460" w:lineRule="exact"/>
      <w:ind w:left="840" w:leftChars="400" w:firstLine="482"/>
    </w:pPr>
    <w:rPr>
      <w:rFonts w:ascii="宋体" w:hAnsi="宋体"/>
    </w:rPr>
  </w:style>
  <w:style w:type="paragraph" w:styleId="8">
    <w:name w:val="Plain Text"/>
    <w:basedOn w:val="1"/>
    <w:next w:val="1"/>
    <w:link w:val="22"/>
    <w:qFormat/>
    <w:uiPriority w:val="99"/>
    <w:rPr>
      <w:rFonts w:ascii="宋体" w:hAnsi="Courier New"/>
    </w:rPr>
  </w:style>
  <w:style w:type="paragraph" w:styleId="9">
    <w:name w:val="footer"/>
    <w:basedOn w:val="1"/>
    <w:link w:val="26"/>
    <w:unhideWhenUsed/>
    <w:qFormat/>
    <w:uiPriority w:val="99"/>
    <w:pPr>
      <w:tabs>
        <w:tab w:val="center" w:pos="4153"/>
        <w:tab w:val="right" w:pos="8306"/>
      </w:tabs>
      <w:snapToGrid w:val="0"/>
      <w:jc w:val="left"/>
    </w:pPr>
    <w:rPr>
      <w:sz w:val="18"/>
      <w:szCs w:val="18"/>
    </w:rPr>
  </w:style>
  <w:style w:type="paragraph" w:styleId="10">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itle"/>
    <w:basedOn w:val="1"/>
    <w:next w:val="1"/>
    <w:qFormat/>
    <w:uiPriority w:val="0"/>
    <w:pPr>
      <w:spacing w:before="240" w:after="60"/>
      <w:jc w:val="center"/>
      <w:outlineLvl w:val="0"/>
    </w:pPr>
    <w:rPr>
      <w:rFonts w:ascii="Cambria" w:hAnsi="Cambria"/>
      <w:b/>
      <w:sz w:val="32"/>
      <w:szCs w:val="20"/>
    </w:rPr>
  </w:style>
  <w:style w:type="paragraph" w:styleId="12">
    <w:name w:val="annotation subject"/>
    <w:basedOn w:val="2"/>
    <w:next w:val="2"/>
    <w:link w:val="21"/>
    <w:semiHidden/>
    <w:unhideWhenUsed/>
    <w:qFormat/>
    <w:uiPriority w:val="99"/>
    <w:rPr>
      <w:b/>
      <w:bCs/>
    </w:rPr>
  </w:style>
  <w:style w:type="table" w:styleId="14">
    <w:name w:val="Table Grid"/>
    <w:basedOn w:val="13"/>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annotation reference"/>
    <w:semiHidden/>
    <w:qFormat/>
    <w:uiPriority w:val="99"/>
    <w:rPr>
      <w:sz w:val="21"/>
      <w:szCs w:val="21"/>
    </w:rPr>
  </w:style>
  <w:style w:type="paragraph" w:customStyle="1" w:styleId="17">
    <w:name w:val="Default"/>
    <w:next w:val="18"/>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8">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19">
    <w:name w:val="批注文字 字符"/>
    <w:basedOn w:val="15"/>
    <w:qFormat/>
    <w:uiPriority w:val="99"/>
    <w:rPr>
      <w:rFonts w:ascii="Times New Roman" w:hAnsi="Times New Roman" w:eastAsia="宋体" w:cs="Times New Roman"/>
      <w:szCs w:val="21"/>
    </w:rPr>
  </w:style>
  <w:style w:type="character" w:customStyle="1" w:styleId="20">
    <w:name w:val="批注文字 字符1"/>
    <w:link w:val="2"/>
    <w:semiHidden/>
    <w:qFormat/>
    <w:uiPriority w:val="99"/>
    <w:rPr>
      <w:rFonts w:ascii="Times New Roman" w:hAnsi="Times New Roman" w:eastAsia="宋体" w:cs="Times New Roman"/>
      <w:szCs w:val="21"/>
    </w:rPr>
  </w:style>
  <w:style w:type="character" w:customStyle="1" w:styleId="21">
    <w:name w:val="批注主题 字符"/>
    <w:basedOn w:val="20"/>
    <w:link w:val="12"/>
    <w:semiHidden/>
    <w:qFormat/>
    <w:uiPriority w:val="99"/>
    <w:rPr>
      <w:rFonts w:ascii="Times New Roman" w:hAnsi="Times New Roman" w:eastAsia="宋体" w:cs="Times New Roman"/>
      <w:b/>
      <w:bCs/>
      <w:szCs w:val="21"/>
    </w:rPr>
  </w:style>
  <w:style w:type="character" w:customStyle="1" w:styleId="22">
    <w:name w:val="纯文本 字符"/>
    <w:basedOn w:val="15"/>
    <w:link w:val="8"/>
    <w:qFormat/>
    <w:uiPriority w:val="99"/>
    <w:rPr>
      <w:rFonts w:ascii="宋体" w:hAnsi="Courier New" w:eastAsia="宋体" w:cs="Times New Roman"/>
      <w:szCs w:val="21"/>
    </w:rPr>
  </w:style>
  <w:style w:type="paragraph" w:customStyle="1" w:styleId="23">
    <w:name w:val="表格文字"/>
    <w:basedOn w:val="1"/>
    <w:qFormat/>
    <w:uiPriority w:val="0"/>
    <w:pPr>
      <w:spacing w:before="25" w:after="25"/>
      <w:jc w:val="left"/>
    </w:pPr>
    <w:rPr>
      <w:rFonts w:ascii="Calibri" w:hAnsi="Calibri"/>
      <w:bCs/>
      <w:spacing w:val="10"/>
      <w:kern w:val="0"/>
      <w:sz w:val="24"/>
      <w:szCs w:val="20"/>
    </w:rPr>
  </w:style>
  <w:style w:type="character" w:customStyle="1" w:styleId="24">
    <w:name w:val="fontstyle01"/>
    <w:qFormat/>
    <w:uiPriority w:val="0"/>
    <w:rPr>
      <w:rFonts w:hint="eastAsia" w:ascii="宋体" w:hAnsi="宋体" w:eastAsia="宋体"/>
      <w:color w:val="000000"/>
      <w:sz w:val="24"/>
      <w:szCs w:val="24"/>
    </w:rPr>
  </w:style>
  <w:style w:type="character" w:customStyle="1" w:styleId="25">
    <w:name w:val="页眉 字符"/>
    <w:basedOn w:val="15"/>
    <w:link w:val="10"/>
    <w:qFormat/>
    <w:uiPriority w:val="99"/>
    <w:rPr>
      <w:rFonts w:ascii="Times New Roman" w:hAnsi="Times New Roman" w:eastAsia="宋体" w:cs="Times New Roman"/>
      <w:sz w:val="18"/>
      <w:szCs w:val="18"/>
    </w:rPr>
  </w:style>
  <w:style w:type="character" w:customStyle="1" w:styleId="26">
    <w:name w:val="页脚 字符"/>
    <w:basedOn w:val="15"/>
    <w:link w:val="9"/>
    <w:qFormat/>
    <w:uiPriority w:val="99"/>
    <w:rPr>
      <w:rFonts w:ascii="Times New Roman" w:hAnsi="Times New Roman" w:eastAsia="宋体" w:cs="Times New Roman"/>
      <w:sz w:val="18"/>
      <w:szCs w:val="18"/>
    </w:rPr>
  </w:style>
  <w:style w:type="character" w:styleId="27">
    <w:name w:val="Placeholder Text"/>
    <w:basedOn w:val="15"/>
    <w:semiHidden/>
    <w:qFormat/>
    <w:uiPriority w:val="99"/>
    <w:rPr>
      <w:color w:val="808080"/>
    </w:rPr>
  </w:style>
  <w:style w:type="paragraph" w:customStyle="1" w:styleId="28">
    <w:name w:val="样式1"/>
    <w:basedOn w:val="1"/>
    <w:qFormat/>
    <w:uiPriority w:val="0"/>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68637b5-4f2f-4ec3-b4ae-db27248cb070}"/>
        <w:style w:val=""/>
        <w:category>
          <w:name w:val="常规"/>
          <w:gallery w:val="placeholder"/>
        </w:category>
        <w:types>
          <w:type w:val="bbPlcHdr"/>
        </w:types>
        <w:behaviors>
          <w:behavior w:val="content"/>
        </w:behaviors>
        <w:description w:val=""/>
        <w:guid w:val="{e68637b5-4f2f-4ec3-b4ae-db27248cb070}"/>
      </w:docPartPr>
      <w:docPartBody>
        <w:p w14:paraId="3D3474CE">
          <w:r>
            <w:rPr>
              <w:rStyle w:val="4"/>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5A"/>
    <w:rsid w:val="00013D5D"/>
    <w:rsid w:val="00102898"/>
    <w:rsid w:val="001B2DBA"/>
    <w:rsid w:val="0048475D"/>
    <w:rsid w:val="007311C2"/>
    <w:rsid w:val="0080285A"/>
    <w:rsid w:val="00F22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60F420097394E1B8F5C294379C7133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D4063EF51294538A22B0E574C99417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1561</Words>
  <Characters>1638</Characters>
  <Lines>26</Lines>
  <Paragraphs>7</Paragraphs>
  <TotalTime>0</TotalTime>
  <ScaleCrop>false</ScaleCrop>
  <LinksUpToDate>false</LinksUpToDate>
  <CharactersWithSpaces>1646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2026-10-08T09:24:18Z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B1C8ADB6A08C49D88EF48001F8D355A1_13</vt:lpwstr>
  </property>
  <property fmtid="{D5CDD505-2E9C-101B-9397-08002B2CF9AE}" pid="4" name="KSOTemplateDocerSaveRecord">
    <vt:lpwstr>eyJoZGlkIjoiOTZkZDVmNzBiZGNiZTJiMTNjOTFhZTJiYjI4ZWQ4OTAiLCJ1c2VySWQiOiI0MzU5NDIxNTAifQ==</vt:lpwstr>
  </property>
</Properties>
</file>