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3B170">
      <w:pPr>
        <w:pStyle w:val="14"/>
        <w:ind w:left="-708" w:leftChars="-337"/>
        <w:rPr>
          <w:rFonts w:hint="default" w:eastAsia="宋体" w:cs="宋体"/>
          <w:b/>
          <w:bCs/>
          <w:sz w:val="28"/>
          <w:szCs w:val="28"/>
          <w:lang w:val="en-US" w:eastAsia="zh-CN"/>
        </w:rPr>
      </w:pPr>
      <w:r>
        <w:rPr>
          <w:rFonts w:hint="eastAsia" w:cs="宋体"/>
          <w:b/>
          <w:bCs/>
          <w:sz w:val="28"/>
          <w:szCs w:val="28"/>
          <w:lang w:val="en-US" w:eastAsia="zh-CN"/>
        </w:rPr>
        <w:t xml:space="preserve">                             采购需求文件</w:t>
      </w:r>
    </w:p>
    <w:p w14:paraId="48B4DC30">
      <w:pPr>
        <w:pStyle w:val="14"/>
        <w:spacing w:line="360" w:lineRule="auto"/>
        <w:ind w:left="0" w:leftChars="0" w:firstLine="480" w:firstLineChars="200"/>
        <w:rPr>
          <w:rFonts w:hint="eastAsia" w:ascii="宋体" w:hAnsi="宋体"/>
          <w:b w:val="0"/>
          <w:bCs/>
          <w:color w:val="auto"/>
          <w:lang w:val="en-US" w:eastAsia="zh-CN"/>
        </w:rPr>
      </w:pPr>
      <w:r>
        <w:rPr>
          <w:rFonts w:hint="eastAsia" w:ascii="宋体" w:hAnsi="宋体"/>
          <w:b w:val="0"/>
          <w:bCs/>
          <w:color w:val="auto"/>
          <w:lang w:val="en-US" w:eastAsia="zh-CN"/>
        </w:rPr>
        <w:t>说明：</w:t>
      </w:r>
    </w:p>
    <w:p w14:paraId="0635AE10">
      <w:pPr>
        <w:widowControl/>
        <w:ind w:firstLine="420" w:firstLineChars="200"/>
        <w:jc w:val="both"/>
        <w:rPr>
          <w:rFonts w:hint="default" w:eastAsia="仿宋" w:cs="宋体"/>
          <w:b/>
          <w:bCs/>
          <w:color w:val="FF0000"/>
          <w:kern w:val="0"/>
          <w:sz w:val="38"/>
          <w:szCs w:val="38"/>
          <w:lang w:val="en-US" w:eastAsia="zh-CN"/>
        </w:rPr>
      </w:pPr>
      <w:r>
        <w:rPr>
          <w:rFonts w:hint="eastAsia" w:ascii="宋体" w:hAnsi="宋体"/>
          <w:b w:val="0"/>
          <w:bCs/>
          <w:color w:val="auto"/>
          <w:lang w:val="en-US" w:eastAsia="zh-CN"/>
        </w:rPr>
        <w:t>1.标注“</w:t>
      </w:r>
      <w:r>
        <w:rPr>
          <w:rFonts w:hint="eastAsia" w:ascii="仿宋" w:hAnsi="仿宋" w:eastAsia="仿宋" w:cs="仿宋"/>
          <w:color w:val="FF0000"/>
          <w:kern w:val="0"/>
          <w:sz w:val="24"/>
          <w:szCs w:val="24"/>
          <w:lang w:val="en-US" w:eastAsia="zh-CN" w:bidi="ar-SA"/>
        </w:rPr>
        <w:t>★”的条款为实质性条款，如有负偏离或不响应的，则投标文件无效，其他条款为一般条款，1分标和2分标各允许负偏离的条款数为≤2项，如偏离项数超出允许范围，则投标文件无效。</w:t>
      </w:r>
    </w:p>
    <w:p w14:paraId="78387114">
      <w:pPr>
        <w:pStyle w:val="14"/>
        <w:ind w:left="0" w:leftChars="0" w:firstLine="281" w:firstLineChars="100"/>
        <w:rPr>
          <w:rFonts w:cs="宋体"/>
          <w:b/>
          <w:bCs/>
          <w:sz w:val="28"/>
          <w:szCs w:val="28"/>
        </w:rPr>
      </w:pPr>
      <w:r>
        <w:rPr>
          <w:rFonts w:hint="eastAsia" w:cs="宋体"/>
          <w:b/>
          <w:bCs/>
          <w:sz w:val="28"/>
          <w:szCs w:val="28"/>
        </w:rPr>
        <w:t>一、采购清单、技术规格参数、质量标准和要求</w:t>
      </w:r>
    </w:p>
    <w:p w14:paraId="29FB495E">
      <w:pPr>
        <w:pStyle w:val="14"/>
        <w:ind w:left="0" w:leftChars="0"/>
        <w:rPr>
          <w:rFonts w:hint="default" w:eastAsia="宋体"/>
          <w:b/>
          <w:bCs/>
          <w:lang w:val="en-US" w:eastAsia="zh-CN"/>
        </w:rPr>
      </w:pPr>
      <w:r>
        <w:rPr>
          <w:rFonts w:hint="eastAsia" w:cs="宋体"/>
          <w:b/>
          <w:bCs/>
        </w:rPr>
        <w:t>（一）采购清单</w:t>
      </w:r>
      <w:r>
        <w:rPr>
          <w:b/>
          <w:bCs/>
        </w:rPr>
        <w:t> </w:t>
      </w:r>
    </w:p>
    <w:p w14:paraId="5AD80A9A">
      <w:pPr>
        <w:pStyle w:val="14"/>
        <w:ind w:left="-708" w:leftChars="-337"/>
        <w:rPr>
          <w:rFonts w:hint="eastAsia"/>
          <w:b/>
          <w:bCs/>
          <w:color w:val="0000FF"/>
          <w:sz w:val="18"/>
          <w:szCs w:val="18"/>
          <w:lang w:val="en-US" w:eastAsia="zh-CN"/>
        </w:rPr>
      </w:pPr>
      <w:r>
        <w:rPr>
          <w:rFonts w:hint="eastAsia"/>
          <w:b/>
          <w:bCs/>
          <w:lang w:val="en-US" w:eastAsia="zh-CN"/>
        </w:rPr>
        <w:t xml:space="preserve">     </w:t>
      </w:r>
    </w:p>
    <w:tbl>
      <w:tblPr>
        <w:tblStyle w:val="10"/>
        <w:tblW w:w="9588" w:type="dxa"/>
        <w:tblInd w:w="325" w:type="dxa"/>
        <w:tblLayout w:type="fixed"/>
        <w:tblCellMar>
          <w:top w:w="0" w:type="dxa"/>
          <w:left w:w="108" w:type="dxa"/>
          <w:bottom w:w="0" w:type="dxa"/>
          <w:right w:w="108" w:type="dxa"/>
        </w:tblCellMar>
      </w:tblPr>
      <w:tblGrid>
        <w:gridCol w:w="825"/>
        <w:gridCol w:w="1438"/>
        <w:gridCol w:w="2100"/>
        <w:gridCol w:w="1425"/>
        <w:gridCol w:w="2012"/>
        <w:gridCol w:w="1788"/>
      </w:tblGrid>
      <w:tr w14:paraId="22920799">
        <w:tblPrEx>
          <w:tblCellMar>
            <w:top w:w="0" w:type="dxa"/>
            <w:left w:w="108" w:type="dxa"/>
            <w:bottom w:w="0" w:type="dxa"/>
            <w:right w:w="108" w:type="dxa"/>
          </w:tblCellMar>
        </w:tblPrEx>
        <w:trPr>
          <w:trHeight w:val="187" w:hRule="atLeast"/>
        </w:trPr>
        <w:tc>
          <w:tcPr>
            <w:tcW w:w="825" w:type="dxa"/>
            <w:tcBorders>
              <w:top w:val="single" w:color="000000" w:sz="4" w:space="0"/>
              <w:left w:val="single" w:color="000000" w:sz="4" w:space="0"/>
              <w:bottom w:val="single" w:color="000000" w:sz="4" w:space="0"/>
              <w:right w:val="single" w:color="000000" w:sz="4" w:space="0"/>
            </w:tcBorders>
            <w:noWrap w:val="0"/>
            <w:vAlign w:val="center"/>
          </w:tcPr>
          <w:p w14:paraId="383275F1">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序号</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55AC5FAB">
            <w:pPr>
              <w:widowControl/>
              <w:jc w:val="center"/>
              <w:textAlignment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分标项</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4E07965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名称</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3D2CAD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数量</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24A7F3A">
            <w:pPr>
              <w:widowControl/>
              <w:jc w:val="center"/>
              <w:textAlignment w:val="center"/>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采购单价</w:t>
            </w:r>
            <w:r>
              <w:rPr>
                <w:rFonts w:hint="eastAsia" w:ascii="宋体" w:hAnsi="宋体" w:cs="宋体"/>
                <w:color w:val="000000"/>
                <w:kern w:val="0"/>
                <w:sz w:val="24"/>
                <w:szCs w:val="24"/>
                <w:lang w:val="en-US" w:eastAsia="zh-CN"/>
              </w:rPr>
              <w:t>上限价</w:t>
            </w:r>
            <w:r>
              <w:rPr>
                <w:rFonts w:hint="eastAsia" w:ascii="宋体" w:hAnsi="宋体" w:cs="宋体"/>
                <w:color w:val="000000"/>
                <w:kern w:val="0"/>
                <w:sz w:val="24"/>
                <w:szCs w:val="24"/>
                <w:lang w:eastAsia="zh-CN"/>
              </w:rPr>
              <w:t>（元）</w:t>
            </w:r>
          </w:p>
        </w:tc>
        <w:tc>
          <w:tcPr>
            <w:tcW w:w="1788" w:type="dxa"/>
            <w:tcBorders>
              <w:top w:val="single" w:color="000000" w:sz="4" w:space="0"/>
              <w:left w:val="single" w:color="000000" w:sz="4" w:space="0"/>
              <w:bottom w:val="single" w:color="000000" w:sz="4" w:space="0"/>
              <w:right w:val="single" w:color="000000" w:sz="4" w:space="0"/>
            </w:tcBorders>
            <w:noWrap w:val="0"/>
            <w:vAlign w:val="center"/>
          </w:tcPr>
          <w:p w14:paraId="3A7B7897">
            <w:pPr>
              <w:widowControl/>
              <w:jc w:val="center"/>
              <w:textAlignment w:val="center"/>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采购总价</w:t>
            </w:r>
            <w:r>
              <w:rPr>
                <w:rFonts w:hint="eastAsia" w:ascii="宋体" w:hAnsi="宋体" w:cs="宋体"/>
                <w:color w:val="000000"/>
                <w:kern w:val="0"/>
                <w:sz w:val="24"/>
                <w:szCs w:val="24"/>
                <w:lang w:val="en-US" w:eastAsia="zh-CN"/>
              </w:rPr>
              <w:t>上</w:t>
            </w:r>
            <w:r>
              <w:rPr>
                <w:rFonts w:hint="eastAsia" w:ascii="宋体" w:hAnsi="宋体" w:cs="宋体"/>
                <w:color w:val="000000"/>
                <w:kern w:val="0"/>
                <w:sz w:val="24"/>
                <w:szCs w:val="24"/>
                <w:lang w:eastAsia="zh-CN"/>
              </w:rPr>
              <w:t>限价（元）</w:t>
            </w:r>
          </w:p>
        </w:tc>
      </w:tr>
      <w:tr w14:paraId="6476643B">
        <w:tblPrEx>
          <w:tblCellMar>
            <w:top w:w="0" w:type="dxa"/>
            <w:left w:w="108" w:type="dxa"/>
            <w:bottom w:w="0" w:type="dxa"/>
            <w:right w:w="108" w:type="dxa"/>
          </w:tblCellMar>
        </w:tblPrEx>
        <w:trPr>
          <w:trHeight w:val="372" w:hRule="atLeast"/>
        </w:trPr>
        <w:tc>
          <w:tcPr>
            <w:tcW w:w="825" w:type="dxa"/>
            <w:tcBorders>
              <w:top w:val="single" w:color="000000" w:sz="4" w:space="0"/>
              <w:left w:val="single" w:color="000000" w:sz="4" w:space="0"/>
              <w:bottom w:val="single" w:color="000000" w:sz="4" w:space="0"/>
              <w:right w:val="single" w:color="000000" w:sz="4" w:space="0"/>
            </w:tcBorders>
            <w:noWrap w:val="0"/>
            <w:vAlign w:val="center"/>
          </w:tcPr>
          <w:p w14:paraId="08CEE4AF">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6B13652D">
            <w:pPr>
              <w:widowControl/>
              <w:jc w:val="center"/>
              <w:textAlignment w:val="center"/>
              <w:rPr>
                <w:rFonts w:hint="default" w:ascii="宋体" w:hAnsi="宋体" w:cs="宋体"/>
                <w:color w:val="000000"/>
                <w:kern w:val="0"/>
                <w:sz w:val="24"/>
                <w:szCs w:val="24"/>
                <w:lang w:val="en-US"/>
              </w:rPr>
            </w:pPr>
            <w:r>
              <w:rPr>
                <w:rFonts w:hint="eastAsia" w:ascii="宋体" w:hAnsi="宋体" w:cs="宋体"/>
                <w:color w:val="000000"/>
                <w:kern w:val="0"/>
                <w:sz w:val="24"/>
                <w:szCs w:val="24"/>
                <w:lang w:val="en-US" w:eastAsia="zh-CN"/>
              </w:rPr>
              <w:t>1分标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4E6B32DC">
            <w:pPr>
              <w:widowControl/>
              <w:jc w:val="center"/>
              <w:textAlignment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血气分析仪</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6EDA1EEA">
            <w:pPr>
              <w:widowControl/>
              <w:jc w:val="center"/>
              <w:textAlignment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1台</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830A4CB">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18000.00</w:t>
            </w:r>
          </w:p>
        </w:tc>
        <w:tc>
          <w:tcPr>
            <w:tcW w:w="1788" w:type="dxa"/>
            <w:tcBorders>
              <w:top w:val="single" w:color="000000" w:sz="4" w:space="0"/>
              <w:left w:val="single" w:color="000000" w:sz="4" w:space="0"/>
              <w:bottom w:val="single" w:color="000000" w:sz="4" w:space="0"/>
              <w:right w:val="single" w:color="000000" w:sz="4" w:space="0"/>
            </w:tcBorders>
            <w:noWrap w:val="0"/>
            <w:vAlign w:val="center"/>
          </w:tcPr>
          <w:p w14:paraId="716841E4">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18000.00</w:t>
            </w:r>
          </w:p>
        </w:tc>
      </w:tr>
      <w:tr w14:paraId="4C9BF1B5">
        <w:tblPrEx>
          <w:tblCellMar>
            <w:top w:w="0" w:type="dxa"/>
            <w:left w:w="108" w:type="dxa"/>
            <w:bottom w:w="0" w:type="dxa"/>
            <w:right w:w="108" w:type="dxa"/>
          </w:tblCellMar>
        </w:tblPrEx>
        <w:trPr>
          <w:trHeight w:val="372" w:hRule="atLeast"/>
        </w:trPr>
        <w:tc>
          <w:tcPr>
            <w:tcW w:w="825" w:type="dxa"/>
            <w:tcBorders>
              <w:top w:val="single" w:color="000000" w:sz="4" w:space="0"/>
              <w:left w:val="single" w:color="000000" w:sz="4" w:space="0"/>
              <w:bottom w:val="single" w:color="000000" w:sz="4" w:space="0"/>
              <w:right w:val="single" w:color="000000" w:sz="4" w:space="0"/>
            </w:tcBorders>
            <w:noWrap w:val="0"/>
            <w:vAlign w:val="center"/>
          </w:tcPr>
          <w:p w14:paraId="4767DC68">
            <w:pPr>
              <w:widowControl/>
              <w:jc w:val="center"/>
              <w:textAlignment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76F68CC7">
            <w:pPr>
              <w:widowControl/>
              <w:jc w:val="center"/>
              <w:textAlignment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2分标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183CA5C">
            <w:pPr>
              <w:widowControl/>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血气分析仪</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8CD8C66">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1台</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F6158DA">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40000.00</w:t>
            </w:r>
          </w:p>
        </w:tc>
        <w:tc>
          <w:tcPr>
            <w:tcW w:w="1788" w:type="dxa"/>
            <w:tcBorders>
              <w:top w:val="single" w:color="000000" w:sz="4" w:space="0"/>
              <w:left w:val="single" w:color="000000" w:sz="4" w:space="0"/>
              <w:bottom w:val="single" w:color="000000" w:sz="4" w:space="0"/>
              <w:right w:val="single" w:color="000000" w:sz="4" w:space="0"/>
            </w:tcBorders>
            <w:noWrap w:val="0"/>
            <w:vAlign w:val="center"/>
          </w:tcPr>
          <w:p w14:paraId="5EE553D5">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40000.00</w:t>
            </w:r>
          </w:p>
        </w:tc>
      </w:tr>
      <w:tr w14:paraId="51F2DA80">
        <w:tblPrEx>
          <w:tblCellMar>
            <w:top w:w="0" w:type="dxa"/>
            <w:left w:w="108" w:type="dxa"/>
            <w:bottom w:w="0" w:type="dxa"/>
            <w:right w:w="108" w:type="dxa"/>
          </w:tblCellMar>
        </w:tblPrEx>
        <w:trPr>
          <w:trHeight w:val="372" w:hRule="atLeast"/>
        </w:trPr>
        <w:tc>
          <w:tcPr>
            <w:tcW w:w="825" w:type="dxa"/>
            <w:tcBorders>
              <w:top w:val="single" w:color="000000" w:sz="4" w:space="0"/>
              <w:left w:val="single" w:color="000000" w:sz="4" w:space="0"/>
              <w:bottom w:val="single" w:color="000000" w:sz="4" w:space="0"/>
              <w:right w:val="single" w:color="000000" w:sz="4" w:space="0"/>
            </w:tcBorders>
            <w:noWrap w:val="0"/>
            <w:vAlign w:val="center"/>
          </w:tcPr>
          <w:p w14:paraId="10C7B4FD">
            <w:pPr>
              <w:widowControl/>
              <w:jc w:val="center"/>
              <w:textAlignment w:val="center"/>
              <w:rPr>
                <w:rFonts w:hint="default"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3</w:t>
            </w:r>
          </w:p>
        </w:tc>
        <w:tc>
          <w:tcPr>
            <w:tcW w:w="8763" w:type="dxa"/>
            <w:gridSpan w:val="5"/>
            <w:tcBorders>
              <w:top w:val="single" w:color="000000" w:sz="4" w:space="0"/>
              <w:left w:val="single" w:color="000000" w:sz="4" w:space="0"/>
              <w:bottom w:val="single" w:color="000000" w:sz="4" w:space="0"/>
              <w:right w:val="single" w:color="000000" w:sz="4" w:space="0"/>
            </w:tcBorders>
            <w:noWrap w:val="0"/>
            <w:vAlign w:val="center"/>
          </w:tcPr>
          <w:p w14:paraId="4FC1799F">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项目总预算：58000.00元</w:t>
            </w:r>
          </w:p>
        </w:tc>
      </w:tr>
    </w:tbl>
    <w:p w14:paraId="46BFAADE">
      <w:pPr>
        <w:widowControl/>
        <w:numPr>
          <w:ilvl w:val="0"/>
          <w:numId w:val="0"/>
        </w:numPr>
        <w:spacing w:line="240" w:lineRule="auto"/>
        <w:jc w:val="left"/>
        <w:rPr>
          <w:rFonts w:hint="eastAsia" w:cs="宋体"/>
          <w:b/>
          <w:bCs/>
          <w:color w:val="000000"/>
          <w:kern w:val="0"/>
          <w:sz w:val="24"/>
          <w:szCs w:val="24"/>
          <w:lang w:val="en-US" w:eastAsia="zh-CN" w:bidi="ar-SA"/>
        </w:rPr>
      </w:pPr>
    </w:p>
    <w:p w14:paraId="6824A9AA">
      <w:pPr>
        <w:widowControl/>
        <w:numPr>
          <w:ilvl w:val="0"/>
          <w:numId w:val="0"/>
        </w:numPr>
        <w:spacing w:line="360" w:lineRule="auto"/>
        <w:jc w:val="left"/>
        <w:rPr>
          <w:rFonts w:hint="default" w:ascii="Times New Roman" w:hAnsi="Times New Roman" w:eastAsia="宋体" w:cs="宋体"/>
          <w:b/>
          <w:bCs/>
          <w:color w:val="000000"/>
          <w:kern w:val="0"/>
          <w:sz w:val="24"/>
          <w:szCs w:val="24"/>
          <w:lang w:val="en-US" w:eastAsia="zh-CN" w:bidi="ar-SA"/>
        </w:rPr>
      </w:pPr>
      <w:r>
        <w:rPr>
          <w:rFonts w:hint="eastAsia" w:cs="宋体"/>
          <w:b/>
          <w:bCs/>
          <w:color w:val="000000"/>
          <w:kern w:val="0"/>
          <w:sz w:val="24"/>
          <w:szCs w:val="24"/>
          <w:lang w:val="en-US" w:eastAsia="zh-CN" w:bidi="ar-SA"/>
        </w:rPr>
        <w:t>（二）</w:t>
      </w:r>
      <w:r>
        <w:rPr>
          <w:rFonts w:hint="eastAsia" w:ascii="Times New Roman" w:hAnsi="Times New Roman" w:eastAsia="宋体" w:cs="宋体"/>
          <w:b/>
          <w:bCs/>
          <w:color w:val="000000"/>
          <w:kern w:val="0"/>
          <w:sz w:val="24"/>
          <w:szCs w:val="24"/>
          <w:lang w:val="en-US" w:eastAsia="zh-CN" w:bidi="ar-SA"/>
        </w:rPr>
        <w:t>技术规格参数</w:t>
      </w:r>
    </w:p>
    <w:p w14:paraId="733B16DD">
      <w:pPr>
        <w:pStyle w:val="14"/>
        <w:spacing w:line="360" w:lineRule="auto"/>
        <w:ind w:left="-708" w:leftChars="-337" w:firstLine="720" w:firstLineChars="300"/>
        <w:rPr>
          <w:rFonts w:hint="default"/>
          <w:lang w:val="en-US" w:eastAsia="zh-CN"/>
        </w:rPr>
      </w:pPr>
      <w:r>
        <w:rPr>
          <w:rFonts w:hint="eastAsia"/>
          <w:lang w:val="en-US" w:eastAsia="zh-CN"/>
        </w:rPr>
        <w:t>1分标：</w:t>
      </w:r>
      <w:r>
        <w:rPr>
          <w:rFonts w:hint="eastAsia" w:ascii="宋体" w:hAnsi="宋体" w:cs="宋体"/>
          <w:color w:val="000000"/>
          <w:sz w:val="24"/>
          <w:szCs w:val="24"/>
          <w:lang w:eastAsia="zh-CN"/>
        </w:rPr>
        <w:t>采购</w:t>
      </w:r>
      <w:r>
        <w:rPr>
          <w:rFonts w:hint="eastAsia" w:ascii="宋体" w:hAnsi="宋体" w:cs="宋体"/>
          <w:color w:val="000000"/>
          <w:sz w:val="24"/>
          <w:szCs w:val="24"/>
          <w:lang w:val="en-US" w:eastAsia="zh-CN"/>
        </w:rPr>
        <w:t>预算：18000.00元。</w:t>
      </w:r>
    </w:p>
    <w:tbl>
      <w:tblPr>
        <w:tblStyle w:val="10"/>
        <w:tblW w:w="9705" w:type="dxa"/>
        <w:tblInd w:w="0" w:type="dxa"/>
        <w:tblLayout w:type="fixed"/>
        <w:tblCellMar>
          <w:top w:w="0" w:type="dxa"/>
          <w:left w:w="108" w:type="dxa"/>
          <w:bottom w:w="0" w:type="dxa"/>
          <w:right w:w="108" w:type="dxa"/>
        </w:tblCellMar>
      </w:tblPr>
      <w:tblGrid>
        <w:gridCol w:w="473"/>
        <w:gridCol w:w="655"/>
        <w:gridCol w:w="710"/>
        <w:gridCol w:w="7867"/>
      </w:tblGrid>
      <w:tr w14:paraId="2B2BDD1A">
        <w:tblPrEx>
          <w:tblCellMar>
            <w:top w:w="0" w:type="dxa"/>
            <w:left w:w="108" w:type="dxa"/>
            <w:bottom w:w="0" w:type="dxa"/>
            <w:right w:w="108" w:type="dxa"/>
          </w:tblCellMar>
        </w:tblPrEx>
        <w:trPr>
          <w:trHeight w:val="713" w:hRule="atLeast"/>
        </w:trPr>
        <w:tc>
          <w:tcPr>
            <w:tcW w:w="473" w:type="dxa"/>
            <w:tcBorders>
              <w:top w:val="single" w:color="000000" w:sz="4" w:space="0"/>
              <w:left w:val="single" w:color="000000" w:sz="4" w:space="0"/>
              <w:bottom w:val="single" w:color="000000" w:sz="4" w:space="0"/>
              <w:right w:val="single" w:color="000000" w:sz="4" w:space="0"/>
            </w:tcBorders>
            <w:noWrap w:val="0"/>
            <w:vAlign w:val="center"/>
          </w:tcPr>
          <w:p w14:paraId="0E0BC872">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序号</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6C8D9E6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名称</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47042766">
            <w:pPr>
              <w:widowControl/>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lang w:eastAsia="zh-CN"/>
              </w:rPr>
              <w:t>数量</w:t>
            </w:r>
          </w:p>
        </w:tc>
        <w:tc>
          <w:tcPr>
            <w:tcW w:w="7867" w:type="dxa"/>
            <w:tcBorders>
              <w:top w:val="single" w:color="000000" w:sz="4" w:space="0"/>
              <w:left w:val="single" w:color="000000" w:sz="4" w:space="0"/>
              <w:bottom w:val="single" w:color="000000" w:sz="4" w:space="0"/>
              <w:right w:val="single" w:color="000000" w:sz="4" w:space="0"/>
            </w:tcBorders>
            <w:noWrap w:val="0"/>
            <w:vAlign w:val="center"/>
          </w:tcPr>
          <w:p w14:paraId="29C98D16">
            <w:pPr>
              <w:widowControl/>
              <w:jc w:val="center"/>
              <w:textAlignment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技术参数要求</w:t>
            </w:r>
          </w:p>
        </w:tc>
      </w:tr>
      <w:tr w14:paraId="69DC1779">
        <w:tblPrEx>
          <w:tblCellMar>
            <w:top w:w="0" w:type="dxa"/>
            <w:left w:w="108" w:type="dxa"/>
            <w:bottom w:w="0" w:type="dxa"/>
            <w:right w:w="108" w:type="dxa"/>
          </w:tblCellMar>
        </w:tblPrEx>
        <w:trPr>
          <w:trHeight w:val="90" w:hRule="atLeast"/>
        </w:trPr>
        <w:tc>
          <w:tcPr>
            <w:tcW w:w="473" w:type="dxa"/>
            <w:tcBorders>
              <w:top w:val="single" w:color="000000" w:sz="4" w:space="0"/>
              <w:left w:val="single" w:color="000000" w:sz="4" w:space="0"/>
              <w:bottom w:val="single" w:color="000000" w:sz="4" w:space="0"/>
              <w:right w:val="single" w:color="000000" w:sz="4" w:space="0"/>
            </w:tcBorders>
            <w:noWrap w:val="0"/>
            <w:vAlign w:val="center"/>
          </w:tcPr>
          <w:p w14:paraId="713F76AA">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14:paraId="357CAEC7">
            <w:pPr>
              <w:pStyle w:val="19"/>
              <w:jc w:val="center"/>
              <w:rPr>
                <w:rFonts w:hint="eastAsia" w:ascii="宋体" w:hAnsi="宋体" w:eastAsia="宋体" w:cs="宋体"/>
                <w:color w:val="000000"/>
                <w:sz w:val="21"/>
                <w:szCs w:val="21"/>
                <w:lang w:eastAsia="zh-CN"/>
              </w:rPr>
            </w:pPr>
            <w:r>
              <w:rPr>
                <w:rFonts w:hint="eastAsia" w:ascii="宋体" w:hAnsi="宋体" w:eastAsia="宋体" w:cs="宋体"/>
                <w:color w:val="000000"/>
                <w:sz w:val="24"/>
                <w:szCs w:val="24"/>
                <w:lang w:val="en-US" w:eastAsia="zh-CN"/>
              </w:rPr>
              <w:t>血气分析仪</w:t>
            </w:r>
            <w:r>
              <w:rPr>
                <w:rFonts w:hint="eastAsia" w:ascii="宋体" w:hAnsi="宋体" w:eastAsia="宋体" w:cs="宋体"/>
                <w:color w:val="000000"/>
                <w:sz w:val="21"/>
                <w:szCs w:val="21"/>
                <w:lang w:eastAsia="zh-CN"/>
              </w:rPr>
              <w:t>仪</w:t>
            </w:r>
          </w:p>
          <w:p w14:paraId="1E24FA2F">
            <w:pPr>
              <w:pStyle w:val="19"/>
              <w:jc w:val="center"/>
              <w:rPr>
                <w:rFonts w:hint="eastAsia" w:ascii="宋体" w:hAnsi="宋体" w:eastAsia="宋体" w:cs="宋体"/>
                <w:sz w:val="21"/>
                <w:szCs w:val="21"/>
                <w:lang w:val="en-US" w:eastAsia="zh-CN"/>
              </w:rPr>
            </w:pP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739F77E1">
            <w:pPr>
              <w:pStyle w:val="19"/>
              <w:jc w:val="both"/>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1台</w:t>
            </w:r>
          </w:p>
        </w:tc>
        <w:tc>
          <w:tcPr>
            <w:tcW w:w="7867" w:type="dxa"/>
            <w:tcBorders>
              <w:top w:val="single" w:color="000000" w:sz="4" w:space="0"/>
              <w:left w:val="single" w:color="000000" w:sz="4" w:space="0"/>
              <w:bottom w:val="single" w:color="000000" w:sz="4" w:space="0"/>
              <w:right w:val="single" w:color="000000" w:sz="4" w:space="0"/>
            </w:tcBorders>
            <w:noWrap w:val="0"/>
            <w:vAlign w:val="center"/>
          </w:tcPr>
          <w:p w14:paraId="566B36F1">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1.功能要求：可应用于血气分析，可进行血气、电解质、代谢物等参数的同时测定。</w:t>
            </w:r>
          </w:p>
          <w:p w14:paraId="640AD168">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sz w:val="21"/>
                <w:szCs w:val="21"/>
                <w:lang w:val="en-US" w:eastAsia="zh-CN"/>
              </w:rPr>
              <w:t>2.可直接测定的参</w:t>
            </w:r>
            <w:r>
              <w:rPr>
                <w:rFonts w:hint="eastAsia" w:ascii="宋体" w:hAnsi="宋体" w:eastAsia="宋体" w:cs="宋体"/>
                <w:color w:val="000000" w:themeColor="text1"/>
                <w:sz w:val="21"/>
                <w:szCs w:val="21"/>
                <w:lang w:val="en-US" w:eastAsia="zh-CN"/>
                <w14:textFill>
                  <w14:solidFill>
                    <w14:schemeClr w14:val="tx1"/>
                  </w14:solidFill>
                </w14:textFill>
              </w:rPr>
              <w:t>数应包括但不限于以下9项：PH、PCO2、PO2、Hct、Na+、K+、Ca++、葡萄糖Glu、乳酸Lac。</w:t>
            </w:r>
            <w:r>
              <w:rPr>
                <w:rFonts w:hint="eastAsia" w:ascii="宋体" w:hAnsi="宋体" w:eastAsia="宋体" w:cs="宋体"/>
                <w:color w:val="000000" w:themeColor="text1"/>
                <w:sz w:val="21"/>
                <w:szCs w:val="21"/>
                <w:lang w:val="de-DE" w:eastAsia="zh-CN"/>
                <w14:textFill>
                  <w14:solidFill>
                    <w14:schemeClr w14:val="tx1"/>
                  </w14:solidFill>
                </w14:textFill>
              </w:rPr>
              <w:t>各参数可根据临床需求自定义灵活组合，在不需要进行某项测试的操作或某项测试发生故障时可关闭，不影响其它指标测定；</w:t>
            </w:r>
          </w:p>
          <w:p w14:paraId="6D54A701">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★3.PO2的可报告范围上限不低于700mmHg；</w:t>
            </w:r>
          </w:p>
          <w:p w14:paraId="5676F48B">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4.K+的可报告范围应不小于0.5-15mmol/L；</w:t>
            </w:r>
          </w:p>
          <w:p w14:paraId="01F88A5B">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color w:val="000000" w:themeColor="text1"/>
                <w:sz w:val="21"/>
                <w:szCs w:val="21"/>
                <w:lang w:val="en-US" w:eastAsia="zh-CN"/>
                <w14:textFill>
                  <w14:solidFill>
                    <w14:schemeClr w14:val="tx1"/>
                  </w14:solidFill>
                </w14:textFill>
              </w:rPr>
              <w:t>5.计算参数包括但不限于以下18项：Ca++（7.4）、HCO3-、HCO3-std、</w:t>
            </w:r>
            <w:r>
              <w:rPr>
                <w:rFonts w:hint="eastAsia" w:ascii="宋体" w:hAnsi="宋体" w:eastAsia="宋体" w:cs="宋体"/>
                <w:sz w:val="21"/>
                <w:szCs w:val="21"/>
                <w:lang w:val="en-US" w:eastAsia="zh-CN"/>
              </w:rPr>
              <w:t>TCO2、BE (ecf)、BE(B)、SaO2、THbc、A-aDO2、pAO2、paO2 /pAO2、RI、CaO2、CvO2、CcO2、a-vDO2、Qsp/Qt、P50，且能根据体温计算：PH、PCO2、PO2；</w:t>
            </w:r>
          </w:p>
          <w:p w14:paraId="0CE63A3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★6.采用封闭式试剂系统，试剂、定标液、质控品等消耗品集成度高，操作便捷，减少开放操作污染风险；电极维护简便，支持长周期使用或整体更换模块；</w:t>
            </w:r>
          </w:p>
          <w:p w14:paraId="7D5893BE">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7.提供多种测试量规格供选择，如100、200、300、400、500、600等或相近梯度，满足不同科室通量需求；测试项目可根据临床需求灵活配置，无需硬件升级；</w:t>
            </w:r>
          </w:p>
          <w:p w14:paraId="7F129C1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★8.具有智能化质控系统，支持机内自动质控或在线质控，质控频率及方式可优化设置，能实时监控检测质量，异常时自动报警并记录，生成质控报告；</w:t>
            </w:r>
          </w:p>
          <w:p w14:paraId="5B8140CA">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9.消耗品（包括试剂、定标液、质控液等）均可常温储存，无需冷藏；</w:t>
            </w:r>
          </w:p>
          <w:p w14:paraId="6DC6572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10.测试时间：吸入样本后≤100秒出结果；</w:t>
            </w:r>
          </w:p>
          <w:p w14:paraId="70BB24EA">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11.标本用量≤150uL，标本类型可选择动脉血、静脉血、毛细血管血及其它液体；</w:t>
            </w:r>
          </w:p>
          <w:p w14:paraId="4D0C216C">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12.进样方式：自动吸样；进样区安装有LED照明灯；</w:t>
            </w:r>
          </w:p>
          <w:p w14:paraId="09FD7958">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13.定标：全自动1点、2点定标及手动定标，全自动进行液体、气体二种方式定标；定标时不消耗测试液，不影响测试人份数；</w:t>
            </w:r>
          </w:p>
          <w:p w14:paraId="1B07BBAE">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bookmarkStart w:id="0" w:name="OLE_LINK6"/>
            <w:r>
              <w:rPr>
                <w:rFonts w:hint="eastAsia" w:ascii="宋体" w:hAnsi="宋体" w:eastAsia="宋体" w:cs="宋体"/>
                <w:sz w:val="21"/>
                <w:szCs w:val="21"/>
                <w:lang w:val="en-US" w:eastAsia="zh-CN"/>
              </w:rPr>
              <w:t>14.仪器自带数据存储功能，病人数据存储不少于50000例（或按时间存储不少于2年），质控数据存储不少于3000例。数据导出方式应包括USB接口、网络传输（支持HL7/ASTM协议）、可选配光盘刻录或外接存储设备</w:t>
            </w:r>
            <w:bookmarkEnd w:id="0"/>
            <w:r>
              <w:rPr>
                <w:rFonts w:hint="eastAsia" w:ascii="宋体" w:hAnsi="宋体" w:eastAsia="宋体" w:cs="宋体"/>
                <w:sz w:val="21"/>
                <w:szCs w:val="21"/>
                <w:lang w:val="en-US" w:eastAsia="zh-CN"/>
              </w:rPr>
              <w:t>；</w:t>
            </w:r>
          </w:p>
          <w:p w14:paraId="0421A457">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15.应具备耗材余量监控及效期预警功能，包括但不限于：测试次数剩余量/电极剩余寿命、定标液/质控液效期、耗材批号追溯等，支持声光提示；</w:t>
            </w:r>
          </w:p>
          <w:p w14:paraId="03DB7566">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★16.具备HL7协议，支持单向、双向网络连接采购人的LIS/HIS信息系统，所有需要的接口费由成交供应商承担，采购人不额外支付相关费用（提供承诺函）；</w:t>
            </w:r>
          </w:p>
          <w:p w14:paraId="79989F60">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eastAsia="宋体"/>
                <w:lang w:val="en-US" w:eastAsia="zh-CN"/>
              </w:rPr>
            </w:pPr>
            <w:r>
              <w:rPr>
                <w:rFonts w:hint="eastAsia" w:ascii="宋体" w:hAnsi="宋体" w:eastAsia="宋体" w:cs="宋体"/>
                <w:sz w:val="21"/>
                <w:szCs w:val="21"/>
                <w:lang w:val="en-US" w:eastAsia="zh-CN"/>
              </w:rPr>
              <w:t>17.提供设备稳定性和结果准确性相关的质量保证文件，包括但不限于：性能验证报告、注册检验报告、量值溯源证明等。</w:t>
            </w:r>
          </w:p>
        </w:tc>
      </w:tr>
    </w:tbl>
    <w:p w14:paraId="41565788">
      <w:pPr>
        <w:pStyle w:val="14"/>
        <w:ind w:left="-708" w:leftChars="-337" w:firstLine="480" w:firstLineChars="200"/>
        <w:rPr>
          <w:rFonts w:hint="eastAsia"/>
          <w:lang w:val="en-US" w:eastAsia="zh-CN"/>
        </w:rPr>
      </w:pPr>
    </w:p>
    <w:p w14:paraId="589EC215">
      <w:pPr>
        <w:spacing w:line="400" w:lineRule="exact"/>
        <w:ind w:left="424" w:leftChars="202" w:firstLine="2"/>
        <w:rPr>
          <w:rFonts w:hint="eastAsia" w:ascii="宋体" w:hAnsi="宋体" w:eastAsia="宋体" w:cs="宋体"/>
          <w:sz w:val="24"/>
          <w:szCs w:val="24"/>
        </w:rPr>
      </w:pPr>
      <w:r>
        <w:rPr>
          <w:rFonts w:hint="eastAsia" w:ascii="宋体" w:hAnsi="宋体" w:eastAsia="宋体" w:cs="宋体"/>
          <w:sz w:val="24"/>
          <w:szCs w:val="24"/>
          <w:lang w:val="en-US" w:eastAsia="zh-CN"/>
        </w:rPr>
        <w:t>2分标：采购预算：</w:t>
      </w:r>
      <w:r>
        <w:rPr>
          <w:rFonts w:hint="eastAsia" w:ascii="宋体" w:hAnsi="宋体" w:cs="宋体"/>
          <w:sz w:val="24"/>
          <w:szCs w:val="24"/>
          <w:lang w:val="en-US" w:eastAsia="zh-CN"/>
        </w:rPr>
        <w:t>4</w:t>
      </w:r>
      <w:r>
        <w:rPr>
          <w:rFonts w:hint="eastAsia" w:ascii="宋体" w:hAnsi="宋体" w:eastAsia="宋体" w:cs="宋体"/>
          <w:sz w:val="24"/>
          <w:szCs w:val="24"/>
        </w:rPr>
        <w:t>0000.00</w:t>
      </w:r>
    </w:p>
    <w:tbl>
      <w:tblPr>
        <w:tblStyle w:val="10"/>
        <w:tblW w:w="9592" w:type="dxa"/>
        <w:tblInd w:w="113" w:type="dxa"/>
        <w:tblLayout w:type="fixed"/>
        <w:tblCellMar>
          <w:top w:w="0" w:type="dxa"/>
          <w:left w:w="108" w:type="dxa"/>
          <w:bottom w:w="0" w:type="dxa"/>
          <w:right w:w="108" w:type="dxa"/>
        </w:tblCellMar>
      </w:tblPr>
      <w:tblGrid>
        <w:gridCol w:w="600"/>
        <w:gridCol w:w="575"/>
        <w:gridCol w:w="666"/>
        <w:gridCol w:w="7751"/>
      </w:tblGrid>
      <w:tr w14:paraId="57FB6284">
        <w:tblPrEx>
          <w:tblCellMar>
            <w:top w:w="0" w:type="dxa"/>
            <w:left w:w="108" w:type="dxa"/>
            <w:bottom w:w="0" w:type="dxa"/>
            <w:right w:w="108" w:type="dxa"/>
          </w:tblCellMar>
        </w:tblPrEx>
        <w:trPr>
          <w:trHeight w:val="713"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E47E73">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序号</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14:paraId="2C60583F">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名称</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454FBF6C">
            <w:pPr>
              <w:widowControl/>
              <w:jc w:val="both"/>
              <w:textAlignment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数量</w:t>
            </w:r>
          </w:p>
        </w:tc>
        <w:tc>
          <w:tcPr>
            <w:tcW w:w="7751" w:type="dxa"/>
            <w:tcBorders>
              <w:top w:val="single" w:color="000000" w:sz="4" w:space="0"/>
              <w:left w:val="single" w:color="000000" w:sz="4" w:space="0"/>
              <w:bottom w:val="single" w:color="000000" w:sz="4" w:space="0"/>
              <w:right w:val="single" w:color="000000" w:sz="4" w:space="0"/>
            </w:tcBorders>
            <w:noWrap w:val="0"/>
            <w:vAlign w:val="center"/>
          </w:tcPr>
          <w:p w14:paraId="46C445E7">
            <w:pPr>
              <w:widowControl/>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技术参数要求</w:t>
            </w:r>
          </w:p>
        </w:tc>
      </w:tr>
      <w:tr w14:paraId="41711A6C">
        <w:tblPrEx>
          <w:tblCellMar>
            <w:top w:w="0" w:type="dxa"/>
            <w:left w:w="108" w:type="dxa"/>
            <w:bottom w:w="0" w:type="dxa"/>
            <w:right w:w="108" w:type="dxa"/>
          </w:tblCellMar>
        </w:tblPrEx>
        <w:trPr>
          <w:trHeight w:val="9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7E624552">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14:paraId="56813D01">
            <w:pPr>
              <w:pStyle w:val="19"/>
              <w:jc w:val="center"/>
              <w:rPr>
                <w:rFonts w:hint="eastAsia" w:ascii="宋体" w:hAnsi="宋体" w:eastAsia="宋体" w:cs="宋体"/>
                <w:sz w:val="21"/>
                <w:szCs w:val="21"/>
                <w:lang w:val="en-US" w:eastAsia="zh-CN"/>
              </w:rPr>
            </w:pPr>
            <w:r>
              <w:rPr>
                <w:rFonts w:hint="eastAsia" w:ascii="宋体" w:hAnsi="宋体" w:eastAsia="宋体" w:cs="宋体"/>
                <w:color w:val="000000"/>
                <w:sz w:val="24"/>
                <w:szCs w:val="24"/>
                <w:lang w:val="en-US" w:eastAsia="zh-CN"/>
              </w:rPr>
              <w:t>血气分析仪</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063BFBC5">
            <w:pPr>
              <w:pStyle w:val="19"/>
              <w:rPr>
                <w:rFonts w:hint="eastAsia" w:ascii="宋体" w:hAnsi="宋体" w:eastAsia="宋体" w:cs="宋体"/>
                <w:sz w:val="21"/>
                <w:szCs w:val="21"/>
                <w:lang w:val="en-US" w:eastAsia="zh-CN"/>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台</w:t>
            </w:r>
          </w:p>
        </w:tc>
        <w:tc>
          <w:tcPr>
            <w:tcW w:w="7751" w:type="dxa"/>
            <w:tcBorders>
              <w:top w:val="single" w:color="000000" w:sz="4" w:space="0"/>
              <w:left w:val="single" w:color="000000" w:sz="4" w:space="0"/>
              <w:bottom w:val="single" w:color="000000" w:sz="4" w:space="0"/>
              <w:right w:val="single" w:color="000000" w:sz="4" w:space="0"/>
            </w:tcBorders>
            <w:noWrap w:val="0"/>
            <w:vAlign w:val="center"/>
          </w:tcPr>
          <w:p w14:paraId="30506187">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bookmarkStart w:id="1" w:name="OLE_LINK3"/>
            <w:bookmarkStart w:id="2" w:name="OLE_LINK4"/>
            <w:r>
              <w:rPr>
                <w:rFonts w:hint="eastAsia" w:ascii="宋体" w:hAnsi="宋体" w:eastAsia="宋体" w:cs="宋体"/>
                <w:sz w:val="21"/>
                <w:szCs w:val="21"/>
                <w:lang w:val="en-US" w:eastAsia="zh-CN"/>
              </w:rPr>
              <w:t>★1.测量项目：包括但不限于pH、PCO2、PO2、Na+、K+、Cl-、Ca2+、Hct、Lac、Glu等参数，各参数可根据临床需求灵活组合，单项（或小组合）测试可独立开启或关闭，不影响其他指标测定。</w:t>
            </w:r>
          </w:p>
          <w:p w14:paraId="75925C8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★2.计算项目：包括pH(TC)、PCO2(TC)、PO2(TC)、HCO3-、SBC、BE、BEecf、TCO2、sO2%、P50、AG、A-aDO2、RI、TCa、nCa、THb/ctHb等，测量项目与计算项目总数满足临床常规及扩展需求。</w:t>
            </w:r>
          </w:p>
          <w:p w14:paraId="78DB03F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3、分析时间：全参数≤60s，急诊关键参数（pH/PCO2/PO2/K/Na）≤45s。</w:t>
            </w:r>
          </w:p>
          <w:p w14:paraId="1610A6F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4.进样系统</w:t>
            </w:r>
          </w:p>
          <w:p w14:paraId="3300CE8E">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4.1 兼容注射器、毛细管、安瓿瓶、试管等多种容器。 </w:t>
            </w:r>
          </w:p>
          <w:p w14:paraId="5F9C486A">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 样本量：全参数≤150μL，微量模式≤120μL。</w:t>
            </w:r>
          </w:p>
          <w:p w14:paraId="3AA56865">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 可检测并排除小气泡和微血凝块。</w:t>
            </w:r>
          </w:p>
          <w:p w14:paraId="33B60DFC">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4.4 安瓿瓶质控品开瓶后可直接上机检测，无需专用适配器。</w:t>
            </w:r>
          </w:p>
          <w:p w14:paraId="7FD2119B">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 采样针内外壁自动清洗。</w:t>
            </w:r>
          </w:p>
          <w:p w14:paraId="0F166D50">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5.具备试剂、样品预热功能</w:t>
            </w:r>
          </w:p>
          <w:p w14:paraId="632BE11A">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6.定标 </w:t>
            </w:r>
          </w:p>
          <w:p w14:paraId="6E652AA2">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6.1 定标方式：自动和手动，支持一点和两点定标。</w:t>
            </w:r>
          </w:p>
          <w:p w14:paraId="1F2AF838">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6.2 可自行调整定标间隔时间，最长间隔时间≥8h（提供验证数据）。 </w:t>
            </w:r>
          </w:p>
          <w:p w14:paraId="4708790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7.质控</w:t>
            </w:r>
          </w:p>
          <w:p w14:paraId="479893E5">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7.1 具备自动质控功能，支持三水平质控品。</w:t>
            </w:r>
          </w:p>
          <w:p w14:paraId="4595E4A1">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7.2 内置多种质控规则，可输出质控图和质控记录，并支持打印和导出。</w:t>
            </w:r>
          </w:p>
          <w:p w14:paraId="1B3CFC21">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7.3 可提供配套血气质控品，支持条码/二维码扫描自动识别质控品批号、靶值及有效期等信息。</w:t>
            </w:r>
          </w:p>
          <w:p w14:paraId="3DBD0DB6">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7.4 质控测试与常规样本测试独立计数（质控成本包含于耗材报价）。</w:t>
            </w:r>
          </w:p>
          <w:p w14:paraId="2AEF544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8.控制系统</w:t>
            </w:r>
          </w:p>
          <w:p w14:paraId="62CCF9EB">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8.1 彩色液晶触摸显示屏≥10英寸，分辨率≥1024×768。 </w:t>
            </w:r>
          </w:p>
          <w:p w14:paraId="27278F8C">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8.2 具备酸碱平衡分析辅助功能，可显示酸碱图。</w:t>
            </w:r>
          </w:p>
          <w:p w14:paraId="64E28A1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8.3 数据存储：可存储样本记录≥20000条；定标记录、质控记录、事件日志各≥6个月。 </w:t>
            </w:r>
          </w:p>
          <w:p w14:paraId="27B6F6AF">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8.4 配置条码扫描装置（内置或外接），支持一维/二维码识别</w:t>
            </w:r>
          </w:p>
          <w:p w14:paraId="0C4DF56D">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★8.5 具备HL7协议，支持单向、双向网络连接LIS/HIS（接口费需成交供应商承担）。</w:t>
            </w:r>
          </w:p>
          <w:p w14:paraId="14A9AFE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9.内置电池，支持主机正常工作≥60min，或可选配扩展电池≥120min。</w:t>
            </w:r>
          </w:p>
          <w:p w14:paraId="78958128">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10.耗材</w:t>
            </w:r>
          </w:p>
          <w:p w14:paraId="5F4AD0BF">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★10.1 试剂包：一体化试剂包，提供多种包装规格可选，最小包装≤50</w:t>
            </w:r>
            <w:r>
              <w:rPr>
                <w:rFonts w:hint="eastAsia" w:ascii="宋体" w:hAnsi="宋体" w:eastAsia="宋体" w:cs="宋体"/>
                <w:color w:val="000000" w:themeColor="text1"/>
                <w:sz w:val="21"/>
                <w:szCs w:val="21"/>
                <w:lang w:val="en-US" w:eastAsia="zh-CN"/>
                <w14:textFill>
                  <w14:solidFill>
                    <w14:schemeClr w14:val="tx1"/>
                  </w14:solidFill>
                </w14:textFill>
              </w:rPr>
              <w:t>测/包，或提供包括但不</w:t>
            </w:r>
            <w:r>
              <w:rPr>
                <w:rFonts w:hint="eastAsia" w:ascii="宋体" w:hAnsi="宋体" w:cs="宋体"/>
                <w:color w:val="000000" w:themeColor="text1"/>
                <w:sz w:val="21"/>
                <w:szCs w:val="21"/>
                <w:lang w:val="en-US" w:eastAsia="zh-CN"/>
                <w14:textFill>
                  <w14:solidFill>
                    <w14:schemeClr w14:val="tx1"/>
                  </w14:solidFill>
                </w14:textFill>
              </w:rPr>
              <w:t>限于</w:t>
            </w:r>
            <w:r>
              <w:rPr>
                <w:rFonts w:hint="eastAsia" w:ascii="宋体" w:hAnsi="宋体" w:eastAsia="宋体" w:cs="宋体"/>
                <w:color w:val="000000" w:themeColor="text1"/>
                <w:sz w:val="21"/>
                <w:szCs w:val="21"/>
                <w:lang w:val="en-US" w:eastAsia="zh-CN"/>
                <w14:textFill>
                  <w14:solidFill>
                    <w14:schemeClr w14:val="tx1"/>
                  </w14:solidFill>
                </w14:textFill>
              </w:rPr>
              <w:t>25测/50测/100测等多种规格。</w:t>
            </w:r>
          </w:p>
          <w:p w14:paraId="68F5C9FA">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10.2 试剂包存储条件：2℃～30℃或室温（15℃～25℃），有效期≥6个月（提供稳定性验证数据）。 </w:t>
            </w:r>
          </w:p>
          <w:p w14:paraId="600A32C3">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10.3 上机有效期：≥30天（提供验证数据）。 </w:t>
            </w:r>
          </w:p>
          <w:p w14:paraId="19FCE25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10.4 血气及离子电极上机寿命≥2个月，或按测试数计≥1000次。 </w:t>
            </w:r>
          </w:p>
          <w:p w14:paraId="41345B3D">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★10.5 乳酸、血糖检测可采用电极法或光化学法；试剂/电极常温运输，上机有效期≥14天；电极/试剂可单独更换或按模块更换。</w:t>
            </w:r>
          </w:p>
          <w:bookmarkEnd w:id="1"/>
          <w:bookmarkEnd w:id="2"/>
          <w:p w14:paraId="653B531D">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11.提供设备稳定性和结果准确性相关的质量保证文件，包括但不限于：性能验证报告、注册检验报告、量值溯源证明等。 </w:t>
            </w:r>
          </w:p>
          <w:p w14:paraId="25E41E6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12.设备功能要求：可应用于血气分析，可进行血气、电解质、代谢物等参数的同时测定。</w:t>
            </w:r>
          </w:p>
        </w:tc>
      </w:tr>
    </w:tbl>
    <w:p w14:paraId="1CE038A3">
      <w:pPr>
        <w:keepNext w:val="0"/>
        <w:keepLines w:val="0"/>
        <w:pageBreakBefore w:val="0"/>
        <w:kinsoku/>
        <w:wordWrap/>
        <w:overflowPunct/>
        <w:topLinePunct w:val="0"/>
        <w:bidi w:val="0"/>
        <w:snapToGrid/>
        <w:spacing w:line="460" w:lineRule="exact"/>
        <w:ind w:firstLine="308" w:firstLineChars="147"/>
        <w:jc w:val="left"/>
        <w:textAlignment w:val="auto"/>
        <w:rPr>
          <w:rFonts w:hint="default" w:ascii="宋体" w:hAnsi="宋体" w:eastAsia="宋体" w:cs="宋体"/>
          <w:b/>
          <w:bCs/>
          <w:color w:val="000000"/>
          <w:kern w:val="0"/>
          <w:sz w:val="24"/>
          <w:szCs w:val="24"/>
          <w:lang w:val="en-US" w:eastAsia="zh-CN"/>
        </w:rPr>
      </w:pPr>
      <w:r>
        <w:rPr>
          <w:rFonts w:hint="eastAsia" w:ascii="宋体" w:hAnsi="宋体" w:eastAsia="宋体" w:cs="宋体"/>
          <w:sz w:val="21"/>
          <w:szCs w:val="21"/>
          <w:lang w:val="en-US" w:eastAsia="zh-CN"/>
        </w:rPr>
        <w:t>★</w:t>
      </w:r>
      <w:r>
        <w:rPr>
          <w:rFonts w:hint="eastAsia" w:ascii="宋体" w:hAnsi="宋体" w:cs="宋体"/>
          <w:b/>
          <w:bCs/>
          <w:color w:val="000000"/>
          <w:kern w:val="0"/>
          <w:sz w:val="24"/>
          <w:szCs w:val="24"/>
          <w:lang w:val="en-US" w:eastAsia="zh-CN"/>
        </w:rPr>
        <w:t>二、商务要求</w:t>
      </w:r>
      <w:r>
        <w:rPr>
          <w:rFonts w:hint="eastAsia" w:ascii="宋体" w:hAnsi="宋体" w:eastAsia="宋体" w:cs="宋体"/>
          <w:b/>
          <w:bCs/>
          <w:color w:val="000000"/>
          <w:kern w:val="0"/>
          <w:sz w:val="24"/>
          <w:szCs w:val="24"/>
          <w:lang w:val="en-US" w:eastAsia="zh-CN"/>
        </w:rPr>
        <w:t>（同时适用</w:t>
      </w:r>
      <w:r>
        <w:rPr>
          <w:rFonts w:hint="eastAsia" w:ascii="宋体" w:hAnsi="宋体" w:cs="宋体"/>
          <w:b/>
          <w:bCs/>
          <w:color w:val="000000"/>
          <w:kern w:val="0"/>
          <w:sz w:val="24"/>
          <w:szCs w:val="24"/>
          <w:lang w:val="en-US" w:eastAsia="zh-CN"/>
        </w:rPr>
        <w:t>1</w:t>
      </w:r>
      <w:r>
        <w:rPr>
          <w:rFonts w:hint="eastAsia" w:ascii="宋体" w:hAnsi="宋体" w:eastAsia="宋体" w:cs="宋体"/>
          <w:b/>
          <w:bCs/>
          <w:color w:val="000000"/>
          <w:kern w:val="0"/>
          <w:sz w:val="24"/>
          <w:szCs w:val="24"/>
          <w:lang w:val="en-US" w:eastAsia="zh-CN"/>
        </w:rPr>
        <w:t>分标 、</w:t>
      </w:r>
      <w:r>
        <w:rPr>
          <w:rFonts w:hint="eastAsia" w:ascii="宋体" w:hAnsi="宋体" w:cs="宋体"/>
          <w:b/>
          <w:bCs/>
          <w:color w:val="000000"/>
          <w:kern w:val="0"/>
          <w:sz w:val="24"/>
          <w:szCs w:val="24"/>
          <w:lang w:val="en-US" w:eastAsia="zh-CN"/>
        </w:rPr>
        <w:t>2</w:t>
      </w:r>
      <w:r>
        <w:rPr>
          <w:rFonts w:hint="eastAsia" w:ascii="宋体" w:hAnsi="宋体" w:eastAsia="宋体" w:cs="宋体"/>
          <w:b/>
          <w:bCs/>
          <w:color w:val="000000"/>
          <w:kern w:val="0"/>
          <w:sz w:val="24"/>
          <w:szCs w:val="24"/>
          <w:lang w:val="en-US" w:eastAsia="zh-CN"/>
        </w:rPr>
        <w:t>分标 ）</w:t>
      </w:r>
    </w:p>
    <w:p w14:paraId="7D08C5D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（一）产品要求</w:t>
      </w:r>
    </w:p>
    <w:p w14:paraId="4C9DFD4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1.本项目支持创新产品、节能优化产品、环境标识产品、中小企业发展、支持采用本国产品等政府采购政策。</w:t>
      </w:r>
    </w:p>
    <w:p w14:paraId="4C8142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2.投标产品必须是具备合法资质的制造商生产、生产日期为近半年的全新正品，并满足招标采购文件的要求，若产品在运输或安装过程中损坏或擦伤须无偿调换相同产品。</w:t>
      </w:r>
    </w:p>
    <w:p w14:paraId="3925323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3.投标人所投产品参数应同等或优于以上各项参数要求，产品、辅材及生产工艺符合国家相关规范。</w:t>
      </w:r>
    </w:p>
    <w:p w14:paraId="723B91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4.投标人应保证所提供的货物或其任何一部分均不会侵犯任何第三方的专利权、商标权等，如在使用过程中出现的一切经济和法律责任均由投标人负责。</w:t>
      </w:r>
    </w:p>
    <w:p w14:paraId="73BC6E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医疗器械监督管理条例》（国务院令第739号）医疗器械分类管理要求具有有效的医疗器械生产许可证或医疗器械经营许可或者备案（按《医疗器械监督管理条例》免于经营备案和无需办理医疗器械经营许可或者备案的情形除外）</w:t>
      </w:r>
    </w:p>
    <w:p w14:paraId="16CEE22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6.投标人需承诺在设备使用内免费无条件开放其所提供的所有系统各功能数据接口，以确保可供其他信息系统的接入或调用，如由于采购人业务需要设备与采购人信息系统连接，</w:t>
      </w:r>
      <w:r>
        <w:rPr>
          <w:rFonts w:hint="default" w:ascii="宋体" w:hAnsi="宋体" w:eastAsia="宋体" w:cs="宋体"/>
          <w:color w:val="000000" w:themeColor="text1"/>
          <w:sz w:val="24"/>
          <w:szCs w:val="24"/>
          <w:highlight w:val="none"/>
          <w:lang w:val="en-US" w:eastAsia="zh-CN"/>
          <w14:textFill>
            <w14:solidFill>
              <w14:schemeClr w14:val="tx1"/>
            </w14:solidFill>
          </w14:textFill>
        </w:rPr>
        <w:t>由中标供应商负责接入医院信息系统，</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采购人</w:t>
      </w:r>
      <w:r>
        <w:rPr>
          <w:rFonts w:hint="default" w:ascii="宋体" w:hAnsi="宋体" w:eastAsia="宋体" w:cs="宋体"/>
          <w:color w:val="000000" w:themeColor="text1"/>
          <w:sz w:val="24"/>
          <w:szCs w:val="24"/>
          <w:highlight w:val="none"/>
          <w:lang w:val="en-US" w:eastAsia="zh-CN"/>
          <w14:textFill>
            <w14:solidFill>
              <w14:schemeClr w14:val="tx1"/>
            </w14:solidFill>
          </w14:textFill>
        </w:rPr>
        <w:t>不额外</w:t>
      </w:r>
      <w:r>
        <w:rPr>
          <w:rFonts w:hint="eastAsia" w:ascii="宋体" w:hAnsi="宋体" w:eastAsia="宋体" w:cs="宋体"/>
          <w:color w:val="000000" w:themeColor="text1"/>
          <w:sz w:val="24"/>
          <w:szCs w:val="24"/>
          <w:highlight w:val="none"/>
          <w:lang w:val="en-US" w:eastAsia="zh-CN"/>
          <w14:textFill>
            <w14:solidFill>
              <w14:schemeClr w14:val="tx1"/>
            </w14:solidFill>
          </w14:textFill>
        </w:rPr>
        <w:t>支付任何</w:t>
      </w:r>
      <w:r>
        <w:rPr>
          <w:rFonts w:hint="default" w:ascii="宋体" w:hAnsi="宋体" w:eastAsia="宋体" w:cs="宋体"/>
          <w:color w:val="000000" w:themeColor="text1"/>
          <w:sz w:val="24"/>
          <w:szCs w:val="24"/>
          <w:highlight w:val="none"/>
          <w:lang w:val="en-US" w:eastAsia="zh-CN"/>
          <w14:textFill>
            <w14:solidFill>
              <w14:schemeClr w14:val="tx1"/>
            </w14:solidFill>
          </w14:textFill>
        </w:rPr>
        <w:t>费用。</w:t>
      </w:r>
    </w:p>
    <w:p w14:paraId="717185A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7.投标总价必须包含货物及货物运抵指定交货地点的各种费用和安装调校、售后</w:t>
      </w:r>
      <w:bookmarkStart w:id="3" w:name="_GoBack"/>
      <w:bookmarkEnd w:id="3"/>
      <w:r>
        <w:rPr>
          <w:rFonts w:hint="eastAsia" w:ascii="宋体" w:hAnsi="宋体" w:eastAsia="宋体" w:cs="宋体"/>
          <w:color w:val="auto"/>
          <w:sz w:val="24"/>
          <w:szCs w:val="24"/>
          <w:highlight w:val="none"/>
          <w:lang w:val="en-US" w:eastAsia="zh-CN"/>
        </w:rPr>
        <w:t>服务、税金、验收检验及其它所有费用的总和，如另有要求请在投标文件中注明。</w:t>
      </w:r>
    </w:p>
    <w:p w14:paraId="67C228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（二）售后服务和资质</w:t>
      </w:r>
    </w:p>
    <w:p w14:paraId="3309615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1.质保期：设备安装完毕通过验收投入使用之日起</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不少于 3年</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p>
    <w:p w14:paraId="44E7CF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2.投标人所投产品必须提供产品“三包”服务；定期安排相关人员回访进行质量跟踪；保证提供临床应用和售后技术服务支持方式；保修期后提供终身维修服务及配件供应；其他售后服务按厂家承诺实行。</w:t>
      </w:r>
    </w:p>
    <w:p w14:paraId="36E10A0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单位的正常使用，所发生的一切费用由成交供应商负责。</w:t>
      </w:r>
    </w:p>
    <w:p w14:paraId="4FE1CE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（三）其他</w:t>
      </w:r>
    </w:p>
    <w:p w14:paraId="3DD970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1.签订合同后，30天内仪器设备安装调试结束并交付使用。投标人予以特别注意：如出现未能到期供货的情况，采购人有权单方终止合同的执行，所有的经济损失由逾期供货商单方承担。</w:t>
      </w:r>
    </w:p>
    <w:p w14:paraId="773B2D0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2.交货地点为：</w:t>
      </w:r>
      <w:r>
        <w:rPr>
          <w:rFonts w:hint="eastAsia" w:ascii="宋体" w:hAnsi="宋体" w:cs="宋体"/>
          <w:color w:val="auto"/>
          <w:sz w:val="24"/>
          <w:szCs w:val="24"/>
          <w:highlight w:val="none"/>
          <w:lang w:val="en-US" w:eastAsia="zh-CN"/>
        </w:rPr>
        <w:t>（1）1分标：梧州市西江路金鸡冲1号</w:t>
      </w:r>
      <w:r>
        <w:rPr>
          <w:rFonts w:hint="eastAsia" w:ascii="宋体" w:hAnsi="宋体" w:eastAsia="宋体" w:cs="宋体"/>
          <w:color w:val="auto"/>
          <w:sz w:val="24"/>
          <w:szCs w:val="24"/>
          <w:highlight w:val="none"/>
          <w:lang w:val="en-US" w:eastAsia="zh-CN"/>
        </w:rPr>
        <w:t>广西壮族自治区桂东人民医院</w:t>
      </w:r>
      <w:r>
        <w:rPr>
          <w:rFonts w:hint="eastAsia" w:ascii="宋体" w:hAnsi="宋体" w:cs="宋体"/>
          <w:color w:val="auto"/>
          <w:sz w:val="24"/>
          <w:szCs w:val="24"/>
          <w:highlight w:val="none"/>
          <w:lang w:val="en-US" w:eastAsia="zh-CN"/>
        </w:rPr>
        <w:t>指定地点</w:t>
      </w:r>
    </w:p>
    <w:p w14:paraId="02636F2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（2）2分标：贺州市八步区莲塘镇万安街22号八步区人民医院指定地点</w:t>
      </w:r>
    </w:p>
    <w:p w14:paraId="0FA158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3.付款条件（进度和方式）：</w:t>
      </w:r>
    </w:p>
    <w:p w14:paraId="25EA0DD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全部货物送达指定地点、安装调试并验收合格后，双方签署验收合格表单，中标人开具全额发票给采购人，采购人收到发票后10个工作日内按总合同金额的90%对公转账到中标人账户。验收合格第 12个月后，采购人收到中标人的请款材料后10个工作日内，按总合同金额的10%对公转账到中标人账户（不计利息）。</w:t>
      </w:r>
    </w:p>
    <w:p w14:paraId="32DF01D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如验收不合格以及发现伪劣产品等，招标人将视情形采取退货、拒付款、终止合同、索赔等措施，直至通过有关部门，依法维权。</w:t>
      </w:r>
    </w:p>
    <w:p w14:paraId="6BDC4D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4.合同签订：采购人和中标人应当自成交通知书发出后</w:t>
      </w:r>
      <w:sdt>
        <w:sdtPr>
          <w:rPr>
            <w:rFonts w:hint="eastAsia" w:ascii="宋体" w:hAnsi="宋体" w:eastAsia="宋体" w:cs="宋体"/>
            <w:color w:val="auto"/>
            <w:sz w:val="24"/>
            <w:szCs w:val="24"/>
            <w:highlight w:val="none"/>
            <w:lang w:val="en-US" w:eastAsia="zh-CN"/>
          </w:rPr>
          <w:alias w:val="无特殊情况不建议修改"/>
          <w:tag w:val="无特殊情况不建议修改"/>
          <w:id w:val="-183904816"/>
          <w:placeholder>
            <w:docPart w:val="{89096a1c-88ca-43d7-960c-214e8f4d5596}"/>
          </w:placeholder>
          <w15:color w:val="FF0000"/>
        </w:sdtPr>
        <w:sdtEndPr>
          <w:rPr>
            <w:rFonts w:hint="eastAsia" w:ascii="宋体" w:hAnsi="宋体" w:eastAsia="宋体" w:cs="宋体"/>
            <w:color w:val="auto"/>
            <w:sz w:val="24"/>
            <w:szCs w:val="24"/>
            <w:highlight w:val="none"/>
            <w:lang w:val="en-US" w:eastAsia="zh-CN"/>
          </w:rPr>
        </w:sdtEndPr>
        <w:sdtContent>
          <w:r>
            <w:rPr>
              <w:rFonts w:hint="eastAsia" w:ascii="宋体" w:hAnsi="宋体" w:eastAsia="宋体" w:cs="宋体"/>
              <w:color w:val="auto"/>
              <w:sz w:val="24"/>
              <w:szCs w:val="24"/>
              <w:highlight w:val="none"/>
              <w:lang w:val="en-US" w:eastAsia="zh-CN"/>
            </w:rPr>
            <w:t>25</w:t>
          </w:r>
        </w:sdtContent>
      </w:sdt>
      <w:r>
        <w:rPr>
          <w:rFonts w:hint="eastAsia" w:ascii="宋体" w:hAnsi="宋体" w:eastAsia="宋体" w:cs="宋体"/>
          <w:color w:val="auto"/>
          <w:sz w:val="24"/>
          <w:szCs w:val="24"/>
          <w:highlight w:val="none"/>
          <w:lang w:val="en-US" w:eastAsia="zh-CN"/>
        </w:rPr>
        <w:t>日内签订采购合同。</w:t>
      </w:r>
    </w:p>
    <w:p w14:paraId="50C83CD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w:t>
      </w:r>
      <w:r>
        <w:rPr>
          <w:rFonts w:hint="eastAsia" w:ascii="宋体" w:hAnsi="宋体" w:cs="宋体"/>
          <w:b/>
          <w:bCs/>
          <w:color w:val="auto"/>
          <w:sz w:val="24"/>
          <w:szCs w:val="24"/>
          <w:highlight w:val="none"/>
          <w:lang w:val="en-US" w:eastAsia="zh-CN"/>
        </w:rPr>
        <w:t>报价要求及评审方法</w:t>
      </w:r>
    </w:p>
    <w:p w14:paraId="521EE7E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（一）1分标</w:t>
      </w:r>
    </w:p>
    <w:p w14:paraId="13145EB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z w:val="21"/>
          <w:szCs w:val="21"/>
          <w:lang w:val="en-US" w:eastAsia="zh-CN"/>
        </w:rPr>
        <w:t>★</w:t>
      </w:r>
      <w:r>
        <w:rPr>
          <w:rFonts w:hint="eastAsia" w:ascii="宋体" w:hAnsi="宋体" w:eastAsia="宋体" w:cs="宋体"/>
          <w:color w:val="auto"/>
          <w:sz w:val="24"/>
          <w:szCs w:val="24"/>
          <w:highlight w:val="none"/>
          <w:lang w:val="en-US" w:eastAsia="zh-CN"/>
        </w:rPr>
        <w:t>1.报价要求:本项目设备和配套专机专用试剂需分开报价。专机专用试剂采用优惠价格报价，试剂报价要求低于收费价格的40%，否则报名文件无效，即报价</w:t>
      </w:r>
      <w:r>
        <w:rPr>
          <w:rFonts w:hint="default"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46.5*40%元。</w:t>
      </w:r>
    </w:p>
    <w:p w14:paraId="69CE76F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2.评审办法</w:t>
      </w:r>
    </w:p>
    <w:p w14:paraId="4286914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谈判小组按照评标方法依法对响应文件进行详细评审，详细评审为最低评标价法（即最终评标价最低的中标）</w:t>
      </w:r>
    </w:p>
    <w:p w14:paraId="2933D3F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评标报价=设备报价*20%+试剂优惠价格报价（均价）*80%</w:t>
      </w:r>
    </w:p>
    <w:p w14:paraId="3993F8C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注：设备的成交金额为成交供应商的最终报价金额，专机专用试剂的供货价为成交供应商的最终试剂报价）</w:t>
      </w:r>
    </w:p>
    <w:p w14:paraId="05CC4DA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（二）2分标</w:t>
      </w:r>
    </w:p>
    <w:p w14:paraId="4AAC84D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z w:val="21"/>
          <w:szCs w:val="21"/>
          <w:lang w:val="en-US" w:eastAsia="zh-CN"/>
        </w:rPr>
        <w:t>★</w:t>
      </w:r>
      <w:r>
        <w:rPr>
          <w:rFonts w:hint="eastAsia" w:ascii="宋体" w:hAnsi="宋体" w:eastAsia="宋体" w:cs="宋体"/>
          <w:color w:val="auto"/>
          <w:sz w:val="24"/>
          <w:szCs w:val="24"/>
          <w:highlight w:val="none"/>
          <w:lang w:val="en-US" w:eastAsia="zh-CN"/>
        </w:rPr>
        <w:t>1.报价要求：本项目设备和配套专机专用试剂需分开报价。专机专用试剂采用优惠价格报价，试剂报价要求低于收费价格的40%，否则报名文件无效，即报价</w:t>
      </w:r>
      <w:r>
        <w:rPr>
          <w:rFonts w:hint="default"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41.9*40%元。</w:t>
      </w:r>
    </w:p>
    <w:p w14:paraId="3159DD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2.评审办法</w:t>
      </w:r>
    </w:p>
    <w:p w14:paraId="77313C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谈判小组按照评标方法依法对响应文件进行详细评审，详细评审为最低评标价法（即最终评标价最低的中标）</w:t>
      </w:r>
    </w:p>
    <w:p w14:paraId="32EB2E7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评标报价=设备报价*50%+试剂优惠价格报价（均价）*50%</w:t>
      </w:r>
    </w:p>
    <w:p w14:paraId="693E1F1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注：设备的成交金额为成交供应商的最终报价金额，专机专用试剂的供货价为成交供应商的最终试剂报价）</w:t>
      </w:r>
    </w:p>
    <w:p w14:paraId="17318D4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p>
    <w:sectPr>
      <w:headerReference r:id="rId3" w:type="default"/>
      <w:footerReference r:id="rId4" w:type="default"/>
      <w:pgSz w:w="11906" w:h="16838"/>
      <w:pgMar w:top="1440" w:right="1800" w:bottom="1440" w:left="11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简">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5AD8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CCA88">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CCCA88">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93381">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2509"/>
    <w:rsid w:val="00095D83"/>
    <w:rsid w:val="000A6C18"/>
    <w:rsid w:val="000B7E2D"/>
    <w:rsid w:val="000E1AA6"/>
    <w:rsid w:val="00204183"/>
    <w:rsid w:val="00241CD6"/>
    <w:rsid w:val="002C7944"/>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E14108"/>
    <w:rsid w:val="00E72BBE"/>
    <w:rsid w:val="00EB1C9B"/>
    <w:rsid w:val="00ED5546"/>
    <w:rsid w:val="00F9432B"/>
    <w:rsid w:val="01124992"/>
    <w:rsid w:val="01CB43E2"/>
    <w:rsid w:val="02615DF0"/>
    <w:rsid w:val="0348159A"/>
    <w:rsid w:val="03675EC4"/>
    <w:rsid w:val="03B56736"/>
    <w:rsid w:val="03D8291E"/>
    <w:rsid w:val="03E322AC"/>
    <w:rsid w:val="040D0B9B"/>
    <w:rsid w:val="04115E30"/>
    <w:rsid w:val="04AB3B8E"/>
    <w:rsid w:val="04CC1D57"/>
    <w:rsid w:val="04D60F6D"/>
    <w:rsid w:val="04EF3743"/>
    <w:rsid w:val="052C5176"/>
    <w:rsid w:val="06B86A37"/>
    <w:rsid w:val="06C90C44"/>
    <w:rsid w:val="073F4A62"/>
    <w:rsid w:val="076C2F7E"/>
    <w:rsid w:val="077F1D90"/>
    <w:rsid w:val="079A08EA"/>
    <w:rsid w:val="084710F9"/>
    <w:rsid w:val="09167A44"/>
    <w:rsid w:val="099D32E7"/>
    <w:rsid w:val="0A1D552E"/>
    <w:rsid w:val="0A795D65"/>
    <w:rsid w:val="0BE43E2A"/>
    <w:rsid w:val="0C755F49"/>
    <w:rsid w:val="0CB73DA8"/>
    <w:rsid w:val="0CC05EEA"/>
    <w:rsid w:val="0CDB522D"/>
    <w:rsid w:val="0D3E2800"/>
    <w:rsid w:val="0E6A2D0C"/>
    <w:rsid w:val="0F902CCD"/>
    <w:rsid w:val="0FC14BAE"/>
    <w:rsid w:val="10C1473A"/>
    <w:rsid w:val="10C97A40"/>
    <w:rsid w:val="110A4333"/>
    <w:rsid w:val="122B15C9"/>
    <w:rsid w:val="12A05ABE"/>
    <w:rsid w:val="12C16C73"/>
    <w:rsid w:val="12C97D37"/>
    <w:rsid w:val="12EB3CF0"/>
    <w:rsid w:val="13F6294C"/>
    <w:rsid w:val="144533BC"/>
    <w:rsid w:val="14A443BC"/>
    <w:rsid w:val="14B24AC5"/>
    <w:rsid w:val="166F4544"/>
    <w:rsid w:val="167454D7"/>
    <w:rsid w:val="16BE59A3"/>
    <w:rsid w:val="171F4A60"/>
    <w:rsid w:val="179055A4"/>
    <w:rsid w:val="17F35B20"/>
    <w:rsid w:val="183F0D66"/>
    <w:rsid w:val="18D56FD4"/>
    <w:rsid w:val="19622F5E"/>
    <w:rsid w:val="19D15A86"/>
    <w:rsid w:val="1AC56B29"/>
    <w:rsid w:val="1B252495"/>
    <w:rsid w:val="1B66485B"/>
    <w:rsid w:val="1CDD0B4D"/>
    <w:rsid w:val="1D3C0585"/>
    <w:rsid w:val="1D481582"/>
    <w:rsid w:val="1D9376EB"/>
    <w:rsid w:val="1E94348E"/>
    <w:rsid w:val="1E9B2DB3"/>
    <w:rsid w:val="1F3F5AEF"/>
    <w:rsid w:val="1F9E1039"/>
    <w:rsid w:val="1FC55FF4"/>
    <w:rsid w:val="2040567B"/>
    <w:rsid w:val="214B2529"/>
    <w:rsid w:val="21557A06"/>
    <w:rsid w:val="21B710F4"/>
    <w:rsid w:val="2218153E"/>
    <w:rsid w:val="24831FDA"/>
    <w:rsid w:val="248C335D"/>
    <w:rsid w:val="2554310B"/>
    <w:rsid w:val="25732682"/>
    <w:rsid w:val="25773183"/>
    <w:rsid w:val="26431704"/>
    <w:rsid w:val="267678D7"/>
    <w:rsid w:val="26CD4569"/>
    <w:rsid w:val="27BF157B"/>
    <w:rsid w:val="27D01D3D"/>
    <w:rsid w:val="28110468"/>
    <w:rsid w:val="282B0E7A"/>
    <w:rsid w:val="284B72B3"/>
    <w:rsid w:val="284D302B"/>
    <w:rsid w:val="28D64DCE"/>
    <w:rsid w:val="293A4A87"/>
    <w:rsid w:val="29461546"/>
    <w:rsid w:val="295061F9"/>
    <w:rsid w:val="2B5302F9"/>
    <w:rsid w:val="2BFF288E"/>
    <w:rsid w:val="2CA70AD9"/>
    <w:rsid w:val="2D542766"/>
    <w:rsid w:val="2D8D5C78"/>
    <w:rsid w:val="2D962D7E"/>
    <w:rsid w:val="2E44559E"/>
    <w:rsid w:val="2E534ACF"/>
    <w:rsid w:val="2F882B9B"/>
    <w:rsid w:val="303348B4"/>
    <w:rsid w:val="30731155"/>
    <w:rsid w:val="30935850"/>
    <w:rsid w:val="30DE46AE"/>
    <w:rsid w:val="311834AF"/>
    <w:rsid w:val="318469E5"/>
    <w:rsid w:val="3194337D"/>
    <w:rsid w:val="32046D5C"/>
    <w:rsid w:val="338729B4"/>
    <w:rsid w:val="3460122F"/>
    <w:rsid w:val="347E631A"/>
    <w:rsid w:val="35337105"/>
    <w:rsid w:val="35586B6B"/>
    <w:rsid w:val="35B50461"/>
    <w:rsid w:val="35B91D00"/>
    <w:rsid w:val="36160F00"/>
    <w:rsid w:val="36222D63"/>
    <w:rsid w:val="36581519"/>
    <w:rsid w:val="3684230E"/>
    <w:rsid w:val="36F748BD"/>
    <w:rsid w:val="37296A11"/>
    <w:rsid w:val="372A1E73"/>
    <w:rsid w:val="3737378F"/>
    <w:rsid w:val="37AD13F0"/>
    <w:rsid w:val="37AD7642"/>
    <w:rsid w:val="3806606D"/>
    <w:rsid w:val="396E4BAF"/>
    <w:rsid w:val="396F26D5"/>
    <w:rsid w:val="397701BE"/>
    <w:rsid w:val="3B0774FE"/>
    <w:rsid w:val="3B546CEC"/>
    <w:rsid w:val="3C536A3E"/>
    <w:rsid w:val="3C742582"/>
    <w:rsid w:val="3C920BB5"/>
    <w:rsid w:val="3D7719D5"/>
    <w:rsid w:val="3D9F0CFD"/>
    <w:rsid w:val="3E3C34CE"/>
    <w:rsid w:val="3EF773F5"/>
    <w:rsid w:val="3F43263A"/>
    <w:rsid w:val="3F8769CB"/>
    <w:rsid w:val="40055B41"/>
    <w:rsid w:val="40AE0DB3"/>
    <w:rsid w:val="41366ED0"/>
    <w:rsid w:val="41491977"/>
    <w:rsid w:val="4174214E"/>
    <w:rsid w:val="419A0B8C"/>
    <w:rsid w:val="41EE5E2D"/>
    <w:rsid w:val="430D71E7"/>
    <w:rsid w:val="43765214"/>
    <w:rsid w:val="440F6F8F"/>
    <w:rsid w:val="443859E1"/>
    <w:rsid w:val="45C81AEB"/>
    <w:rsid w:val="462C5579"/>
    <w:rsid w:val="46E97F6B"/>
    <w:rsid w:val="470703F1"/>
    <w:rsid w:val="475278BE"/>
    <w:rsid w:val="480E5EDB"/>
    <w:rsid w:val="4828061F"/>
    <w:rsid w:val="482D3E87"/>
    <w:rsid w:val="48763A80"/>
    <w:rsid w:val="4876582E"/>
    <w:rsid w:val="48B210C6"/>
    <w:rsid w:val="48D85C25"/>
    <w:rsid w:val="49860475"/>
    <w:rsid w:val="49A62143"/>
    <w:rsid w:val="49BC1967"/>
    <w:rsid w:val="4B753505"/>
    <w:rsid w:val="4C1C5576"/>
    <w:rsid w:val="4C675BBA"/>
    <w:rsid w:val="4CBE11B0"/>
    <w:rsid w:val="4D442BFB"/>
    <w:rsid w:val="4D781BD4"/>
    <w:rsid w:val="4DA009DA"/>
    <w:rsid w:val="4DA97E72"/>
    <w:rsid w:val="4DB9683E"/>
    <w:rsid w:val="50502E0F"/>
    <w:rsid w:val="505226DD"/>
    <w:rsid w:val="50D650BC"/>
    <w:rsid w:val="513D338D"/>
    <w:rsid w:val="51794369"/>
    <w:rsid w:val="51B2246F"/>
    <w:rsid w:val="51E7154B"/>
    <w:rsid w:val="5244074B"/>
    <w:rsid w:val="532C190B"/>
    <w:rsid w:val="536015B5"/>
    <w:rsid w:val="53764710"/>
    <w:rsid w:val="539906F6"/>
    <w:rsid w:val="554A42CB"/>
    <w:rsid w:val="558B7073"/>
    <w:rsid w:val="55D43B94"/>
    <w:rsid w:val="57B95737"/>
    <w:rsid w:val="58382E23"/>
    <w:rsid w:val="586631C9"/>
    <w:rsid w:val="586F6884"/>
    <w:rsid w:val="5875340D"/>
    <w:rsid w:val="589150FF"/>
    <w:rsid w:val="59D2668C"/>
    <w:rsid w:val="5A2701FB"/>
    <w:rsid w:val="5A643739"/>
    <w:rsid w:val="5AF869C4"/>
    <w:rsid w:val="5BAF4E87"/>
    <w:rsid w:val="5C1F025F"/>
    <w:rsid w:val="5D1A4465"/>
    <w:rsid w:val="5DF748C4"/>
    <w:rsid w:val="5E40626B"/>
    <w:rsid w:val="5E8C5954"/>
    <w:rsid w:val="5F546472"/>
    <w:rsid w:val="5F96537D"/>
    <w:rsid w:val="5FFD63C3"/>
    <w:rsid w:val="60187E0A"/>
    <w:rsid w:val="609B59DA"/>
    <w:rsid w:val="620D0B5A"/>
    <w:rsid w:val="621041A6"/>
    <w:rsid w:val="63367C3C"/>
    <w:rsid w:val="64472F94"/>
    <w:rsid w:val="645B5E9A"/>
    <w:rsid w:val="647267C2"/>
    <w:rsid w:val="64E41E18"/>
    <w:rsid w:val="64EC4A56"/>
    <w:rsid w:val="65706B30"/>
    <w:rsid w:val="67A535E2"/>
    <w:rsid w:val="67EF0C5A"/>
    <w:rsid w:val="68E54CA7"/>
    <w:rsid w:val="69531548"/>
    <w:rsid w:val="69C86AD4"/>
    <w:rsid w:val="69DA4731"/>
    <w:rsid w:val="6A513DD5"/>
    <w:rsid w:val="6B4252B1"/>
    <w:rsid w:val="6B572E46"/>
    <w:rsid w:val="6B96396E"/>
    <w:rsid w:val="6BF540D9"/>
    <w:rsid w:val="6C2C6080"/>
    <w:rsid w:val="6C496C32"/>
    <w:rsid w:val="6C4B4758"/>
    <w:rsid w:val="6DD0797D"/>
    <w:rsid w:val="6DDB1B0C"/>
    <w:rsid w:val="6E1A0EFE"/>
    <w:rsid w:val="6F5778B8"/>
    <w:rsid w:val="70473489"/>
    <w:rsid w:val="707A0DD5"/>
    <w:rsid w:val="70D77694"/>
    <w:rsid w:val="71257C6E"/>
    <w:rsid w:val="715E0A8A"/>
    <w:rsid w:val="71600CA6"/>
    <w:rsid w:val="71754026"/>
    <w:rsid w:val="71962B7E"/>
    <w:rsid w:val="7278201F"/>
    <w:rsid w:val="72F766A8"/>
    <w:rsid w:val="73AA445A"/>
    <w:rsid w:val="74314E96"/>
    <w:rsid w:val="744E1B8D"/>
    <w:rsid w:val="74AA048A"/>
    <w:rsid w:val="74B5471E"/>
    <w:rsid w:val="74B72E4D"/>
    <w:rsid w:val="74FB2A94"/>
    <w:rsid w:val="75422A7C"/>
    <w:rsid w:val="76E732D0"/>
    <w:rsid w:val="77701517"/>
    <w:rsid w:val="77B21B30"/>
    <w:rsid w:val="77D9530E"/>
    <w:rsid w:val="77E41C8F"/>
    <w:rsid w:val="77FF632E"/>
    <w:rsid w:val="78210A63"/>
    <w:rsid w:val="78992CEF"/>
    <w:rsid w:val="78B83176"/>
    <w:rsid w:val="78FB7506"/>
    <w:rsid w:val="797846B3"/>
    <w:rsid w:val="79D73ACF"/>
    <w:rsid w:val="79E81839"/>
    <w:rsid w:val="79E87A8A"/>
    <w:rsid w:val="7A7A0605"/>
    <w:rsid w:val="7B036868"/>
    <w:rsid w:val="7BDC53CD"/>
    <w:rsid w:val="7C1726A4"/>
    <w:rsid w:val="7C4116D4"/>
    <w:rsid w:val="7CA915F3"/>
    <w:rsid w:val="7CBA5FD5"/>
    <w:rsid w:val="7CF27D4C"/>
    <w:rsid w:val="7D6F2271"/>
    <w:rsid w:val="7D787377"/>
    <w:rsid w:val="7D8D1A62"/>
    <w:rsid w:val="7DE467BB"/>
    <w:rsid w:val="7E355268"/>
    <w:rsid w:val="7E411335"/>
    <w:rsid w:val="7E5F22E5"/>
    <w:rsid w:val="7EEB2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annotation text"/>
    <w:basedOn w:val="1"/>
    <w:link w:val="16"/>
    <w:qFormat/>
    <w:uiPriority w:val="99"/>
    <w:pPr>
      <w:jc w:val="left"/>
    </w:pPr>
  </w:style>
  <w:style w:type="paragraph" w:styleId="4">
    <w:name w:val="Plain Text"/>
    <w:basedOn w:val="1"/>
    <w:link w:val="18"/>
    <w:qFormat/>
    <w:uiPriority w:val="99"/>
    <w:rPr>
      <w:rFonts w:ascii="宋体" w:hAnsi="Courier New"/>
    </w:rPr>
  </w:style>
  <w:style w:type="paragraph" w:styleId="5">
    <w:name w:val="footer"/>
    <w:basedOn w:val="1"/>
    <w:link w:val="22"/>
    <w:unhideWhenUsed/>
    <w:qFormat/>
    <w:uiPriority w:val="99"/>
    <w:pPr>
      <w:tabs>
        <w:tab w:val="center" w:pos="4153"/>
        <w:tab w:val="right" w:pos="8306"/>
      </w:tabs>
      <w:snapToGrid w:val="0"/>
      <w:jc w:val="left"/>
    </w:pPr>
    <w:rPr>
      <w:sz w:val="18"/>
      <w:szCs w:val="18"/>
    </w:rPr>
  </w:style>
  <w:style w:type="paragraph" w:styleId="6">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annotation subject"/>
    <w:basedOn w:val="3"/>
    <w:next w:val="3"/>
    <w:link w:val="17"/>
    <w:semiHidden/>
    <w:unhideWhenUsed/>
    <w:qFormat/>
    <w:uiPriority w:val="99"/>
    <w:rPr>
      <w:b/>
      <w:bCs/>
    </w:rPr>
  </w:style>
  <w:style w:type="paragraph" w:styleId="9">
    <w:name w:val="Body Text First Indent"/>
    <w:basedOn w:val="2"/>
    <w:qFormat/>
    <w:uiPriority w:val="0"/>
    <w:pPr>
      <w:ind w:firstLine="420" w:firstLineChars="100"/>
    </w:pPr>
  </w:style>
  <w:style w:type="table" w:styleId="11">
    <w:name w:val="Table Grid"/>
    <w:basedOn w:val="10"/>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semiHidden/>
    <w:qFormat/>
    <w:uiPriority w:val="99"/>
    <w:rPr>
      <w:sz w:val="21"/>
      <w:szCs w:val="21"/>
    </w:rPr>
  </w:style>
  <w:style w:type="paragraph" w:customStyle="1" w:styleId="1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15">
    <w:name w:val="批注文字 字符"/>
    <w:basedOn w:val="12"/>
    <w:qFormat/>
    <w:uiPriority w:val="99"/>
    <w:rPr>
      <w:rFonts w:ascii="Times New Roman" w:hAnsi="Times New Roman" w:eastAsia="宋体" w:cs="Times New Roman"/>
      <w:szCs w:val="21"/>
    </w:rPr>
  </w:style>
  <w:style w:type="character" w:customStyle="1" w:styleId="16">
    <w:name w:val="批注文字 字符1"/>
    <w:link w:val="3"/>
    <w:semiHidden/>
    <w:qFormat/>
    <w:uiPriority w:val="99"/>
    <w:rPr>
      <w:rFonts w:ascii="Times New Roman" w:hAnsi="Times New Roman" w:eastAsia="宋体" w:cs="Times New Roman"/>
      <w:szCs w:val="21"/>
    </w:rPr>
  </w:style>
  <w:style w:type="character" w:customStyle="1" w:styleId="17">
    <w:name w:val="批注主题 字符"/>
    <w:basedOn w:val="16"/>
    <w:link w:val="8"/>
    <w:semiHidden/>
    <w:qFormat/>
    <w:uiPriority w:val="99"/>
    <w:rPr>
      <w:rFonts w:ascii="Times New Roman" w:hAnsi="Times New Roman" w:eastAsia="宋体" w:cs="Times New Roman"/>
      <w:b/>
      <w:bCs/>
      <w:szCs w:val="21"/>
    </w:rPr>
  </w:style>
  <w:style w:type="character" w:customStyle="1" w:styleId="18">
    <w:name w:val="纯文本 字符"/>
    <w:basedOn w:val="12"/>
    <w:link w:val="4"/>
    <w:qFormat/>
    <w:uiPriority w:val="99"/>
    <w:rPr>
      <w:rFonts w:ascii="宋体" w:hAnsi="Courier New" w:eastAsia="宋体" w:cs="Times New Roman"/>
      <w:szCs w:val="21"/>
    </w:rPr>
  </w:style>
  <w:style w:type="paragraph" w:customStyle="1" w:styleId="19">
    <w:name w:val="表格文字"/>
    <w:basedOn w:val="1"/>
    <w:qFormat/>
    <w:uiPriority w:val="0"/>
    <w:pPr>
      <w:spacing w:before="25" w:after="25"/>
      <w:jc w:val="left"/>
    </w:pPr>
    <w:rPr>
      <w:rFonts w:ascii="Calibri" w:hAnsi="Calibri"/>
      <w:bCs/>
      <w:spacing w:val="10"/>
      <w:kern w:val="0"/>
      <w:sz w:val="24"/>
      <w:szCs w:val="20"/>
    </w:rPr>
  </w:style>
  <w:style w:type="character" w:customStyle="1" w:styleId="20">
    <w:name w:val="fontstyle01"/>
    <w:qFormat/>
    <w:uiPriority w:val="0"/>
    <w:rPr>
      <w:rFonts w:hint="eastAsia" w:ascii="宋体" w:hAnsi="宋体" w:eastAsia="宋体"/>
      <w:color w:val="000000"/>
      <w:sz w:val="24"/>
      <w:szCs w:val="24"/>
    </w:rPr>
  </w:style>
  <w:style w:type="character" w:customStyle="1" w:styleId="21">
    <w:name w:val="页眉 字符"/>
    <w:basedOn w:val="12"/>
    <w:link w:val="6"/>
    <w:qFormat/>
    <w:uiPriority w:val="99"/>
    <w:rPr>
      <w:rFonts w:ascii="Times New Roman" w:hAnsi="Times New Roman" w:eastAsia="宋体" w:cs="Times New Roman"/>
      <w:sz w:val="18"/>
      <w:szCs w:val="18"/>
    </w:rPr>
  </w:style>
  <w:style w:type="character" w:customStyle="1" w:styleId="22">
    <w:name w:val="页脚 字符"/>
    <w:basedOn w:val="12"/>
    <w:link w:val="5"/>
    <w:qFormat/>
    <w:uiPriority w:val="99"/>
    <w:rPr>
      <w:rFonts w:ascii="Times New Roman" w:hAnsi="Times New Roman" w:eastAsia="宋体" w:cs="Times New Roman"/>
      <w:sz w:val="18"/>
      <w:szCs w:val="18"/>
    </w:rPr>
  </w:style>
  <w:style w:type="character" w:styleId="23">
    <w:name w:val="Placeholder Text"/>
    <w:basedOn w:val="12"/>
    <w:semiHidden/>
    <w:qFormat/>
    <w:uiPriority w:val="99"/>
    <w:rPr>
      <w:color w:val="808080"/>
    </w:rPr>
  </w:style>
  <w:style w:type="paragraph" w:customStyle="1" w:styleId="24">
    <w:name w:val="样式1"/>
    <w:basedOn w:val="1"/>
    <w:qFormat/>
    <w:uiPriority w:val="0"/>
  </w:style>
  <w:style w:type="character" w:customStyle="1" w:styleId="25">
    <w:name w:val="font21"/>
    <w:basedOn w:val="12"/>
    <w:qFormat/>
    <w:uiPriority w:val="0"/>
    <w:rPr>
      <w:rFonts w:hint="default" w:ascii="Calibri" w:hAnsi="Calibri" w:cs="Calibri"/>
      <w:color w:val="000000"/>
      <w:sz w:val="24"/>
      <w:szCs w:val="24"/>
      <w:u w:val="none"/>
    </w:rPr>
  </w:style>
  <w:style w:type="character" w:customStyle="1" w:styleId="26">
    <w:name w:val="font41"/>
    <w:basedOn w:val="12"/>
    <w:qFormat/>
    <w:uiPriority w:val="0"/>
    <w:rPr>
      <w:rFonts w:ascii="宋体-简" w:hAnsi="宋体-简" w:eastAsia="宋体-简" w:cs="宋体-简"/>
      <w:color w:val="000000"/>
      <w:sz w:val="24"/>
      <w:szCs w:val="24"/>
      <w:u w:val="none"/>
    </w:rPr>
  </w:style>
  <w:style w:type="character" w:customStyle="1" w:styleId="27">
    <w:name w:val="font51"/>
    <w:basedOn w:val="12"/>
    <w:qFormat/>
    <w:uiPriority w:val="0"/>
    <w:rPr>
      <w:rFonts w:hint="default" w:ascii="宋体-简" w:hAnsi="宋体-简" w:eastAsia="宋体-简" w:cs="宋体-简"/>
      <w:color w:val="000000"/>
      <w:sz w:val="24"/>
      <w:szCs w:val="24"/>
      <w:u w:val="none"/>
    </w:rPr>
  </w:style>
  <w:style w:type="character" w:customStyle="1" w:styleId="28">
    <w:name w:val="font11"/>
    <w:basedOn w:val="12"/>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9096a1c-88ca-43d7-960c-214e8f4d5596}"/>
        <w:style w:val=""/>
        <w:category>
          <w:name w:val="常规"/>
          <w:gallery w:val="placeholder"/>
        </w:category>
        <w:types>
          <w:type w:val="bbPlcHdr"/>
        </w:types>
        <w:behaviors>
          <w:behavior w:val="content"/>
        </w:behaviors>
        <w:description w:val=""/>
        <w:guid w:val="{89096a1c-88ca-43d7-960c-214e8f4d5596}"/>
      </w:docPartPr>
      <w:docPartBody>
        <w:p w14:paraId="31D9254B">
          <w:r>
            <w:rPr>
              <w:rStyle w:val="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character" w:styleId="3">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3640</Words>
  <Characters>4146</Characters>
  <Lines>26</Lines>
  <Paragraphs>7</Paragraphs>
  <TotalTime>0</TotalTime>
  <ScaleCrop>false</ScaleCrop>
  <LinksUpToDate>false</LinksUpToDate>
  <CharactersWithSpaces>4217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2026-10-14T03:16:03Z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7D9B7394078341DA82353C190CCFB404_13</vt:lpwstr>
  </property>
  <property fmtid="{D5CDD505-2E9C-101B-9397-08002B2CF9AE}" pid="4" name="KSOTemplateDocerSaveRecord">
    <vt:lpwstr>eyJoZGlkIjoiOTZkZDVmNzBiZGNiZTJiMTNjOTFhZTJiYjI4ZWQ4OTAiLCJ1c2VySWQiOiI0MzU5NDIxNTAifQ==</vt:lpwstr>
  </property>
</Properties>
</file>