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2DD0D">
      <w:pPr>
        <w:widowControl/>
        <w:jc w:val="both"/>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附件1</w:t>
      </w:r>
    </w:p>
    <w:p w14:paraId="1BD756DD">
      <w:pPr>
        <w:pStyle w:val="2"/>
        <w:ind w:firstLine="4320" w:firstLineChars="1200"/>
        <w:rPr>
          <w:rFonts w:hint="eastAsia"/>
          <w:b w:val="0"/>
          <w:bCs w:val="0"/>
          <w:color w:val="000000" w:themeColor="text1"/>
          <w:sz w:val="36"/>
          <w:szCs w:val="36"/>
          <w:lang w:val="en-US" w:eastAsia="zh-CN"/>
          <w14:textFill>
            <w14:solidFill>
              <w14:schemeClr w14:val="tx1"/>
            </w14:solidFill>
          </w14:textFill>
        </w:rPr>
      </w:pPr>
      <w:r>
        <w:rPr>
          <w:rFonts w:hint="eastAsia"/>
          <w:b w:val="0"/>
          <w:bCs w:val="0"/>
          <w:color w:val="000000" w:themeColor="text1"/>
          <w:sz w:val="36"/>
          <w:szCs w:val="36"/>
          <w:lang w:val="en-US" w:eastAsia="zh-CN"/>
          <w14:textFill>
            <w14:solidFill>
              <w14:schemeClr w14:val="tx1"/>
            </w14:solidFill>
          </w14:textFill>
        </w:rPr>
        <w:t>采购需求</w:t>
      </w:r>
    </w:p>
    <w:p w14:paraId="3C12EB64">
      <w:pPr>
        <w:pStyle w:val="2"/>
        <w:ind w:firstLine="4320" w:firstLineChars="1200"/>
        <w:rPr>
          <w:rFonts w:hint="default"/>
          <w:b w:val="0"/>
          <w:bCs w:val="0"/>
          <w:color w:val="000000" w:themeColor="text1"/>
          <w:sz w:val="36"/>
          <w:szCs w:val="36"/>
          <w:lang w:val="en-US" w:eastAsia="zh-CN"/>
          <w14:textFill>
            <w14:solidFill>
              <w14:schemeClr w14:val="tx1"/>
            </w14:solidFill>
          </w14:textFill>
        </w:rPr>
      </w:pPr>
    </w:p>
    <w:p w14:paraId="7671529F">
      <w:pPr>
        <w:pStyle w:val="5"/>
        <w:spacing w:after="0" w:line="360" w:lineRule="auto"/>
        <w:ind w:firstLine="422" w:firstLineChars="200"/>
        <w:jc w:val="both"/>
        <w:rPr>
          <w:rFonts w:hint="eastAsia" w:ascii="宋体" w:hAnsi="Times New Roman" w:eastAsia="宋体" w:cs="宋体"/>
          <w:b/>
          <w:bCs/>
          <w:color w:val="auto"/>
          <w:kern w:val="0"/>
          <w:szCs w:val="21"/>
          <w:lang w:val="en-US" w:eastAsia="zh-CN"/>
        </w:rPr>
      </w:pPr>
      <w:r>
        <w:rPr>
          <w:rFonts w:hint="eastAsia" w:ascii="宋体" w:hAnsi="Times New Roman" w:eastAsia="宋体" w:cs="宋体"/>
          <w:b/>
          <w:bCs/>
          <w:color w:val="auto"/>
          <w:kern w:val="0"/>
          <w:szCs w:val="21"/>
          <w:lang w:val="en-US" w:eastAsia="zh-CN"/>
        </w:rPr>
        <w:t>说明：所有技术规格参数及商务要求要求均为实质性条款，必须满足或者优于，否则其投标文件无效</w:t>
      </w:r>
      <w:r>
        <w:rPr>
          <w:rFonts w:hint="eastAsia" w:ascii="宋体" w:cs="宋体"/>
          <w:b/>
          <w:bCs/>
          <w:color w:val="auto"/>
          <w:kern w:val="0"/>
          <w:szCs w:val="21"/>
          <w:lang w:val="en-US" w:eastAsia="zh-CN"/>
        </w:rPr>
        <w:t>。</w:t>
      </w:r>
    </w:p>
    <w:p w14:paraId="11BBA451">
      <w:pPr>
        <w:pStyle w:val="5"/>
        <w:spacing w:after="0" w:line="360" w:lineRule="auto"/>
        <w:jc w:val="both"/>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一、采购清单、技术规格参数、质量标准和要求</w:t>
      </w:r>
    </w:p>
    <w:p w14:paraId="515CA7BA">
      <w:pPr>
        <w:pStyle w:val="5"/>
        <w:spacing w:after="0" w:line="360" w:lineRule="auto"/>
        <w:jc w:val="both"/>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（一）采购清单</w:t>
      </w:r>
      <w:r>
        <w:rPr>
          <w:rFonts w:ascii="宋体" w:hAnsi="Times New Roman" w:eastAsia="宋体" w:cs="宋体"/>
          <w:color w:val="auto"/>
          <w:kern w:val="0"/>
          <w:szCs w:val="21"/>
          <w:lang w:val="en-US" w:eastAsia="zh-CN"/>
        </w:rPr>
        <w:t> </w:t>
      </w:r>
    </w:p>
    <w:tbl>
      <w:tblPr>
        <w:tblStyle w:val="11"/>
        <w:tblW w:w="9335" w:type="dxa"/>
        <w:jc w:val="center"/>
        <w:tblLayout w:type="fixed"/>
        <w:tblCellMar>
          <w:top w:w="0" w:type="dxa"/>
          <w:left w:w="108" w:type="dxa"/>
          <w:bottom w:w="0" w:type="dxa"/>
          <w:right w:w="108" w:type="dxa"/>
        </w:tblCellMar>
      </w:tblPr>
      <w:tblGrid>
        <w:gridCol w:w="719"/>
        <w:gridCol w:w="5682"/>
        <w:gridCol w:w="677"/>
        <w:gridCol w:w="862"/>
        <w:gridCol w:w="1395"/>
      </w:tblGrid>
      <w:tr w14:paraId="35CF53F0">
        <w:tblPrEx>
          <w:tblCellMar>
            <w:top w:w="0" w:type="dxa"/>
            <w:left w:w="108" w:type="dxa"/>
            <w:bottom w:w="0" w:type="dxa"/>
            <w:right w:w="108" w:type="dxa"/>
          </w:tblCellMar>
        </w:tblPrEx>
        <w:trPr>
          <w:trHeight w:val="480" w:hRule="atLeast"/>
          <w:jc w:val="center"/>
        </w:trPr>
        <w:tc>
          <w:tcPr>
            <w:tcW w:w="9335" w:type="dxa"/>
            <w:gridSpan w:val="5"/>
            <w:tcBorders>
              <w:top w:val="single" w:color="000000" w:sz="4" w:space="0"/>
              <w:left w:val="single" w:color="000000" w:sz="4" w:space="0"/>
              <w:bottom w:val="single" w:color="000000" w:sz="4" w:space="0"/>
              <w:right w:val="single" w:color="000000" w:sz="4" w:space="0"/>
            </w:tcBorders>
            <w:noWrap/>
            <w:vAlign w:val="center"/>
          </w:tcPr>
          <w:p w14:paraId="045CF5A0">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项目名称：2026年度医院建筑消防设施维保服务项目      项目时限：12个月</w:t>
            </w:r>
          </w:p>
        </w:tc>
      </w:tr>
      <w:tr w14:paraId="2EFD979C">
        <w:tblPrEx>
          <w:tblCellMar>
            <w:top w:w="0" w:type="dxa"/>
            <w:left w:w="108" w:type="dxa"/>
            <w:bottom w:w="0" w:type="dxa"/>
            <w:right w:w="108" w:type="dxa"/>
          </w:tblCellMar>
        </w:tblPrEx>
        <w:trPr>
          <w:trHeight w:val="480" w:hRule="atLeast"/>
          <w:jc w:val="center"/>
        </w:trPr>
        <w:tc>
          <w:tcPr>
            <w:tcW w:w="7940" w:type="dxa"/>
            <w:gridSpan w:val="4"/>
            <w:tcBorders>
              <w:top w:val="single" w:color="000000" w:sz="4" w:space="0"/>
              <w:left w:val="single" w:color="000000" w:sz="4" w:space="0"/>
              <w:bottom w:val="single" w:color="000000" w:sz="4" w:space="0"/>
              <w:right w:val="single" w:color="000000" w:sz="4" w:space="0"/>
            </w:tcBorders>
            <w:noWrap/>
            <w:vAlign w:val="center"/>
          </w:tcPr>
          <w:p w14:paraId="0A6978FA">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建筑概况：门诊外科综合大楼，地下一层地上23层</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B94504E">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建筑面积/㎡：</w:t>
            </w:r>
            <w:r>
              <w:rPr>
                <w:rFonts w:ascii="宋体" w:hAnsi="Times New Roman" w:eastAsia="宋体" w:cs="宋体"/>
                <w:color w:val="auto"/>
                <w:kern w:val="0"/>
                <w:szCs w:val="21"/>
                <w:lang w:val="en-US" w:eastAsia="zh-CN"/>
              </w:rPr>
              <w:t>44890.82</w:t>
            </w:r>
          </w:p>
        </w:tc>
      </w:tr>
      <w:tr w14:paraId="27FF5713">
        <w:tblPrEx>
          <w:tblCellMar>
            <w:top w:w="0" w:type="dxa"/>
            <w:left w:w="108" w:type="dxa"/>
            <w:bottom w:w="0" w:type="dxa"/>
            <w:right w:w="108" w:type="dxa"/>
          </w:tblCellMar>
        </w:tblPrEx>
        <w:trPr>
          <w:trHeight w:val="655" w:hRule="atLeast"/>
          <w:jc w:val="center"/>
        </w:trPr>
        <w:tc>
          <w:tcPr>
            <w:tcW w:w="719" w:type="dxa"/>
            <w:tcBorders>
              <w:top w:val="single" w:color="000000" w:sz="4" w:space="0"/>
              <w:left w:val="single" w:color="000000" w:sz="4" w:space="0"/>
              <w:bottom w:val="single" w:color="000000" w:sz="4" w:space="0"/>
              <w:right w:val="single" w:color="000000" w:sz="4" w:space="0"/>
            </w:tcBorders>
            <w:noWrap/>
            <w:vAlign w:val="center"/>
          </w:tcPr>
          <w:p w14:paraId="38DE7930">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序号</w:t>
            </w:r>
          </w:p>
        </w:tc>
        <w:tc>
          <w:tcPr>
            <w:tcW w:w="5682" w:type="dxa"/>
            <w:tcBorders>
              <w:top w:val="single" w:color="000000" w:sz="4" w:space="0"/>
              <w:left w:val="single" w:color="000000" w:sz="4" w:space="0"/>
              <w:bottom w:val="single" w:color="000000" w:sz="4" w:space="0"/>
              <w:right w:val="single" w:color="000000" w:sz="4" w:space="0"/>
            </w:tcBorders>
            <w:noWrap/>
            <w:vAlign w:val="center"/>
          </w:tcPr>
          <w:p w14:paraId="70D59657">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系统名称</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1D97A078">
            <w:pPr>
              <w:pStyle w:val="5"/>
              <w:keepNext w:val="0"/>
              <w:keepLines w:val="0"/>
              <w:pageBreakBefore w:val="0"/>
              <w:kinsoku/>
              <w:wordWrap/>
              <w:overflowPunct/>
              <w:topLinePunct w:val="0"/>
              <w:bidi w:val="0"/>
              <w:snapToGrid/>
              <w:spacing w:after="0" w:line="400" w:lineRule="exact"/>
              <w:jc w:val="both"/>
              <w:textAlignment w:val="auto"/>
              <w:rPr>
                <w:rFonts w:hint="default"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 xml:space="preserve">单位  </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29A773B0">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工程量</w:t>
            </w:r>
          </w:p>
        </w:tc>
        <w:tc>
          <w:tcPr>
            <w:tcW w:w="1395" w:type="dxa"/>
            <w:tcBorders>
              <w:top w:val="single" w:color="000000" w:sz="4" w:space="0"/>
              <w:left w:val="single" w:color="000000" w:sz="4" w:space="0"/>
              <w:bottom w:val="single" w:color="auto" w:sz="4" w:space="0"/>
              <w:right w:val="single" w:color="000000" w:sz="4" w:space="0"/>
            </w:tcBorders>
            <w:vAlign w:val="center"/>
          </w:tcPr>
          <w:p w14:paraId="00D78BA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备注</w:t>
            </w:r>
          </w:p>
        </w:tc>
      </w:tr>
      <w:tr w14:paraId="757A4CA9">
        <w:tblPrEx>
          <w:tblCellMar>
            <w:top w:w="0" w:type="dxa"/>
            <w:left w:w="108" w:type="dxa"/>
            <w:bottom w:w="0" w:type="dxa"/>
            <w:right w:w="108" w:type="dxa"/>
          </w:tblCellMar>
        </w:tblPrEx>
        <w:trPr>
          <w:trHeight w:val="90" w:hRule="atLeast"/>
          <w:jc w:val="center"/>
        </w:trPr>
        <w:tc>
          <w:tcPr>
            <w:tcW w:w="719" w:type="dxa"/>
            <w:tcBorders>
              <w:top w:val="single" w:color="000000" w:sz="4" w:space="0"/>
              <w:left w:val="single" w:color="000000" w:sz="4" w:space="0"/>
              <w:bottom w:val="single" w:color="000000" w:sz="4" w:space="0"/>
              <w:right w:val="single" w:color="000000" w:sz="4" w:space="0"/>
            </w:tcBorders>
            <w:noWrap/>
            <w:vAlign w:val="center"/>
          </w:tcPr>
          <w:p w14:paraId="30FA3A70">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w:t>
            </w:r>
          </w:p>
        </w:tc>
        <w:tc>
          <w:tcPr>
            <w:tcW w:w="5682" w:type="dxa"/>
            <w:tcBorders>
              <w:top w:val="single" w:color="000000" w:sz="4" w:space="0"/>
              <w:left w:val="single" w:color="000000" w:sz="4" w:space="0"/>
              <w:bottom w:val="single" w:color="000000" w:sz="4" w:space="0"/>
              <w:right w:val="single" w:color="000000" w:sz="4" w:space="0"/>
            </w:tcBorders>
            <w:noWrap/>
            <w:vAlign w:val="center"/>
          </w:tcPr>
          <w:p w14:paraId="39CC7287">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消防供配电、消防供水设施、火灾自动报警系统、室内外消火栓系统、灭火器、自动喷淋系统、气体灭火系统、应急照明及疏散指示标志、应急广播系统、消防通讯、消防电梯、消防分隔设施、机械加压送风系统、机械排烟系统、消防设备电源状态监控系统、年度测试费用</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098A7D24">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项</w:t>
            </w:r>
          </w:p>
        </w:tc>
        <w:tc>
          <w:tcPr>
            <w:tcW w:w="862" w:type="dxa"/>
            <w:tcBorders>
              <w:top w:val="single" w:color="000000" w:sz="4" w:space="0"/>
              <w:left w:val="single" w:color="000000" w:sz="4" w:space="0"/>
              <w:bottom w:val="single" w:color="000000" w:sz="4" w:space="0"/>
              <w:right w:val="single" w:color="auto" w:sz="4" w:space="0"/>
            </w:tcBorders>
            <w:noWrap/>
            <w:vAlign w:val="center"/>
          </w:tcPr>
          <w:p w14:paraId="74CACF77">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w:t>
            </w:r>
          </w:p>
        </w:tc>
        <w:tc>
          <w:tcPr>
            <w:tcW w:w="1395" w:type="dxa"/>
            <w:tcBorders>
              <w:top w:val="single" w:color="auto" w:sz="4" w:space="0"/>
              <w:left w:val="single" w:color="auto" w:sz="4" w:space="0"/>
              <w:bottom w:val="single" w:color="auto" w:sz="4" w:space="0"/>
              <w:right w:val="single" w:color="auto" w:sz="4" w:space="0"/>
            </w:tcBorders>
            <w:noWrap/>
            <w:vAlign w:val="center"/>
          </w:tcPr>
          <w:p w14:paraId="5227F122">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p>
        </w:tc>
      </w:tr>
      <w:tr w14:paraId="0C52291D">
        <w:tblPrEx>
          <w:tblCellMar>
            <w:top w:w="0" w:type="dxa"/>
            <w:left w:w="108" w:type="dxa"/>
            <w:bottom w:w="0" w:type="dxa"/>
            <w:right w:w="108" w:type="dxa"/>
          </w:tblCellMar>
        </w:tblPrEx>
        <w:trPr>
          <w:trHeight w:val="467" w:hRule="atLeast"/>
          <w:jc w:val="center"/>
        </w:trPr>
        <w:tc>
          <w:tcPr>
            <w:tcW w:w="7940" w:type="dxa"/>
            <w:gridSpan w:val="4"/>
            <w:tcBorders>
              <w:top w:val="single" w:color="000000" w:sz="4" w:space="0"/>
              <w:left w:val="single" w:color="000000" w:sz="4" w:space="0"/>
              <w:bottom w:val="single" w:color="000000" w:sz="4" w:space="0"/>
              <w:right w:val="single" w:color="000000" w:sz="4" w:space="0"/>
            </w:tcBorders>
            <w:noWrap/>
            <w:vAlign w:val="center"/>
          </w:tcPr>
          <w:p w14:paraId="6A9646F1">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建筑概况：内科楼，地上11层。</w:t>
            </w:r>
          </w:p>
        </w:tc>
        <w:tc>
          <w:tcPr>
            <w:tcW w:w="1395" w:type="dxa"/>
            <w:tcBorders>
              <w:top w:val="single" w:color="auto" w:sz="4" w:space="0"/>
              <w:left w:val="single" w:color="000000" w:sz="4" w:space="0"/>
              <w:bottom w:val="single" w:color="000000" w:sz="4" w:space="0"/>
              <w:right w:val="single" w:color="000000" w:sz="4" w:space="0"/>
            </w:tcBorders>
            <w:noWrap/>
            <w:vAlign w:val="center"/>
          </w:tcPr>
          <w:p w14:paraId="7BCB2B0D">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建筑面积/㎡：10280.10</w:t>
            </w:r>
          </w:p>
        </w:tc>
      </w:tr>
      <w:tr w14:paraId="65CC8A94">
        <w:tblPrEx>
          <w:tblCellMar>
            <w:top w:w="0" w:type="dxa"/>
            <w:left w:w="108" w:type="dxa"/>
            <w:bottom w:w="0" w:type="dxa"/>
            <w:right w:w="108" w:type="dxa"/>
          </w:tblCellMar>
        </w:tblPrEx>
        <w:trPr>
          <w:trHeight w:val="285" w:hRule="atLeast"/>
          <w:jc w:val="center"/>
        </w:trPr>
        <w:tc>
          <w:tcPr>
            <w:tcW w:w="719" w:type="dxa"/>
            <w:tcBorders>
              <w:top w:val="single" w:color="000000" w:sz="4" w:space="0"/>
              <w:left w:val="single" w:color="000000" w:sz="4" w:space="0"/>
              <w:bottom w:val="single" w:color="000000" w:sz="4" w:space="0"/>
              <w:right w:val="single" w:color="000000" w:sz="4" w:space="0"/>
            </w:tcBorders>
            <w:noWrap/>
            <w:vAlign w:val="center"/>
          </w:tcPr>
          <w:p w14:paraId="299C37AC">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序号</w:t>
            </w:r>
          </w:p>
        </w:tc>
        <w:tc>
          <w:tcPr>
            <w:tcW w:w="5682" w:type="dxa"/>
            <w:tcBorders>
              <w:top w:val="single" w:color="000000" w:sz="4" w:space="0"/>
              <w:left w:val="single" w:color="000000" w:sz="4" w:space="0"/>
              <w:bottom w:val="single" w:color="000000" w:sz="4" w:space="0"/>
              <w:right w:val="single" w:color="000000" w:sz="4" w:space="0"/>
            </w:tcBorders>
            <w:noWrap/>
            <w:vAlign w:val="center"/>
          </w:tcPr>
          <w:p w14:paraId="32A5ED41">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系统名称</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1750CA98">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单位</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24C9984B">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工程量</w:t>
            </w:r>
          </w:p>
        </w:tc>
        <w:tc>
          <w:tcPr>
            <w:tcW w:w="1395" w:type="dxa"/>
            <w:tcBorders>
              <w:top w:val="single" w:color="000000" w:sz="4" w:space="0"/>
              <w:left w:val="single" w:color="000000" w:sz="4" w:space="0"/>
              <w:bottom w:val="single" w:color="auto" w:sz="4" w:space="0"/>
              <w:right w:val="single" w:color="000000" w:sz="4" w:space="0"/>
            </w:tcBorders>
            <w:noWrap/>
            <w:vAlign w:val="center"/>
          </w:tcPr>
          <w:p w14:paraId="57F3104A">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备注</w:t>
            </w:r>
          </w:p>
        </w:tc>
      </w:tr>
      <w:tr w14:paraId="0A3B832E">
        <w:tblPrEx>
          <w:tblCellMar>
            <w:top w:w="0" w:type="dxa"/>
            <w:left w:w="108" w:type="dxa"/>
            <w:bottom w:w="0" w:type="dxa"/>
            <w:right w:w="108" w:type="dxa"/>
          </w:tblCellMar>
        </w:tblPrEx>
        <w:trPr>
          <w:trHeight w:val="285" w:hRule="atLeast"/>
          <w:jc w:val="center"/>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BB47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w:t>
            </w:r>
          </w:p>
        </w:tc>
        <w:tc>
          <w:tcPr>
            <w:tcW w:w="5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401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消防供配电、消防供水设施、火灾自动报警系统、室内外消火栓系统、灭火器、应急照明及疏散指示标志、应急广播系统、自动喷淋系统、消防分隔设施、机械排烟系统、消防设备电源状态监控系统、电气火灾监控系统、年度测试费用</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2BC97DD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项</w:t>
            </w:r>
          </w:p>
        </w:tc>
        <w:tc>
          <w:tcPr>
            <w:tcW w:w="862" w:type="dxa"/>
            <w:tcBorders>
              <w:top w:val="single" w:color="000000" w:sz="4" w:space="0"/>
              <w:left w:val="single" w:color="000000" w:sz="4" w:space="0"/>
              <w:bottom w:val="single" w:color="000000" w:sz="4" w:space="0"/>
              <w:right w:val="single" w:color="auto" w:sz="4" w:space="0"/>
            </w:tcBorders>
            <w:noWrap/>
            <w:vAlign w:val="center"/>
          </w:tcPr>
          <w:p w14:paraId="1E31772B">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w:t>
            </w:r>
          </w:p>
        </w:tc>
        <w:tc>
          <w:tcPr>
            <w:tcW w:w="1395" w:type="dxa"/>
            <w:tcBorders>
              <w:top w:val="single" w:color="auto" w:sz="4" w:space="0"/>
              <w:left w:val="single" w:color="auto" w:sz="4" w:space="0"/>
              <w:bottom w:val="single" w:color="auto" w:sz="4" w:space="0"/>
              <w:right w:val="single" w:color="auto" w:sz="4" w:space="0"/>
            </w:tcBorders>
            <w:noWrap/>
            <w:vAlign w:val="center"/>
          </w:tcPr>
          <w:p w14:paraId="069A137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p>
        </w:tc>
      </w:tr>
      <w:tr w14:paraId="6FAAC29A">
        <w:tblPrEx>
          <w:tblCellMar>
            <w:top w:w="0" w:type="dxa"/>
            <w:left w:w="108" w:type="dxa"/>
            <w:bottom w:w="0" w:type="dxa"/>
            <w:right w:w="108" w:type="dxa"/>
          </w:tblCellMar>
        </w:tblPrEx>
        <w:trPr>
          <w:trHeight w:val="542" w:hRule="atLeast"/>
          <w:jc w:val="center"/>
        </w:trPr>
        <w:tc>
          <w:tcPr>
            <w:tcW w:w="7940" w:type="dxa"/>
            <w:gridSpan w:val="4"/>
            <w:tcBorders>
              <w:top w:val="single" w:color="000000" w:sz="4" w:space="0"/>
              <w:left w:val="single" w:color="000000" w:sz="4" w:space="0"/>
              <w:bottom w:val="single" w:color="000000" w:sz="4" w:space="0"/>
              <w:right w:val="single" w:color="000000" w:sz="4" w:space="0"/>
            </w:tcBorders>
            <w:noWrap/>
            <w:vAlign w:val="center"/>
          </w:tcPr>
          <w:p w14:paraId="75ACB2A6">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建筑概况：后勤综合楼，地上9层，</w:t>
            </w:r>
          </w:p>
        </w:tc>
        <w:tc>
          <w:tcPr>
            <w:tcW w:w="1395" w:type="dxa"/>
            <w:tcBorders>
              <w:top w:val="single" w:color="auto" w:sz="4" w:space="0"/>
              <w:left w:val="single" w:color="000000" w:sz="4" w:space="0"/>
              <w:bottom w:val="single" w:color="000000" w:sz="4" w:space="0"/>
              <w:right w:val="single" w:color="000000" w:sz="4" w:space="0"/>
            </w:tcBorders>
            <w:noWrap/>
            <w:vAlign w:val="center"/>
          </w:tcPr>
          <w:p w14:paraId="4D36B517">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建筑面积/㎡：1756</w:t>
            </w:r>
          </w:p>
        </w:tc>
      </w:tr>
      <w:tr w14:paraId="309D44A9">
        <w:tblPrEx>
          <w:tblCellMar>
            <w:top w:w="0" w:type="dxa"/>
            <w:left w:w="108" w:type="dxa"/>
            <w:bottom w:w="0" w:type="dxa"/>
            <w:right w:w="108" w:type="dxa"/>
          </w:tblCellMar>
        </w:tblPrEx>
        <w:trPr>
          <w:trHeight w:val="285" w:hRule="atLeast"/>
          <w:jc w:val="center"/>
        </w:trPr>
        <w:tc>
          <w:tcPr>
            <w:tcW w:w="719" w:type="dxa"/>
            <w:tcBorders>
              <w:top w:val="single" w:color="000000" w:sz="4" w:space="0"/>
              <w:left w:val="single" w:color="000000" w:sz="4" w:space="0"/>
              <w:bottom w:val="single" w:color="000000" w:sz="4" w:space="0"/>
              <w:right w:val="single" w:color="000000" w:sz="4" w:space="0"/>
            </w:tcBorders>
            <w:noWrap/>
            <w:vAlign w:val="center"/>
          </w:tcPr>
          <w:p w14:paraId="39BB971B">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序号</w:t>
            </w:r>
          </w:p>
        </w:tc>
        <w:tc>
          <w:tcPr>
            <w:tcW w:w="5682" w:type="dxa"/>
            <w:tcBorders>
              <w:top w:val="single" w:color="000000" w:sz="4" w:space="0"/>
              <w:left w:val="single" w:color="000000" w:sz="4" w:space="0"/>
              <w:bottom w:val="single" w:color="000000" w:sz="4" w:space="0"/>
              <w:right w:val="single" w:color="000000" w:sz="4" w:space="0"/>
            </w:tcBorders>
            <w:noWrap/>
            <w:vAlign w:val="center"/>
          </w:tcPr>
          <w:p w14:paraId="74B9CC0E">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系统名称</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19140C25">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单位</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43393418">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工程量</w:t>
            </w:r>
          </w:p>
        </w:tc>
        <w:tc>
          <w:tcPr>
            <w:tcW w:w="1395" w:type="dxa"/>
            <w:tcBorders>
              <w:top w:val="single" w:color="000000" w:sz="4" w:space="0"/>
              <w:left w:val="single" w:color="000000" w:sz="4" w:space="0"/>
              <w:bottom w:val="single" w:color="auto" w:sz="4" w:space="0"/>
              <w:right w:val="single" w:color="000000" w:sz="4" w:space="0"/>
            </w:tcBorders>
            <w:noWrap/>
            <w:vAlign w:val="center"/>
          </w:tcPr>
          <w:p w14:paraId="3655F059">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备注</w:t>
            </w:r>
          </w:p>
        </w:tc>
      </w:tr>
      <w:tr w14:paraId="21F4C4E7">
        <w:tblPrEx>
          <w:tblCellMar>
            <w:top w:w="0" w:type="dxa"/>
            <w:left w:w="108" w:type="dxa"/>
            <w:bottom w:w="0" w:type="dxa"/>
            <w:right w:w="108" w:type="dxa"/>
          </w:tblCellMar>
        </w:tblPrEx>
        <w:trPr>
          <w:trHeight w:val="285" w:hRule="atLeast"/>
          <w:jc w:val="center"/>
        </w:trPr>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899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w:t>
            </w:r>
          </w:p>
        </w:tc>
        <w:tc>
          <w:tcPr>
            <w:tcW w:w="5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7603">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消防供配电、消防供水设施、火灾自动报警系统、室内外消火栓系统、灭火器、自动喷淋系统、气体灭火系统、应急照明及疏散指示标志、应急广播系统、消防分隔设施、年度测试费用</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649B552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项</w:t>
            </w:r>
          </w:p>
        </w:tc>
        <w:tc>
          <w:tcPr>
            <w:tcW w:w="862" w:type="dxa"/>
            <w:tcBorders>
              <w:top w:val="single" w:color="000000" w:sz="4" w:space="0"/>
              <w:left w:val="single" w:color="000000" w:sz="4" w:space="0"/>
              <w:bottom w:val="single" w:color="000000" w:sz="4" w:space="0"/>
              <w:right w:val="single" w:color="auto" w:sz="4" w:space="0"/>
            </w:tcBorders>
            <w:noWrap/>
            <w:vAlign w:val="center"/>
          </w:tcPr>
          <w:p w14:paraId="205A6D4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w:t>
            </w:r>
          </w:p>
        </w:tc>
        <w:tc>
          <w:tcPr>
            <w:tcW w:w="1395" w:type="dxa"/>
            <w:tcBorders>
              <w:top w:val="single" w:color="auto" w:sz="4" w:space="0"/>
              <w:left w:val="single" w:color="auto" w:sz="4" w:space="0"/>
              <w:bottom w:val="single" w:color="auto" w:sz="4" w:space="0"/>
              <w:right w:val="single" w:color="auto" w:sz="4" w:space="0"/>
            </w:tcBorders>
            <w:noWrap/>
            <w:vAlign w:val="center"/>
          </w:tcPr>
          <w:p w14:paraId="7522BD82">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p>
        </w:tc>
      </w:tr>
    </w:tbl>
    <w:p w14:paraId="22B0E693">
      <w:pPr>
        <w:pStyle w:val="5"/>
        <w:keepNext w:val="0"/>
        <w:keepLines w:val="0"/>
        <w:pageBreakBefore w:val="0"/>
        <w:kinsoku/>
        <w:wordWrap/>
        <w:overflowPunct/>
        <w:topLinePunct w:val="0"/>
        <w:bidi w:val="0"/>
        <w:snapToGrid/>
        <w:spacing w:after="0" w:line="400" w:lineRule="exact"/>
        <w:jc w:val="both"/>
        <w:textAlignment w:val="auto"/>
        <w:rPr>
          <w:rFonts w:hint="default" w:ascii="宋体" w:hAnsi="Times New Roman" w:eastAsia="宋体" w:cs="宋体"/>
          <w:color w:val="auto"/>
          <w:kern w:val="0"/>
          <w:szCs w:val="21"/>
          <w:lang w:val="en-US" w:eastAsia="zh-CN"/>
        </w:rPr>
      </w:pPr>
    </w:p>
    <w:p w14:paraId="01F1959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（二）维保服务内容需求</w:t>
      </w:r>
    </w:p>
    <w:p w14:paraId="10DC9A89">
      <w:pPr>
        <w:pStyle w:val="5"/>
        <w:keepNext w:val="0"/>
        <w:keepLines w:val="0"/>
        <w:pageBreakBefore w:val="0"/>
        <w:kinsoku/>
        <w:wordWrap/>
        <w:overflowPunct/>
        <w:topLinePunct w:val="0"/>
        <w:bidi w:val="0"/>
        <w:snapToGrid/>
        <w:spacing w:after="0" w:line="400" w:lineRule="exact"/>
        <w:ind w:firstLine="420" w:firstLineChars="200"/>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投标人根据医院建筑消防设施制定维保服务方案，方案必须符合《建筑消防设施的维护管理（GB25201-2010）》《广西建筑消防设施维护保养操作规程》等消防技术标准规定相关条款要求，方案内容及要求包含但不限于下列内容：火灾自动报警系统、火灾应急广播、消防通讯、消防电梯、消防供水设施及水源、室外内消火栓、自动喷水灭火系统、应急照明及疏散指示系统、机械加压送风系统、机械排烟系统、气体灭火系统、 防火卷帘、 防火门、灭火器、其他系统（设施）。</w:t>
      </w:r>
    </w:p>
    <w:tbl>
      <w:tblPr>
        <w:tblStyle w:val="12"/>
        <w:tblW w:w="9863" w:type="dxa"/>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177"/>
        <w:gridCol w:w="7963"/>
      </w:tblGrid>
      <w:tr w14:paraId="111F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Pr>
          <w:p w14:paraId="2F32842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序号</w:t>
            </w:r>
          </w:p>
        </w:tc>
        <w:tc>
          <w:tcPr>
            <w:tcW w:w="1177" w:type="dxa"/>
          </w:tcPr>
          <w:p w14:paraId="4C30121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维保服务项目</w:t>
            </w:r>
          </w:p>
        </w:tc>
        <w:tc>
          <w:tcPr>
            <w:tcW w:w="7963" w:type="dxa"/>
          </w:tcPr>
          <w:p w14:paraId="7DA44377">
            <w:pPr>
              <w:pStyle w:val="5"/>
              <w:keepNext w:val="0"/>
              <w:keepLines w:val="0"/>
              <w:pageBreakBefore w:val="0"/>
              <w:kinsoku/>
              <w:wordWrap/>
              <w:overflowPunct/>
              <w:topLinePunct w:val="0"/>
              <w:bidi w:val="0"/>
              <w:snapToGrid/>
              <w:spacing w:after="0" w:line="400" w:lineRule="exact"/>
              <w:ind w:firstLine="1260" w:firstLineChars="600"/>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维保服务内容</w:t>
            </w:r>
          </w:p>
        </w:tc>
      </w:tr>
      <w:tr w14:paraId="06A3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Pr>
          <w:p w14:paraId="60E86E5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w:t>
            </w:r>
          </w:p>
        </w:tc>
        <w:tc>
          <w:tcPr>
            <w:tcW w:w="1177" w:type="dxa"/>
          </w:tcPr>
          <w:p w14:paraId="6236AF9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消防控制室及火灾报警控制器</w:t>
            </w:r>
          </w:p>
        </w:tc>
        <w:tc>
          <w:tcPr>
            <w:tcW w:w="7963" w:type="dxa"/>
          </w:tcPr>
          <w:p w14:paraId="5092582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1、每月对火灾自动报警主机进行保养:</w:t>
            </w:r>
          </w:p>
          <w:p w14:paraId="178047B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（1）使用除锈润滑剂对消防主机与消防广播、电梯迫降等消防联动设备的联动接口进行保养；</w:t>
            </w:r>
          </w:p>
          <w:p w14:paraId="07CA643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（2）使用机械万用表检查电源主板的供电运行情况，并进行测试，且记录存档；</w:t>
            </w:r>
          </w:p>
          <w:p w14:paraId="618DB5A5">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（3）使用机械万用表测试每块回路卡的运行电压、运行性能，且记录存档；</w:t>
            </w:r>
          </w:p>
          <w:p w14:paraId="594CACC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（4）测试手动面板和消防联动柜的各种按键的执行功能及反馈指示灯的运行情况，且记录存档；</w:t>
            </w:r>
          </w:p>
          <w:p w14:paraId="7BFA871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（5）每月一次通过按下手动报警按钮模拟火灾对消防报警按钮、消防层显进行检查测试。</w:t>
            </w:r>
          </w:p>
          <w:p w14:paraId="7D35A0F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（6）每月一次通过消防电话、电话插孔与消防控制室通话对消防电话、消防插孔电话进行检查测试。</w:t>
            </w:r>
          </w:p>
          <w:p w14:paraId="645096E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（7）每月一次测试消防报警主机的主备电切换功能。</w:t>
            </w:r>
          </w:p>
          <w:p w14:paraId="5295F9E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（8）每季对火灾报警控制器的备用电源进行放电测试，并做好有关信息数据备份。</w:t>
            </w:r>
          </w:p>
          <w:p w14:paraId="2C8166C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（9）每月使用清洁刷、酒精、棉花对报警控制器主板、回路板、通信板、总线盘、多线盘、电源板、扇热器、各板连接口、控制柜内部各个角落、死角进行清除粉尘。</w:t>
            </w:r>
          </w:p>
          <w:p w14:paraId="08AF39E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10）每月使用专用螺丝刀对回路总线接、5V电源线、24V电源线、220V电源线、多线控制线、消防电话线、消防广播线、控制模块线接线口端子进行加固、加紧；使用扳手、老虎钳对控制报警控制器，机柜架连接螺帽、地线进行加固、加紧。</w:t>
            </w:r>
          </w:p>
          <w:p w14:paraId="5F2D3DC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（11）每月打开消防控制室内部电缆槽、消防控制线线槽进行清理杂物；检查发现有“四害”迹象的，立即使用防火泥线槽进行封闭处理、加紧线槽螺丝钉。</w:t>
            </w:r>
          </w:p>
        </w:tc>
      </w:tr>
      <w:tr w14:paraId="507D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Pr>
          <w:p w14:paraId="4A45DEB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w:t>
            </w:r>
          </w:p>
        </w:tc>
        <w:tc>
          <w:tcPr>
            <w:tcW w:w="1177" w:type="dxa"/>
          </w:tcPr>
          <w:p w14:paraId="0812843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火灾自动报警和联动控制系统</w:t>
            </w:r>
          </w:p>
        </w:tc>
        <w:tc>
          <w:tcPr>
            <w:tcW w:w="7963" w:type="dxa"/>
          </w:tcPr>
          <w:p w14:paraId="5A724A97">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通过使用数字温湿仪检查消防控制室或消防值班工作环境以及通过现场模拟火灾测试火灾自动报警控制、联动控制盘、层显（或区域控制器）、手动报警按钮等设备的外观和使用功能，是否处于正常完好状态。</w:t>
            </w:r>
          </w:p>
          <w:p w14:paraId="64C14AE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使用专业火灾探测器检测工具（发烟器及发热器等模拟火灾检测仪器）测试消防报警探测器的工作状态，远距离及现场测试启停受控设备的运行情况，发现异常设备后应及时组织人员进行确认、维护异常设备。</w:t>
            </w:r>
          </w:p>
          <w:p w14:paraId="1013303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3、每季度检查下列功能：</w:t>
            </w:r>
          </w:p>
          <w:p w14:paraId="3AF23DC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（1）采用检查设备分期分批使用探测器检测器测试探测器的工作情况及拆分报警探测器对报警探测器进行除尘保养维护。</w:t>
            </w:r>
          </w:p>
          <w:p w14:paraId="02FD24C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（2）按下手动报警按钮模拟火灾试验手动报警按钮报警功能及其联动设备的正常启停。</w:t>
            </w:r>
          </w:p>
          <w:p w14:paraId="32A83FD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（3）通过模拟火灾报警控制器主电故障时，测试备用电源的正常转换，并同时满足联动消防灭火设备启停所需的电源。</w:t>
            </w:r>
          </w:p>
          <w:p w14:paraId="452E88D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（4）通过自动和手动试验消防送风排烟风机、消防电梯、消防广播、消防防火卷帘门等相关消防联动控制设备的运行状态和显示功能，通过对消防控制模块箱内模块的清洗进行检查和除尘。</w:t>
            </w:r>
          </w:p>
          <w:p w14:paraId="2FB6213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（5）分区模拟火灾，使用声级计对消防报警警铃进行检查试验，并记录存档。</w:t>
            </w:r>
          </w:p>
          <w:p w14:paraId="38F4AAF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（6）通过配合招标人开展一年二次的消防演练和每年的消防系统全面检测进行全面的消防联动测试。</w:t>
            </w:r>
          </w:p>
        </w:tc>
      </w:tr>
      <w:tr w14:paraId="5130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Pr>
          <w:p w14:paraId="3530E88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w:t>
            </w:r>
          </w:p>
        </w:tc>
        <w:tc>
          <w:tcPr>
            <w:tcW w:w="1177" w:type="dxa"/>
          </w:tcPr>
          <w:p w14:paraId="5247855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消防供水设施</w:t>
            </w:r>
          </w:p>
        </w:tc>
        <w:tc>
          <w:tcPr>
            <w:tcW w:w="7963" w:type="dxa"/>
          </w:tcPr>
          <w:p w14:paraId="6429D5C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1、每月通过使用数字温湿仪检查消防泵房工作环境，使用照度测量仪检查泵房应急照明和疏散指示标志亮度；检查急照明和疏散指示标志供电电压是否正常；加固灯座、摆正灯式。</w:t>
            </w:r>
          </w:p>
          <w:p w14:paraId="2694051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2、每月对消防泵、稳压设备电源控制柜、储水设备等设备的外观和使用功能进行检查；用万用表对电源三相电电压、水泵电机接地阻值进行测量</w:t>
            </w:r>
          </w:p>
          <w:p w14:paraId="657FE15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3、每月对消防泵、稳压设备电源控制柜内部元器件进行维护：</w:t>
            </w:r>
          </w:p>
          <w:p w14:paraId="37E8B43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（1）关闭供电源用螺丝刀、扳手对控制柜内接线端子、机柜连接螺帽进行加固、加紧；用清洁刷把控制柜内元器件、各个角落进行清除粉尘。</w:t>
            </w:r>
          </w:p>
          <w:p w14:paraId="691A7D0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（2）每月启动消防泵，当消防泵为自动控制启动时，模拟自动控制的条件进行启动；启动水泵后，同时试验主、备泵的切换功能、检查控制柜各元器件运行情况。</w:t>
            </w:r>
          </w:p>
          <w:p w14:paraId="2A42529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（3）每月使用扳手 对水泵房内各个消防阀门、固定架、消防泵进行加固；</w:t>
            </w:r>
          </w:p>
          <w:p w14:paraId="0AEA8D17">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（4）每季度使用黄油、润滑油、除锈防腐剂对，控制柜内接线端子；消防泵上的螺帽和转动轴承；节流阀、止回阀、泄压阀、管网连接处上螺帽进行维护保养。</w:t>
            </w:r>
          </w:p>
          <w:p w14:paraId="1FEB597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（5）每季度核对顶层消防水箱、负一层消防水池储水量</w:t>
            </w:r>
          </w:p>
        </w:tc>
      </w:tr>
      <w:tr w14:paraId="5351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Pr>
          <w:p w14:paraId="35A81C2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w:t>
            </w:r>
          </w:p>
        </w:tc>
        <w:tc>
          <w:tcPr>
            <w:tcW w:w="1177" w:type="dxa"/>
          </w:tcPr>
          <w:p w14:paraId="0EBE40E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自动喷淋灭火系统</w:t>
            </w:r>
          </w:p>
        </w:tc>
        <w:tc>
          <w:tcPr>
            <w:tcW w:w="7963" w:type="dxa"/>
          </w:tcPr>
          <w:p w14:paraId="5F58FAF7">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1、每月对湿式报警阀组、管网阀门、水泵接合器、储水设备、消防管网设备、喷淋触发器等设备的外观和使用功能维护保养；</w:t>
            </w:r>
          </w:p>
          <w:p w14:paraId="402E5DD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2、每月对检查末端试水装置，试验末端放水、工作压力及核对水流指示器反馈信号；</w:t>
            </w:r>
          </w:p>
          <w:p w14:paraId="3E6989E5">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3、每季度使用润滑油、黄油、除锈防腐剂对湿式报警阀组、水泵接合器上的螺帽进行维护保养；</w:t>
            </w:r>
          </w:p>
          <w:p w14:paraId="5AD6B0E5">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4、每季度对水泵接合器露天部分涂上防锈油漆。</w:t>
            </w:r>
          </w:p>
        </w:tc>
      </w:tr>
      <w:tr w14:paraId="75E7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Pr>
          <w:p w14:paraId="4D9B4097">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w:t>
            </w:r>
          </w:p>
        </w:tc>
        <w:tc>
          <w:tcPr>
            <w:tcW w:w="1177" w:type="dxa"/>
          </w:tcPr>
          <w:p w14:paraId="1B12BF7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室内外消火栓灭火系统</w:t>
            </w:r>
          </w:p>
        </w:tc>
        <w:tc>
          <w:tcPr>
            <w:tcW w:w="7963" w:type="dxa"/>
          </w:tcPr>
          <w:p w14:paraId="6C2D3EA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1、室内消火栓系统</w:t>
            </w:r>
          </w:p>
          <w:p w14:paraId="54913C6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（1）每月检查管网阀门、水泵接合器、室内外消火栓、储水设备等设备的外观和使用功能，确保处于正常完好状态，并进行设备维护。</w:t>
            </w:r>
          </w:p>
          <w:p w14:paraId="4A1D4F0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（2）每月在消防泵处于自动状态下，通过按下消火栓直接启泵按钮试验远距离启动消防泵功能。</w:t>
            </w:r>
          </w:p>
          <w:p w14:paraId="6294EAD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（3）每月开打屋顶试验消火栓和底层室内消火栓进行射水试验，使用试压装置进行压力测试，确保消火栓管网供水能力和系统水源使用情况。</w:t>
            </w:r>
          </w:p>
          <w:p w14:paraId="5F533B2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（4）每月对每个室内消火栓内的：水带、水带卷盘、消火栓头、水枪头、玻璃门，室外消火栓；数量、设置位置、外观进行检查。</w:t>
            </w:r>
          </w:p>
          <w:p w14:paraId="39E16D6B">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2、室外消火栓系统</w:t>
            </w:r>
          </w:p>
          <w:p w14:paraId="1DACAAE7">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（5）检查出水口闷盖是否密封，有无缺损。</w:t>
            </w:r>
          </w:p>
          <w:p w14:paraId="3E8683E3">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（6）检查栓体外表油漆有无剥落，有无锈蚀，如有应及时修补。</w:t>
            </w:r>
          </w:p>
          <w:p w14:paraId="7B49A623">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（7）每季度使用室外消防扳手对所有室外消防栓进行射水试验，使用试压装置进行压力测试。</w:t>
            </w:r>
          </w:p>
          <w:p w14:paraId="534AA80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（8）每季度用清洁刷对室内消火栓内部各个角落进行清理粉尘、把水带、水带卷盘、消火栓头、水枪头重新摆放整齐。</w:t>
            </w:r>
          </w:p>
          <w:p w14:paraId="47A9B64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（9）每季度对室外消防栓、水泵接合器露天部分涂上防锈油漆。</w:t>
            </w:r>
          </w:p>
        </w:tc>
      </w:tr>
      <w:tr w14:paraId="534F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3" w:type="dxa"/>
          </w:tcPr>
          <w:p w14:paraId="2B5D2D4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6</w:t>
            </w:r>
          </w:p>
        </w:tc>
        <w:tc>
          <w:tcPr>
            <w:tcW w:w="1177" w:type="dxa"/>
          </w:tcPr>
          <w:p w14:paraId="28BD707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机械送风、排烟系统</w:t>
            </w:r>
          </w:p>
        </w:tc>
        <w:tc>
          <w:tcPr>
            <w:tcW w:w="7963" w:type="dxa"/>
          </w:tcPr>
          <w:p w14:paraId="5ECAC335">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1、每月通过使用数字温湿仪检查送风、排烟机房工作环境以及通过目测检查送风机、排烟机、电源控制箱等设备的外观和测试使用功能的正常运行情况，确保所有设备均能处于正常完好状态。</w:t>
            </w:r>
          </w:p>
          <w:p w14:paraId="00BFA23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2、每月在防排烟风机正常运行的状态下，通过数字微压仪对送风、排烟风管、风井进行气密性测试，确保送风、排烟风机的送风、排风量满足送风排烟要求，同时测试了风管、风井的气密性。</w:t>
            </w:r>
          </w:p>
          <w:p w14:paraId="1D34471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3、每月通过使用防火防腐防锈涂料对风管进行维护保养，保持风管的完好，提高风管的使用寿命和气密性能，确保风管的正常完好。</w:t>
            </w:r>
          </w:p>
          <w:p w14:paraId="0349B46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4、每半年检查和维护下列功能：</w:t>
            </w:r>
          </w:p>
          <w:p w14:paraId="44B6787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（1）在模拟火灾的情况下，联动送风、排烟系统的所有设备，检查送风、排烟风口（阀）、防排烟风机的运行情况，确保所有设备的使用功能均正常运行，并记录存档。</w:t>
            </w:r>
          </w:p>
          <w:p w14:paraId="1C2F6A3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（2）在模拟火灾的情况下，通过系统联动功能及时关闭空调系统、通风系统。</w:t>
            </w:r>
          </w:p>
          <w:p w14:paraId="6D36103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（3）通过上黄油和除锈防腐润滑剂对防火阀、板式风口和防排烟风机的传动机构进行防锈润滑保养等维护。</w:t>
            </w:r>
          </w:p>
          <w:p w14:paraId="18BD0B1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（4）通过使用防锈防腐清洁剂和防火防腐涂料对防排烟风机表面、吊杆、风管连接阀进行防火除锈、翻新处理，确保其使用功能的正常运行。</w:t>
            </w:r>
          </w:p>
        </w:tc>
      </w:tr>
      <w:tr w14:paraId="5CD0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3" w:type="dxa"/>
          </w:tcPr>
          <w:p w14:paraId="2DB6B67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7</w:t>
            </w:r>
          </w:p>
        </w:tc>
        <w:tc>
          <w:tcPr>
            <w:tcW w:w="1177" w:type="dxa"/>
          </w:tcPr>
          <w:p w14:paraId="75947FC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消防通讯</w:t>
            </w:r>
          </w:p>
        </w:tc>
        <w:tc>
          <w:tcPr>
            <w:tcW w:w="7963" w:type="dxa"/>
          </w:tcPr>
          <w:p w14:paraId="7534FEE3">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1、每月通过现场测试插孔电话、重要场所的对讲电话、播音设备、扬声器等设备的外观和使用功能，确保处于正常完好状态。</w:t>
            </w:r>
          </w:p>
          <w:p w14:paraId="735F60E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2、每月通过使用防腐防氧化清洁剂对所有消防通讯设施进行防腐氧化和清洁保养处理，确保其使用功能的正常运行。</w:t>
            </w:r>
          </w:p>
          <w:p w14:paraId="10DA0F97">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3、每季度检查下列功能：</w:t>
            </w:r>
          </w:p>
          <w:p w14:paraId="668AEA1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（1）使用消防电话与消防控制室通话试验电话插孔和对讲电话的通话质量。</w:t>
            </w:r>
          </w:p>
          <w:p w14:paraId="6BC5C70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（2）通过模拟火灾测试选层广播功能的紧急切换功能。</w:t>
            </w:r>
          </w:p>
          <w:p w14:paraId="175B928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（3）通过模拟火灾试验从背景音乐状态下强切至事故应急广播状态的功能。使用声级计对各分区的背景音乐、消防报警语音进行检查测试。</w:t>
            </w:r>
          </w:p>
        </w:tc>
      </w:tr>
      <w:tr w14:paraId="1F34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3" w:type="dxa"/>
          </w:tcPr>
          <w:p w14:paraId="580A7DE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8</w:t>
            </w:r>
          </w:p>
        </w:tc>
        <w:tc>
          <w:tcPr>
            <w:tcW w:w="1177" w:type="dxa"/>
          </w:tcPr>
          <w:p w14:paraId="528311E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 xml:space="preserve"> 消防供配电设施</w:t>
            </w:r>
          </w:p>
        </w:tc>
        <w:tc>
          <w:tcPr>
            <w:tcW w:w="7963" w:type="dxa"/>
          </w:tcPr>
          <w:p w14:paraId="367C0795">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1、每月通过检查消防电源紧急切换设备的外观和工作运行情况，确保其均处于正常完好状态。</w:t>
            </w:r>
          </w:p>
          <w:p w14:paraId="6785CCD5">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2、每月通过对消防电源紧急切换装置进行防腐除锈和防氧化处理，保持所有切换部件的使用正常，确保其联动切换功能的正常运行。</w:t>
            </w:r>
          </w:p>
          <w:p w14:paraId="11552AC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3、每季度检查下列功能：</w:t>
            </w:r>
          </w:p>
          <w:p w14:paraId="0B2EC19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（1）通过模拟火灾试验消防电源的末端双电源切换功能；</w:t>
            </w:r>
          </w:p>
          <w:p w14:paraId="1C34FD8B">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（2）通过模拟火灾试验切断非消防电源功能。</w:t>
            </w:r>
          </w:p>
          <w:p w14:paraId="6E0E167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4、每季度关闭供电源用螺丝刀、扳手对控制柜内接线端子、机柜连接螺帽进行加固、加紧；用清洁刷把内元器件、各个角落进行清除粉尘；</w:t>
            </w:r>
          </w:p>
          <w:p w14:paraId="642901B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5、每季度试验启动发电机组，检查储油设施储油量</w:t>
            </w:r>
          </w:p>
        </w:tc>
      </w:tr>
      <w:tr w14:paraId="4F24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3" w:type="dxa"/>
          </w:tcPr>
          <w:p w14:paraId="6D4B348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9</w:t>
            </w:r>
          </w:p>
        </w:tc>
        <w:tc>
          <w:tcPr>
            <w:tcW w:w="1177" w:type="dxa"/>
          </w:tcPr>
          <w:p w14:paraId="4BF24D4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消防重点部位</w:t>
            </w:r>
          </w:p>
        </w:tc>
        <w:tc>
          <w:tcPr>
            <w:tcW w:w="7963" w:type="dxa"/>
          </w:tcPr>
          <w:p w14:paraId="39B8E21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每月使用温度测量仪、湿度测量仪对动力配电间、楼层强电配电间、楼层弱电间、发电机房、安全通道以及空调机房测量，并检查其消防配备设施是否完好、是否堆积杂物阻挡设备操作空间。</w:t>
            </w:r>
          </w:p>
          <w:p w14:paraId="114E809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2、每季度使用温度测量仪、湿度测量仪对陈列室、杂物房、管道间、电缆槽工作环境检查；使用钳形电流表测试电缆线间工作电流，确保设备设施处于正常完好的运行状态。</w:t>
            </w:r>
          </w:p>
        </w:tc>
      </w:tr>
      <w:tr w14:paraId="3226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3" w:type="dxa"/>
          </w:tcPr>
          <w:p w14:paraId="0F2D4ABD">
            <w:pPr>
              <w:pStyle w:val="5"/>
              <w:keepNext w:val="0"/>
              <w:keepLines w:val="0"/>
              <w:pageBreakBefore w:val="0"/>
              <w:kinsoku/>
              <w:wordWrap/>
              <w:overflowPunct/>
              <w:topLinePunct w:val="0"/>
              <w:bidi w:val="0"/>
              <w:snapToGrid/>
              <w:spacing w:after="0" w:line="400" w:lineRule="exact"/>
              <w:jc w:val="both"/>
              <w:textAlignment w:val="auto"/>
              <w:rPr>
                <w:rFonts w:hint="default"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10</w:t>
            </w:r>
          </w:p>
        </w:tc>
        <w:tc>
          <w:tcPr>
            <w:tcW w:w="1177" w:type="dxa"/>
          </w:tcPr>
          <w:p w14:paraId="558DF3B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气体灭火系统</w:t>
            </w:r>
          </w:p>
        </w:tc>
        <w:tc>
          <w:tcPr>
            <w:tcW w:w="7963" w:type="dxa"/>
          </w:tcPr>
          <w:p w14:paraId="2789A3C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1、对防护分区环境的检查：</w:t>
            </w:r>
          </w:p>
          <w:p w14:paraId="7F021F9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（1）每月检查保护区必要的出入通道应通畅无阻；各种报警信号和安全标志应清洁、齐全并醒目易见；采光照明和事故照明应完好。</w:t>
            </w:r>
          </w:p>
          <w:p w14:paraId="55A81FA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（2）每月检查烟感、温感探测器外表面应清洁、无灰尘和环境污染(例如轻质粉尘、漆等)，以保证其灵敏度；检查喷嘴孔口应无堵塞。</w:t>
            </w:r>
          </w:p>
          <w:p w14:paraId="06A387C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2、对灭火剂贮存容器的检查：</w:t>
            </w:r>
          </w:p>
          <w:p w14:paraId="5DA8218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每年对灭火剂贮存容器进行称重或检查贮存压力，若低于允许值极限位置以下，必须予以重新灌装或替换。</w:t>
            </w:r>
          </w:p>
          <w:p w14:paraId="0803CBCB">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3、对灭火控制盘的检查：</w:t>
            </w:r>
          </w:p>
          <w:p w14:paraId="51BAD33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（1）每月对电源、指示灯的可靠程度检查；</w:t>
            </w:r>
          </w:p>
          <w:p w14:paraId="28B9DB0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（2）每月检查灭火控制盘的启动试验的工作情况是否正常。</w:t>
            </w:r>
          </w:p>
          <w:p w14:paraId="1E33E69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4、对系统的检查：</w:t>
            </w:r>
          </w:p>
          <w:p w14:paraId="2A594F5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（1）每月检查电磁阀与控制阀的连接导线是否完好，端子有否松动或脱落；</w:t>
            </w:r>
          </w:p>
          <w:p w14:paraId="54B974E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（2）每季从启动钢瓶上卸下电磁阀，检查其动作是否灵活；</w:t>
            </w:r>
          </w:p>
          <w:p w14:paraId="1C5ABBFB">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（3）每季卸下报警及控制系统与执行机构的连接装置，用模拟试验方法，检查自动控制、报警及延时功能的灵敏度和动作可靠性；</w:t>
            </w:r>
          </w:p>
          <w:p w14:paraId="10EBBA9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（4）每季检查贮存容器开启机构灵活可靠性；每季检查灭火剂贮存容器阀和启动容器阀的安全装置和管路安全阀放气口；</w:t>
            </w:r>
          </w:p>
          <w:p w14:paraId="07F6D02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（5）每季检查所有钢瓶外表有无腐蚀和镀层脱落现象；</w:t>
            </w:r>
          </w:p>
          <w:p w14:paraId="3C9EB8D3">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（6）每月对对系统中所有软管进行外观检查，若发现有任何缺陷，更换或对软管进行耐压试验；</w:t>
            </w:r>
          </w:p>
          <w:p w14:paraId="66475B6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（7）每季将止回阀从系统上卸下，检查其密封情况和开启动作灵活程度；</w:t>
            </w:r>
          </w:p>
          <w:p w14:paraId="35AF99C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（8）每季用气动和手动方式，检查所有选择阀的开启动作是否灵活可靠。</w:t>
            </w:r>
          </w:p>
          <w:p w14:paraId="5EC44AA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（9）每半年对每一个防护区进行一次模拟自动启动试验,如有问题,则应对相关的防护区进行一次模拟喷气试验。</w:t>
            </w:r>
          </w:p>
        </w:tc>
      </w:tr>
      <w:tr w14:paraId="45C4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3" w:type="dxa"/>
          </w:tcPr>
          <w:p w14:paraId="1D4E853D">
            <w:pPr>
              <w:pStyle w:val="5"/>
              <w:keepNext w:val="0"/>
              <w:keepLines w:val="0"/>
              <w:pageBreakBefore w:val="0"/>
              <w:kinsoku/>
              <w:wordWrap/>
              <w:overflowPunct/>
              <w:topLinePunct w:val="0"/>
              <w:bidi w:val="0"/>
              <w:snapToGrid/>
              <w:spacing w:after="0" w:line="400" w:lineRule="exact"/>
              <w:jc w:val="both"/>
              <w:textAlignment w:val="auto"/>
              <w:rPr>
                <w:rFonts w:hint="default"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11</w:t>
            </w:r>
          </w:p>
        </w:tc>
        <w:tc>
          <w:tcPr>
            <w:tcW w:w="1177" w:type="dxa"/>
          </w:tcPr>
          <w:p w14:paraId="2880182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防火分隔系统</w:t>
            </w:r>
          </w:p>
        </w:tc>
        <w:tc>
          <w:tcPr>
            <w:tcW w:w="7963" w:type="dxa"/>
          </w:tcPr>
          <w:p w14:paraId="0DBD88A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1、每月通过检查防火门、防火卷帘门的手动/自动启闭功能，确保所有防火分隔设备处于正常启闭状态及其下方和周围无影响其正常启闭的障碍物，同时通过检查其附件外观，确保所有附件的正常完好，</w:t>
            </w:r>
          </w:p>
          <w:p w14:paraId="4E069BF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2、每月通过测试防火卷帘门启闭功能，同时确保所有防火卷帘门的限位功能正常运行，同时限位满足防火分隔密度要求。</w:t>
            </w:r>
          </w:p>
          <w:p w14:paraId="2BE58B5B">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3、每月检查防火门数量不少于总数量的25%。</w:t>
            </w:r>
          </w:p>
          <w:p w14:paraId="28B05BE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4、每季度检查和维护下列部件：</w:t>
            </w:r>
          </w:p>
          <w:p w14:paraId="3DAA461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（1）试验自动方式启动防火卷帘门的运行情况。</w:t>
            </w:r>
          </w:p>
          <w:p w14:paraId="60801135">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（2）用手动按钮启动防火卷帘门的运行情况。</w:t>
            </w:r>
          </w:p>
          <w:p w14:paraId="2419FFC3">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（3）通过上黄油和除锈防腐剂对防火卷帘门传动齿轮、链条等进行润滑等检查维护。</w:t>
            </w:r>
          </w:p>
          <w:p w14:paraId="6F06566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（4）通过模拟启停对防火卷帘门电机、吊绳、制动机构、挂件的安全等进行定期检查维护。</w:t>
            </w:r>
          </w:p>
          <w:p w14:paraId="6AC54AB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每月通过使用防腐润滑剂和清洁氧化剂对防火卷帘门的卷叶、传动装置、手动控制按钮、控制箱等设备进行专业的维护和清洁保养，保持所有部件的完好、不受腐蚀生锈和控制板不受氧化，确保所有防火卷帘门在准工作状态下均能保持完好和正常运行。</w:t>
            </w:r>
          </w:p>
        </w:tc>
      </w:tr>
      <w:tr w14:paraId="57C4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3" w:type="dxa"/>
          </w:tcPr>
          <w:p w14:paraId="25CFCDF5">
            <w:pPr>
              <w:pStyle w:val="5"/>
              <w:keepNext w:val="0"/>
              <w:keepLines w:val="0"/>
              <w:pageBreakBefore w:val="0"/>
              <w:kinsoku/>
              <w:wordWrap/>
              <w:overflowPunct/>
              <w:topLinePunct w:val="0"/>
              <w:bidi w:val="0"/>
              <w:snapToGrid/>
              <w:spacing w:after="0" w:line="400" w:lineRule="exact"/>
              <w:jc w:val="both"/>
              <w:textAlignment w:val="auto"/>
              <w:rPr>
                <w:rFonts w:hint="default"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12</w:t>
            </w:r>
          </w:p>
        </w:tc>
        <w:tc>
          <w:tcPr>
            <w:tcW w:w="1177" w:type="dxa"/>
          </w:tcPr>
          <w:p w14:paraId="3AE44FB8">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应急照明及疏散指示标志</w:t>
            </w:r>
          </w:p>
        </w:tc>
        <w:tc>
          <w:tcPr>
            <w:tcW w:w="7963" w:type="dxa"/>
          </w:tcPr>
          <w:p w14:paraId="57F7292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1、每月检查应急灯外观、应急灯工作状态、疏散指示标志外观、疏散指示标志工作状态。</w:t>
            </w:r>
          </w:p>
          <w:p w14:paraId="5A365A6B">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2、每月应急照明及疏散指示标志检查数量不少于总数量的25%。</w:t>
            </w:r>
          </w:p>
        </w:tc>
      </w:tr>
      <w:tr w14:paraId="1443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3" w:type="dxa"/>
          </w:tcPr>
          <w:p w14:paraId="429E4C08">
            <w:pPr>
              <w:pStyle w:val="5"/>
              <w:keepNext w:val="0"/>
              <w:keepLines w:val="0"/>
              <w:pageBreakBefore w:val="0"/>
              <w:kinsoku/>
              <w:wordWrap/>
              <w:overflowPunct/>
              <w:topLinePunct w:val="0"/>
              <w:bidi w:val="0"/>
              <w:snapToGrid/>
              <w:spacing w:after="0" w:line="400" w:lineRule="exact"/>
              <w:jc w:val="both"/>
              <w:textAlignment w:val="auto"/>
              <w:rPr>
                <w:rFonts w:hint="default"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13</w:t>
            </w:r>
          </w:p>
        </w:tc>
        <w:tc>
          <w:tcPr>
            <w:tcW w:w="1177" w:type="dxa"/>
          </w:tcPr>
          <w:p w14:paraId="6E5E24E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灭火器</w:t>
            </w:r>
          </w:p>
        </w:tc>
        <w:tc>
          <w:tcPr>
            <w:tcW w:w="7963" w:type="dxa"/>
          </w:tcPr>
          <w:p w14:paraId="43770DA7">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每月检查灭火器型号、压力值和维修期限。检查数量不少于总数量的25%。</w:t>
            </w:r>
          </w:p>
        </w:tc>
      </w:tr>
    </w:tbl>
    <w:p w14:paraId="000C651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p>
    <w:p w14:paraId="60491C93">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cs="宋体"/>
          <w:color w:val="auto"/>
          <w:kern w:val="0"/>
          <w:szCs w:val="21"/>
          <w:lang w:val="en-US" w:eastAsia="zh-CN"/>
        </w:rPr>
        <w:t>二、</w:t>
      </w:r>
      <w:r>
        <w:rPr>
          <w:rFonts w:hint="eastAsia" w:ascii="宋体" w:hAnsi="Times New Roman" w:eastAsia="宋体" w:cs="宋体"/>
          <w:color w:val="auto"/>
          <w:kern w:val="0"/>
          <w:szCs w:val="21"/>
          <w:lang w:val="en-US" w:eastAsia="zh-CN"/>
        </w:rPr>
        <w:t>商务要求</w:t>
      </w:r>
    </w:p>
    <w:p w14:paraId="3D2ABDC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cs="宋体"/>
          <w:color w:val="auto"/>
          <w:kern w:val="0"/>
          <w:szCs w:val="21"/>
          <w:lang w:val="en-US" w:eastAsia="zh-CN"/>
        </w:rPr>
        <w:t>1</w:t>
      </w:r>
      <w:r>
        <w:rPr>
          <w:rFonts w:hint="eastAsia" w:ascii="宋体" w:hAnsi="Times New Roman" w:eastAsia="宋体" w:cs="宋体"/>
          <w:color w:val="auto"/>
          <w:kern w:val="0"/>
          <w:szCs w:val="21"/>
          <w:lang w:val="en-US" w:eastAsia="zh-CN"/>
        </w:rPr>
        <w:t>.维保服务质量及其他：</w:t>
      </w:r>
    </w:p>
    <w:p w14:paraId="274C1226">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（1）投标人保证医院外科楼、后勤楼、内科楼消防设施的正常运行；</w:t>
      </w:r>
    </w:p>
    <w:p w14:paraId="55AC8EC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（2）投标人保证招标人通过年检（检测费用由招标人承担，中标人承办年检手续）；</w:t>
      </w:r>
    </w:p>
    <w:p w14:paraId="4BDFED51">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（3）投标人每月定期对外科楼、后勤楼、内科楼消防设施进行一次检查保养，保养须符合行业安全运行标准；保养完毕后，将保养单交招标人有关部门签字认可。保养任务的完成与否，以保养单为准；</w:t>
      </w:r>
    </w:p>
    <w:p w14:paraId="10C97E6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（4）投标人每月定期来院检查必须先和后勤保障部保卫组联系相关事宜，由后勤保障部保卫组派出和相关人员配合检查，并注意留存工作记录相片。</w:t>
      </w:r>
    </w:p>
    <w:p w14:paraId="4E8BF4A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5）投标人应在投标文件中提供项目人员清单，包括项目负责人、技术负责人、工作人员等，项目负责人具备一级注册消防工程师或以上资格，技术负责人具备四级/中级消防设施操作员（消防设施检测维修保养职业方向）或以上资格；</w:t>
      </w:r>
    </w:p>
    <w:p w14:paraId="78F89329">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（6）投标人应在投标文件中提供项目专用工具单和工具检验报告，保证工具在检验有效期内；</w:t>
      </w:r>
    </w:p>
    <w:p w14:paraId="6B630E0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（7）投标人自行配备工作所需要的工具及设备，保养时设置现场安全警示标志；</w:t>
      </w:r>
    </w:p>
    <w:p w14:paraId="2FB17BCE">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（8）投标人承诺维修材料目录的材料每月有1000元免费更换额度，若超出1000元范围后医院提供维修材料投标人必须免费更换；</w:t>
      </w:r>
    </w:p>
    <w:p w14:paraId="7D755A30">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（9）招标人发生火灾事故时，投标人必须在30分钟内赶到现场，协助保卫科值班人员操作消防设备；</w:t>
      </w:r>
    </w:p>
    <w:p w14:paraId="5BF76EE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（10）</w:t>
      </w:r>
      <w:commentRangeStart w:id="0"/>
      <w:r>
        <w:rPr>
          <w:rFonts w:hint="eastAsia" w:ascii="宋体" w:hAnsi="Times New Roman" w:eastAsia="宋体" w:cs="宋体"/>
          <w:color w:val="auto"/>
          <w:kern w:val="0"/>
          <w:szCs w:val="21"/>
          <w:lang w:val="en-US" w:eastAsia="zh-CN"/>
        </w:rPr>
        <w:t>若发生下列情况之一的，则在结算时按每次扣除维保费用的10%至100%：</w:t>
      </w:r>
      <w:commentRangeEnd w:id="0"/>
      <w:r>
        <w:rPr>
          <w:rFonts w:ascii="宋体" w:hAnsi="Times New Roman" w:eastAsia="宋体" w:cs="宋体"/>
          <w:color w:val="auto"/>
          <w:kern w:val="0"/>
          <w:szCs w:val="21"/>
          <w:lang w:val="en-US" w:eastAsia="zh-CN"/>
        </w:rPr>
        <w:commentReference w:id="0"/>
      </w:r>
    </w:p>
    <w:p w14:paraId="475F9E64">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1）未完成保养任务；</w:t>
      </w:r>
    </w:p>
    <w:p w14:paraId="0F0D6BE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2）消防设施非正常运行或因故障连续停止运行五天以上（特殊情况除外）。</w:t>
      </w:r>
    </w:p>
    <w:p w14:paraId="68DD2A2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（11）招标人有重大活动、重要检查时，投标方需派专门的维修技术人员到达现场，免费提供全程监护服务；</w:t>
      </w:r>
    </w:p>
    <w:p w14:paraId="5D2108ED">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（12）根据招标人实际需要提供消防设施操作的系统培训；</w:t>
      </w:r>
    </w:p>
    <w:p w14:paraId="4AFAD54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 xml:space="preserve">（13）在维保过程中发生的事故由中标人负责，招标人不承担责任。 </w:t>
      </w:r>
    </w:p>
    <w:p w14:paraId="20998A3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cs="宋体"/>
          <w:color w:val="auto"/>
          <w:kern w:val="0"/>
          <w:szCs w:val="21"/>
          <w:lang w:val="en-US" w:eastAsia="zh-CN"/>
        </w:rPr>
        <w:t>2</w:t>
      </w:r>
      <w:r>
        <w:rPr>
          <w:rFonts w:hint="eastAsia" w:ascii="宋体" w:hAnsi="Times New Roman" w:eastAsia="宋体" w:cs="宋体"/>
          <w:color w:val="auto"/>
          <w:kern w:val="0"/>
          <w:szCs w:val="21"/>
          <w:lang w:val="en-US" w:eastAsia="zh-CN"/>
        </w:rPr>
        <w:t>.投标报价</w:t>
      </w:r>
      <w:r>
        <w:rPr>
          <w:rFonts w:hint="eastAsia" w:ascii="宋体" w:cs="宋体"/>
          <w:color w:val="auto"/>
          <w:kern w:val="0"/>
          <w:szCs w:val="21"/>
          <w:lang w:val="en-US" w:eastAsia="zh-CN"/>
        </w:rPr>
        <w:t>：需</w:t>
      </w:r>
      <w:r>
        <w:rPr>
          <w:rFonts w:hint="eastAsia" w:ascii="宋体" w:hAnsi="Times New Roman" w:eastAsia="宋体" w:cs="宋体"/>
          <w:color w:val="auto"/>
          <w:kern w:val="0"/>
          <w:szCs w:val="21"/>
          <w:lang w:val="en-US" w:eastAsia="zh-CN"/>
        </w:rPr>
        <w:t>包含完成项目所需的一切费用。即：设备费、软件费、税费、运输费、装卸费、安装费、调试费、培训费、计量及技术服务费等一切费用。</w:t>
      </w:r>
    </w:p>
    <w:p w14:paraId="76372F92">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cs="宋体"/>
          <w:color w:val="auto"/>
          <w:kern w:val="0"/>
          <w:szCs w:val="21"/>
          <w:lang w:val="en-US" w:eastAsia="zh-CN"/>
        </w:rPr>
        <w:t>3</w:t>
      </w:r>
      <w:r>
        <w:rPr>
          <w:rFonts w:hint="eastAsia" w:ascii="宋体" w:hAnsi="Times New Roman" w:eastAsia="宋体" w:cs="宋体"/>
          <w:color w:val="auto"/>
          <w:kern w:val="0"/>
          <w:szCs w:val="21"/>
          <w:lang w:val="en-US" w:eastAsia="zh-CN"/>
        </w:rPr>
        <w:t>.付款方式：维保费用分二次结算（每半年一次），每次结算合同总金额的二份之一款，合同履约期满后一个月内付清余款（无息）。付款需凭支付期内每月的建筑消防设施维护保养报告和月度《广西壮族自治区桂东人民医院视消防系统维护保养评分表》，无考核表不予支付维保费用，考核不合格的待整改完成后才予支付维保费用。</w:t>
      </w:r>
    </w:p>
    <w:p w14:paraId="6F8AF775">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 xml:space="preserve">（5）项目地点为：广西壮族自治区桂东人民医院 </w:t>
      </w:r>
    </w:p>
    <w:p w14:paraId="01310EEF">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（6）服务期限：1年，具体维保期以合同约定为准。</w:t>
      </w:r>
      <w:bookmarkStart w:id="0" w:name="_GoBack"/>
      <w:bookmarkEnd w:id="0"/>
    </w:p>
    <w:p w14:paraId="03D8451C">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r>
        <w:rPr>
          <w:rFonts w:hint="eastAsia" w:ascii="宋体" w:cs="宋体"/>
          <w:color w:val="auto"/>
          <w:kern w:val="0"/>
          <w:szCs w:val="21"/>
          <w:lang w:val="en-US" w:eastAsia="zh-CN"/>
        </w:rPr>
        <w:t>4.</w:t>
      </w:r>
      <w:r>
        <w:rPr>
          <w:rFonts w:hint="eastAsia" w:ascii="宋体" w:hAnsi="Times New Roman" w:eastAsia="宋体" w:cs="宋体"/>
          <w:color w:val="auto"/>
          <w:kern w:val="0"/>
          <w:szCs w:val="21"/>
          <w:lang w:val="en-US" w:eastAsia="zh-CN"/>
        </w:rPr>
        <w:t>合同签订</w:t>
      </w:r>
      <w:r>
        <w:rPr>
          <w:rFonts w:hint="eastAsia" w:ascii="宋体" w:cs="宋体"/>
          <w:color w:val="auto"/>
          <w:kern w:val="0"/>
          <w:szCs w:val="21"/>
          <w:lang w:val="en-US" w:eastAsia="zh-CN"/>
        </w:rPr>
        <w:t>：</w:t>
      </w:r>
      <w:r>
        <w:rPr>
          <w:rFonts w:hint="eastAsia" w:ascii="宋体" w:hAnsi="Times New Roman" w:eastAsia="宋体" w:cs="宋体"/>
          <w:color w:val="auto"/>
          <w:kern w:val="0"/>
          <w:szCs w:val="21"/>
          <w:lang w:val="en-US" w:eastAsia="zh-CN"/>
        </w:rPr>
        <w:t>采购人和中标人应当自成交通知书发出后</w:t>
      </w:r>
      <w:sdt>
        <w:sdtPr>
          <w:rPr>
            <w:rFonts w:hint="eastAsia" w:ascii="宋体" w:hAnsi="Times New Roman" w:eastAsia="宋体" w:cs="宋体"/>
            <w:color w:val="auto"/>
            <w:kern w:val="0"/>
            <w:szCs w:val="21"/>
            <w:lang w:val="en-US" w:eastAsia="zh-CN"/>
          </w:rPr>
          <w:alias w:val="无特殊情况不建议修改"/>
          <w:tag w:val="无特殊情况不建议修改"/>
          <w:id w:val="-183904816"/>
          <w:placeholder>
            <w:docPart w:val="{f18d53e1-95a1-4f2b-a5dd-3b701aed5120}"/>
          </w:placeholder>
          <w15:color w:val="FF0000"/>
        </w:sdtPr>
        <w:sdtEndPr>
          <w:rPr>
            <w:rFonts w:hint="eastAsia" w:ascii="宋体" w:hAnsi="Times New Roman" w:eastAsia="宋体" w:cs="宋体"/>
            <w:color w:val="auto"/>
            <w:kern w:val="0"/>
            <w:szCs w:val="21"/>
            <w:lang w:val="en-US" w:eastAsia="zh-CN"/>
          </w:rPr>
        </w:sdtEndPr>
        <w:sdtContent>
          <w:r>
            <w:rPr>
              <w:rFonts w:hint="eastAsia" w:ascii="宋体" w:hAnsi="Times New Roman" w:eastAsia="宋体" w:cs="宋体"/>
              <w:color w:val="auto"/>
              <w:kern w:val="0"/>
              <w:szCs w:val="21"/>
              <w:lang w:val="en-US" w:eastAsia="zh-CN"/>
            </w:rPr>
            <w:t>25</w:t>
          </w:r>
        </w:sdtContent>
      </w:sdt>
      <w:r>
        <w:rPr>
          <w:rFonts w:hint="eastAsia" w:ascii="宋体" w:hAnsi="Times New Roman" w:eastAsia="宋体" w:cs="宋体"/>
          <w:color w:val="auto"/>
          <w:kern w:val="0"/>
          <w:szCs w:val="21"/>
          <w:lang w:val="en-US" w:eastAsia="zh-CN"/>
        </w:rPr>
        <w:t>日内签订采购合同。</w:t>
      </w:r>
    </w:p>
    <w:p w14:paraId="7E7A5898">
      <w:pPr>
        <w:pStyle w:val="5"/>
        <w:keepNext w:val="0"/>
        <w:keepLines w:val="0"/>
        <w:pageBreakBefore w:val="0"/>
        <w:kinsoku/>
        <w:wordWrap/>
        <w:overflowPunct/>
        <w:topLinePunct w:val="0"/>
        <w:bidi w:val="0"/>
        <w:snapToGrid/>
        <w:spacing w:after="0" w:line="400" w:lineRule="exact"/>
        <w:jc w:val="both"/>
        <w:textAlignment w:val="auto"/>
        <w:rPr>
          <w:rFonts w:hint="default" w:ascii="宋体" w:hAnsi="Times New Roman" w:eastAsia="宋体" w:cs="宋体"/>
          <w:color w:val="auto"/>
          <w:kern w:val="0"/>
          <w:szCs w:val="21"/>
          <w:lang w:val="en-US" w:eastAsia="zh-CN"/>
        </w:rPr>
      </w:pPr>
      <w:r>
        <w:rPr>
          <w:rFonts w:hint="eastAsia" w:ascii="宋体" w:cs="宋体"/>
          <w:color w:val="auto"/>
          <w:kern w:val="0"/>
          <w:szCs w:val="21"/>
          <w:lang w:val="en-US" w:eastAsia="zh-CN"/>
        </w:rPr>
        <w:t>三、其他</w:t>
      </w:r>
    </w:p>
    <w:p w14:paraId="6BDC4D1C">
      <w:pPr>
        <w:pStyle w:val="5"/>
        <w:keepNext w:val="0"/>
        <w:keepLines w:val="0"/>
        <w:pageBreakBefore w:val="0"/>
        <w:kinsoku/>
        <w:wordWrap/>
        <w:overflowPunct/>
        <w:topLinePunct w:val="0"/>
        <w:bidi w:val="0"/>
        <w:snapToGrid/>
        <w:spacing w:after="0" w:line="400" w:lineRule="exact"/>
        <w:ind w:firstLine="420" w:firstLineChars="200"/>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招标人按照《消防系统维护保养工作质量考核标准》（见附件）每季度对中标人进行考评，如中标人连续3次考核低于60分，招标方可单方面终止合同。</w:t>
      </w:r>
    </w:p>
    <w:p w14:paraId="26FD036C">
      <w:pPr>
        <w:pStyle w:val="5"/>
        <w:keepNext w:val="0"/>
        <w:keepLines w:val="0"/>
        <w:pageBreakBefore w:val="0"/>
        <w:kinsoku/>
        <w:wordWrap/>
        <w:overflowPunct/>
        <w:topLinePunct w:val="0"/>
        <w:bidi w:val="0"/>
        <w:snapToGrid/>
        <w:spacing w:after="0" w:line="400" w:lineRule="exact"/>
        <w:ind w:firstLine="210" w:firstLineChars="100"/>
        <w:jc w:val="both"/>
        <w:textAlignment w:val="auto"/>
        <w:rPr>
          <w:rFonts w:hint="eastAsia"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 xml:space="preserve">附件： </w:t>
      </w:r>
    </w:p>
    <w:p w14:paraId="2B665C69">
      <w:pPr>
        <w:pStyle w:val="5"/>
        <w:keepNext w:val="0"/>
        <w:keepLines w:val="0"/>
        <w:pageBreakBefore w:val="0"/>
        <w:kinsoku/>
        <w:wordWrap/>
        <w:overflowPunct/>
        <w:topLinePunct w:val="0"/>
        <w:bidi w:val="0"/>
        <w:snapToGrid/>
        <w:spacing w:after="0" w:line="400" w:lineRule="exact"/>
        <w:ind w:firstLine="840" w:firstLineChars="400"/>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广西壮族自治区桂东人民医院消防系统维护保养工作质量考核标准</w:t>
      </w:r>
    </w:p>
    <w:p w14:paraId="096BCDE2">
      <w:pPr>
        <w:pStyle w:val="5"/>
        <w:keepNext w:val="0"/>
        <w:keepLines w:val="0"/>
        <w:pageBreakBefore w:val="0"/>
        <w:kinsoku/>
        <w:wordWrap/>
        <w:overflowPunct/>
        <w:topLinePunct w:val="0"/>
        <w:bidi w:val="0"/>
        <w:snapToGrid/>
        <w:spacing w:after="0" w:line="400" w:lineRule="exact"/>
        <w:jc w:val="both"/>
        <w:textAlignment w:val="auto"/>
        <w:rPr>
          <w:rFonts w:ascii="宋体" w:hAnsi="Times New Roman" w:eastAsia="宋体" w:cs="宋体"/>
          <w:color w:val="auto"/>
          <w:kern w:val="0"/>
          <w:szCs w:val="21"/>
          <w:lang w:val="en-US" w:eastAsia="zh-CN"/>
        </w:rPr>
      </w:pPr>
      <w:r>
        <w:rPr>
          <w:rFonts w:hint="eastAsia" w:ascii="宋体" w:hAnsi="Times New Roman" w:eastAsia="宋体" w:cs="宋体"/>
          <w:color w:val="auto"/>
          <w:kern w:val="0"/>
          <w:szCs w:val="21"/>
          <w:lang w:val="en-US" w:eastAsia="zh-CN"/>
        </w:rPr>
        <w:t>每月度根据维护保养计划按《消防系统维护保养评分表》评定工作质量，采用100分制，如中标人的分数为85分以上（含本数），整改完毕经招标人确认后，招标人向其支付全额保养费；分数为75分以上（含本数）—85分以下的，整改完毕经招标人确认后，招标人向其支付当期的保养费的90%；分数在75分以下（不含本数）—65分以上（含本数）的，整改完毕经招标人确认后，招标人向其支付当期的保养费的85%，招标人有权对中标人进行书面警告；分数在65分以下（不含本数）的，招标人有权扣除中标人一个月维保费；中标人连续3次考核低于60分，招标方可单方面终止合同，重新招标。</w:t>
      </w:r>
    </w:p>
    <w:p w14:paraId="5D4D173A">
      <w:pPr>
        <w:pStyle w:val="5"/>
        <w:keepNext w:val="0"/>
        <w:keepLines w:val="0"/>
        <w:pageBreakBefore w:val="0"/>
        <w:kinsoku/>
        <w:wordWrap/>
        <w:overflowPunct/>
        <w:topLinePunct w:val="0"/>
        <w:bidi w:val="0"/>
        <w:snapToGrid/>
        <w:spacing w:after="0" w:line="400" w:lineRule="exact"/>
        <w:jc w:val="both"/>
        <w:textAlignment w:val="auto"/>
        <w:rPr>
          <w:rFonts w:hint="eastAsia" w:ascii="宋体" w:hAnsi="Times New Roman" w:eastAsia="宋体" w:cs="宋体"/>
          <w:color w:val="auto"/>
          <w:kern w:val="0"/>
          <w:szCs w:val="21"/>
          <w:lang w:val="en-US" w:eastAsia="zh-CN"/>
        </w:rPr>
      </w:pPr>
    </w:p>
    <w:p w14:paraId="327A177C">
      <w:pPr>
        <w:pStyle w:val="3"/>
        <w:keepNext w:val="0"/>
        <w:keepLines w:val="0"/>
        <w:pageBreakBefore w:val="0"/>
        <w:kinsoku/>
        <w:wordWrap/>
        <w:overflowPunct/>
        <w:topLinePunct w:val="0"/>
        <w:bidi w:val="0"/>
        <w:snapToGrid/>
        <w:spacing w:line="400" w:lineRule="exact"/>
        <w:jc w:val="both"/>
        <w:textAlignment w:val="auto"/>
        <w:rPr>
          <w:rFonts w:hint="eastAsia"/>
          <w:lang w:val="en-US" w:eastAsia="zh-CN"/>
        </w:rPr>
      </w:pPr>
    </w:p>
    <w:p w14:paraId="1B8D2F20">
      <w:pPr>
        <w:pStyle w:val="3"/>
        <w:keepNext w:val="0"/>
        <w:keepLines w:val="0"/>
        <w:pageBreakBefore w:val="0"/>
        <w:kinsoku/>
        <w:wordWrap/>
        <w:overflowPunct/>
        <w:topLinePunct w:val="0"/>
        <w:bidi w:val="0"/>
        <w:snapToGrid/>
        <w:spacing w:line="400" w:lineRule="exact"/>
        <w:jc w:val="both"/>
        <w:textAlignment w:val="auto"/>
        <w:rPr>
          <w:rFonts w:hint="eastAsia"/>
          <w:lang w:val="en-US" w:eastAsia="zh-CN"/>
        </w:rPr>
      </w:pPr>
    </w:p>
    <w:p w14:paraId="1F5CE23F">
      <w:pPr>
        <w:pStyle w:val="3"/>
        <w:keepNext w:val="0"/>
        <w:keepLines w:val="0"/>
        <w:pageBreakBefore w:val="0"/>
        <w:kinsoku/>
        <w:wordWrap/>
        <w:overflowPunct/>
        <w:topLinePunct w:val="0"/>
        <w:bidi w:val="0"/>
        <w:snapToGrid/>
        <w:spacing w:line="400" w:lineRule="exact"/>
        <w:jc w:val="both"/>
        <w:textAlignment w:val="auto"/>
        <w:rPr>
          <w:rFonts w:hint="eastAsia"/>
          <w:lang w:val="en-US" w:eastAsia="zh-CN"/>
        </w:rPr>
      </w:pPr>
    </w:p>
    <w:p w14:paraId="33A6BAF5">
      <w:pPr>
        <w:pStyle w:val="3"/>
        <w:keepNext w:val="0"/>
        <w:keepLines w:val="0"/>
        <w:pageBreakBefore w:val="0"/>
        <w:kinsoku/>
        <w:wordWrap/>
        <w:overflowPunct/>
        <w:topLinePunct w:val="0"/>
        <w:bidi w:val="0"/>
        <w:snapToGrid/>
        <w:spacing w:line="400" w:lineRule="exact"/>
        <w:jc w:val="both"/>
        <w:textAlignment w:val="auto"/>
        <w:rPr>
          <w:rFonts w:hint="eastAsia"/>
          <w:lang w:val="en-US" w:eastAsia="zh-CN"/>
        </w:rPr>
      </w:pPr>
    </w:p>
    <w:p w14:paraId="603E57B4">
      <w:pPr>
        <w:keepNext w:val="0"/>
        <w:keepLines w:val="0"/>
        <w:pageBreakBefore w:val="0"/>
        <w:kinsoku/>
        <w:wordWrap/>
        <w:overflowPunct/>
        <w:topLinePunct w:val="0"/>
        <w:bidi w:val="0"/>
        <w:snapToGrid/>
        <w:spacing w:line="400" w:lineRule="exact"/>
        <w:ind w:firstLine="904" w:firstLineChars="300"/>
        <w:jc w:val="both"/>
        <w:textAlignment w:val="auto"/>
        <w:rPr>
          <w:rFonts w:hint="eastAsia" w:ascii="Calibri" w:hAnsi="Calibri"/>
          <w:b/>
          <w:sz w:val="30"/>
          <w:szCs w:val="30"/>
        </w:rPr>
      </w:pPr>
      <w:r>
        <w:rPr>
          <w:rFonts w:hint="eastAsia" w:ascii="Calibri" w:hAnsi="Calibri"/>
          <w:b/>
          <w:sz w:val="30"/>
          <w:szCs w:val="30"/>
        </w:rPr>
        <w:t>广西壮族自治区桂东人民医院消防系统维护保养评分表</w:t>
      </w:r>
    </w:p>
    <w:p w14:paraId="21AE7549">
      <w:pPr>
        <w:pStyle w:val="2"/>
        <w:rPr>
          <w:rFonts w:hint="eastAsia"/>
        </w:rPr>
      </w:pPr>
    </w:p>
    <w:p w14:paraId="6F228C73">
      <w:pPr>
        <w:pStyle w:val="2"/>
        <w:ind w:firstLine="6746" w:firstLineChars="2800"/>
        <w:rPr>
          <w:rFonts w:hint="eastAsia" w:ascii="Calibri" w:hAnsi="Calibri"/>
          <w:b/>
          <w:sz w:val="24"/>
          <w:szCs w:val="24"/>
        </w:rPr>
      </w:pPr>
      <w:r>
        <w:rPr>
          <w:rFonts w:hint="eastAsia" w:ascii="Calibri" w:hAnsi="Calibri"/>
          <w:b/>
          <w:sz w:val="24"/>
          <w:szCs w:val="24"/>
          <w:u w:val="single"/>
        </w:rPr>
        <w:t xml:space="preserve">       </w:t>
      </w:r>
      <w:r>
        <w:rPr>
          <w:rFonts w:hint="eastAsia" w:ascii="Calibri" w:hAnsi="Calibri"/>
          <w:b/>
          <w:sz w:val="24"/>
          <w:szCs w:val="24"/>
        </w:rPr>
        <w:t>年</w:t>
      </w:r>
      <w:r>
        <w:rPr>
          <w:rFonts w:hint="eastAsia" w:ascii="Calibri" w:hAnsi="Calibri"/>
          <w:b/>
          <w:sz w:val="24"/>
          <w:szCs w:val="24"/>
          <w:u w:val="single"/>
        </w:rPr>
        <w:t xml:space="preserve">    </w:t>
      </w:r>
      <w:r>
        <w:rPr>
          <w:rFonts w:hint="eastAsia" w:ascii="Calibri" w:hAnsi="Calibri"/>
          <w:b/>
          <w:sz w:val="24"/>
          <w:szCs w:val="24"/>
        </w:rPr>
        <w:t>月</w:t>
      </w:r>
    </w:p>
    <w:p w14:paraId="46E8A991">
      <w:pPr>
        <w:pStyle w:val="2"/>
        <w:ind w:firstLine="6746" w:firstLineChars="2800"/>
        <w:rPr>
          <w:rFonts w:hint="eastAsia" w:ascii="Calibri" w:hAnsi="Calibri"/>
          <w:b/>
          <w:sz w:val="24"/>
          <w:szCs w:val="24"/>
        </w:rPr>
      </w:pPr>
    </w:p>
    <w:tbl>
      <w:tblPr>
        <w:tblStyle w:val="11"/>
        <w:tblW w:w="9633" w:type="dxa"/>
        <w:jc w:val="center"/>
        <w:tblLayout w:type="fixed"/>
        <w:tblCellMar>
          <w:top w:w="0" w:type="dxa"/>
          <w:left w:w="108" w:type="dxa"/>
          <w:bottom w:w="0" w:type="dxa"/>
          <w:right w:w="108" w:type="dxa"/>
        </w:tblCellMar>
      </w:tblPr>
      <w:tblGrid>
        <w:gridCol w:w="822"/>
        <w:gridCol w:w="487"/>
        <w:gridCol w:w="1630"/>
        <w:gridCol w:w="650"/>
        <w:gridCol w:w="3608"/>
        <w:gridCol w:w="659"/>
        <w:gridCol w:w="640"/>
        <w:gridCol w:w="1137"/>
      </w:tblGrid>
      <w:tr w14:paraId="2B4C4B99">
        <w:tblPrEx>
          <w:tblCellMar>
            <w:top w:w="0" w:type="dxa"/>
            <w:left w:w="108" w:type="dxa"/>
            <w:bottom w:w="0" w:type="dxa"/>
            <w:right w:w="108" w:type="dxa"/>
          </w:tblCellMar>
        </w:tblPrEx>
        <w:trPr>
          <w:trHeight w:val="480" w:hRule="atLeast"/>
          <w:jc w:val="center"/>
        </w:trPr>
        <w:tc>
          <w:tcPr>
            <w:tcW w:w="822" w:type="dxa"/>
            <w:tcBorders>
              <w:top w:val="single" w:color="auto" w:sz="4" w:space="0"/>
              <w:left w:val="single" w:color="auto" w:sz="4" w:space="0"/>
              <w:bottom w:val="single" w:color="auto" w:sz="4" w:space="0"/>
              <w:right w:val="single" w:color="auto" w:sz="4" w:space="0"/>
            </w:tcBorders>
            <w:vAlign w:val="center"/>
          </w:tcPr>
          <w:p w14:paraId="1046232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设备</w:t>
            </w:r>
          </w:p>
        </w:tc>
        <w:tc>
          <w:tcPr>
            <w:tcW w:w="2117" w:type="dxa"/>
            <w:gridSpan w:val="2"/>
            <w:tcBorders>
              <w:top w:val="single" w:color="auto" w:sz="4" w:space="0"/>
              <w:left w:val="nil"/>
              <w:bottom w:val="single" w:color="auto" w:sz="4" w:space="0"/>
              <w:right w:val="single" w:color="auto" w:sz="4" w:space="0"/>
            </w:tcBorders>
            <w:vAlign w:val="center"/>
          </w:tcPr>
          <w:p w14:paraId="7A1F7CC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工作内容</w:t>
            </w:r>
          </w:p>
        </w:tc>
        <w:tc>
          <w:tcPr>
            <w:tcW w:w="650" w:type="dxa"/>
            <w:tcBorders>
              <w:top w:val="single" w:color="auto" w:sz="4" w:space="0"/>
              <w:left w:val="nil"/>
              <w:bottom w:val="single" w:color="auto" w:sz="4" w:space="0"/>
              <w:right w:val="single" w:color="auto" w:sz="4" w:space="0"/>
            </w:tcBorders>
            <w:vAlign w:val="center"/>
          </w:tcPr>
          <w:p w14:paraId="6396E083">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序号</w:t>
            </w:r>
          </w:p>
        </w:tc>
        <w:tc>
          <w:tcPr>
            <w:tcW w:w="3608" w:type="dxa"/>
            <w:tcBorders>
              <w:top w:val="single" w:color="auto" w:sz="4" w:space="0"/>
              <w:left w:val="nil"/>
              <w:bottom w:val="single" w:color="auto" w:sz="4" w:space="0"/>
              <w:right w:val="single" w:color="auto" w:sz="4" w:space="0"/>
            </w:tcBorders>
            <w:vAlign w:val="center"/>
          </w:tcPr>
          <w:p w14:paraId="5744374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工作要求</w:t>
            </w:r>
          </w:p>
        </w:tc>
        <w:tc>
          <w:tcPr>
            <w:tcW w:w="659" w:type="dxa"/>
            <w:tcBorders>
              <w:top w:val="single" w:color="auto" w:sz="4" w:space="0"/>
              <w:left w:val="nil"/>
              <w:bottom w:val="single" w:color="auto" w:sz="4" w:space="0"/>
              <w:right w:val="single" w:color="auto" w:sz="4" w:space="0"/>
            </w:tcBorders>
            <w:vAlign w:val="center"/>
          </w:tcPr>
          <w:p w14:paraId="370A214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占分</w:t>
            </w:r>
          </w:p>
        </w:tc>
        <w:tc>
          <w:tcPr>
            <w:tcW w:w="640" w:type="dxa"/>
            <w:tcBorders>
              <w:top w:val="single" w:color="auto" w:sz="4" w:space="0"/>
              <w:left w:val="nil"/>
              <w:bottom w:val="single" w:color="auto" w:sz="4" w:space="0"/>
              <w:right w:val="single" w:color="auto" w:sz="4" w:space="0"/>
            </w:tcBorders>
            <w:vAlign w:val="center"/>
          </w:tcPr>
          <w:p w14:paraId="424CF02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扣分情况</w:t>
            </w:r>
          </w:p>
        </w:tc>
        <w:tc>
          <w:tcPr>
            <w:tcW w:w="1137" w:type="dxa"/>
            <w:tcBorders>
              <w:top w:val="single" w:color="auto" w:sz="4" w:space="0"/>
              <w:left w:val="nil"/>
              <w:bottom w:val="single" w:color="auto" w:sz="4" w:space="0"/>
              <w:right w:val="single" w:color="auto" w:sz="4" w:space="0"/>
            </w:tcBorders>
            <w:vAlign w:val="center"/>
          </w:tcPr>
          <w:p w14:paraId="4CA99C4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备注</w:t>
            </w:r>
          </w:p>
        </w:tc>
      </w:tr>
      <w:tr w14:paraId="6F493E5F">
        <w:tblPrEx>
          <w:tblCellMar>
            <w:top w:w="0" w:type="dxa"/>
            <w:left w:w="108" w:type="dxa"/>
            <w:bottom w:w="0" w:type="dxa"/>
            <w:right w:w="108" w:type="dxa"/>
          </w:tblCellMar>
        </w:tblPrEx>
        <w:trPr>
          <w:trHeight w:val="408" w:hRule="atLeast"/>
          <w:jc w:val="center"/>
        </w:trPr>
        <w:tc>
          <w:tcPr>
            <w:tcW w:w="822" w:type="dxa"/>
            <w:vMerge w:val="restart"/>
            <w:tcBorders>
              <w:top w:val="nil"/>
              <w:left w:val="single" w:color="auto" w:sz="4" w:space="0"/>
              <w:right w:val="single" w:color="auto" w:sz="4" w:space="0"/>
            </w:tcBorders>
            <w:vAlign w:val="center"/>
          </w:tcPr>
          <w:p w14:paraId="2B373A4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消防供电配电</w:t>
            </w:r>
          </w:p>
        </w:tc>
        <w:tc>
          <w:tcPr>
            <w:tcW w:w="2117" w:type="dxa"/>
            <w:gridSpan w:val="2"/>
            <w:tcBorders>
              <w:top w:val="nil"/>
              <w:left w:val="single" w:color="auto" w:sz="4" w:space="0"/>
              <w:bottom w:val="single" w:color="auto" w:sz="4" w:space="0"/>
              <w:right w:val="single" w:color="auto" w:sz="4" w:space="0"/>
            </w:tcBorders>
            <w:vAlign w:val="center"/>
          </w:tcPr>
          <w:p w14:paraId="7E31C7E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消防配电</w:t>
            </w:r>
          </w:p>
        </w:tc>
        <w:tc>
          <w:tcPr>
            <w:tcW w:w="650" w:type="dxa"/>
            <w:tcBorders>
              <w:top w:val="nil"/>
              <w:left w:val="nil"/>
              <w:bottom w:val="single" w:color="auto" w:sz="4" w:space="0"/>
              <w:right w:val="single" w:color="auto" w:sz="4" w:space="0"/>
            </w:tcBorders>
            <w:vAlign w:val="center"/>
          </w:tcPr>
          <w:p w14:paraId="4F43D1D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w:t>
            </w:r>
          </w:p>
        </w:tc>
        <w:tc>
          <w:tcPr>
            <w:tcW w:w="3608" w:type="dxa"/>
            <w:tcBorders>
              <w:top w:val="nil"/>
              <w:left w:val="nil"/>
              <w:bottom w:val="single" w:color="auto" w:sz="4" w:space="0"/>
              <w:right w:val="single" w:color="auto" w:sz="4" w:space="0"/>
            </w:tcBorders>
            <w:vAlign w:val="center"/>
          </w:tcPr>
          <w:p w14:paraId="26AD943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试验主、备电切换功能</w:t>
            </w:r>
          </w:p>
        </w:tc>
        <w:tc>
          <w:tcPr>
            <w:tcW w:w="659" w:type="dxa"/>
            <w:tcBorders>
              <w:top w:val="nil"/>
              <w:left w:val="nil"/>
              <w:bottom w:val="single" w:color="auto" w:sz="4" w:space="0"/>
              <w:right w:val="single" w:color="auto" w:sz="4" w:space="0"/>
            </w:tcBorders>
            <w:vAlign w:val="center"/>
          </w:tcPr>
          <w:p w14:paraId="78A119F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315C7F0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5F0579E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0E56E2FA">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right w:val="single" w:color="auto" w:sz="4" w:space="0"/>
            </w:tcBorders>
            <w:vAlign w:val="center"/>
          </w:tcPr>
          <w:p w14:paraId="2259256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3179112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自备发电机</w:t>
            </w:r>
          </w:p>
        </w:tc>
        <w:tc>
          <w:tcPr>
            <w:tcW w:w="650" w:type="dxa"/>
            <w:tcBorders>
              <w:top w:val="nil"/>
              <w:left w:val="nil"/>
              <w:bottom w:val="single" w:color="auto" w:sz="4" w:space="0"/>
              <w:right w:val="single" w:color="auto" w:sz="4" w:space="0"/>
            </w:tcBorders>
            <w:vAlign w:val="center"/>
          </w:tcPr>
          <w:p w14:paraId="1C431FF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3608" w:type="dxa"/>
            <w:tcBorders>
              <w:top w:val="nil"/>
              <w:left w:val="nil"/>
              <w:bottom w:val="single" w:color="auto" w:sz="4" w:space="0"/>
              <w:right w:val="single" w:color="auto" w:sz="4" w:space="0"/>
            </w:tcBorders>
            <w:vAlign w:val="center"/>
          </w:tcPr>
          <w:p w14:paraId="3BB60AD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试验启动发电机组</w:t>
            </w:r>
          </w:p>
        </w:tc>
        <w:tc>
          <w:tcPr>
            <w:tcW w:w="659" w:type="dxa"/>
            <w:tcBorders>
              <w:top w:val="nil"/>
              <w:left w:val="nil"/>
              <w:bottom w:val="single" w:color="auto" w:sz="4" w:space="0"/>
              <w:right w:val="single" w:color="auto" w:sz="4" w:space="0"/>
            </w:tcBorders>
            <w:vAlign w:val="center"/>
          </w:tcPr>
          <w:p w14:paraId="7163884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1C79BE8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53DCA04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4FF35E27">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bottom w:val="single" w:color="auto" w:sz="4" w:space="0"/>
              <w:right w:val="single" w:color="auto" w:sz="4" w:space="0"/>
            </w:tcBorders>
            <w:vAlign w:val="center"/>
          </w:tcPr>
          <w:p w14:paraId="47BD779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000D988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储油设施</w:t>
            </w:r>
          </w:p>
        </w:tc>
        <w:tc>
          <w:tcPr>
            <w:tcW w:w="650" w:type="dxa"/>
            <w:tcBorders>
              <w:top w:val="nil"/>
              <w:left w:val="nil"/>
              <w:bottom w:val="single" w:color="auto" w:sz="4" w:space="0"/>
              <w:right w:val="single" w:color="auto" w:sz="4" w:space="0"/>
            </w:tcBorders>
            <w:vAlign w:val="center"/>
          </w:tcPr>
          <w:p w14:paraId="4A798F2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3608" w:type="dxa"/>
            <w:tcBorders>
              <w:top w:val="nil"/>
              <w:left w:val="nil"/>
              <w:bottom w:val="single" w:color="auto" w:sz="4" w:space="0"/>
              <w:right w:val="single" w:color="auto" w:sz="4" w:space="0"/>
            </w:tcBorders>
            <w:vAlign w:val="center"/>
          </w:tcPr>
          <w:p w14:paraId="0072424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核对储油量</w:t>
            </w:r>
          </w:p>
        </w:tc>
        <w:tc>
          <w:tcPr>
            <w:tcW w:w="659" w:type="dxa"/>
            <w:tcBorders>
              <w:top w:val="nil"/>
              <w:left w:val="nil"/>
              <w:bottom w:val="single" w:color="auto" w:sz="4" w:space="0"/>
              <w:right w:val="single" w:color="auto" w:sz="4" w:space="0"/>
            </w:tcBorders>
            <w:vAlign w:val="center"/>
          </w:tcPr>
          <w:p w14:paraId="0634869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69B58D6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3B1A369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78F47D63">
        <w:tblPrEx>
          <w:tblCellMar>
            <w:top w:w="0" w:type="dxa"/>
            <w:left w:w="108" w:type="dxa"/>
            <w:bottom w:w="0" w:type="dxa"/>
            <w:right w:w="108" w:type="dxa"/>
          </w:tblCellMar>
        </w:tblPrEx>
        <w:trPr>
          <w:trHeight w:val="408" w:hRule="atLeast"/>
          <w:jc w:val="center"/>
        </w:trPr>
        <w:tc>
          <w:tcPr>
            <w:tcW w:w="822" w:type="dxa"/>
            <w:vMerge w:val="restart"/>
            <w:tcBorders>
              <w:top w:val="nil"/>
              <w:left w:val="single" w:color="auto" w:sz="4" w:space="0"/>
              <w:right w:val="single" w:color="auto" w:sz="4" w:space="0"/>
            </w:tcBorders>
            <w:vAlign w:val="center"/>
          </w:tcPr>
          <w:p w14:paraId="1788034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火灾自动报警系 统</w:t>
            </w:r>
          </w:p>
        </w:tc>
        <w:tc>
          <w:tcPr>
            <w:tcW w:w="2117" w:type="dxa"/>
            <w:gridSpan w:val="2"/>
            <w:tcBorders>
              <w:top w:val="nil"/>
              <w:left w:val="single" w:color="auto" w:sz="4" w:space="0"/>
              <w:bottom w:val="single" w:color="auto" w:sz="4" w:space="0"/>
              <w:right w:val="single" w:color="auto" w:sz="4" w:space="0"/>
            </w:tcBorders>
            <w:vAlign w:val="center"/>
          </w:tcPr>
          <w:p w14:paraId="07C82D8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火灾报警探测器</w:t>
            </w:r>
          </w:p>
        </w:tc>
        <w:tc>
          <w:tcPr>
            <w:tcW w:w="650" w:type="dxa"/>
            <w:tcBorders>
              <w:top w:val="nil"/>
              <w:left w:val="nil"/>
              <w:bottom w:val="single" w:color="auto" w:sz="4" w:space="0"/>
              <w:right w:val="single" w:color="auto" w:sz="4" w:space="0"/>
            </w:tcBorders>
            <w:vAlign w:val="center"/>
          </w:tcPr>
          <w:p w14:paraId="19680DB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4</w:t>
            </w:r>
          </w:p>
        </w:tc>
        <w:tc>
          <w:tcPr>
            <w:tcW w:w="3608" w:type="dxa"/>
            <w:tcBorders>
              <w:top w:val="nil"/>
              <w:left w:val="nil"/>
              <w:bottom w:val="single" w:color="auto" w:sz="4" w:space="0"/>
              <w:right w:val="single" w:color="auto" w:sz="4" w:space="0"/>
            </w:tcBorders>
            <w:vAlign w:val="center"/>
          </w:tcPr>
          <w:p w14:paraId="1BB4CA2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试验报警功能</w:t>
            </w:r>
          </w:p>
        </w:tc>
        <w:tc>
          <w:tcPr>
            <w:tcW w:w="659" w:type="dxa"/>
            <w:tcBorders>
              <w:top w:val="nil"/>
              <w:left w:val="nil"/>
              <w:bottom w:val="single" w:color="auto" w:sz="4" w:space="0"/>
              <w:right w:val="single" w:color="auto" w:sz="4" w:space="0"/>
            </w:tcBorders>
            <w:vAlign w:val="center"/>
          </w:tcPr>
          <w:p w14:paraId="163EBAE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56A98F6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76DCD78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432B1CEB">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right w:val="single" w:color="auto" w:sz="4" w:space="0"/>
            </w:tcBorders>
            <w:vAlign w:val="center"/>
          </w:tcPr>
          <w:p w14:paraId="472A78F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2AFEA09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手动报警按钮</w:t>
            </w:r>
          </w:p>
        </w:tc>
        <w:tc>
          <w:tcPr>
            <w:tcW w:w="650" w:type="dxa"/>
            <w:tcBorders>
              <w:top w:val="nil"/>
              <w:left w:val="nil"/>
              <w:bottom w:val="single" w:color="auto" w:sz="4" w:space="0"/>
              <w:right w:val="single" w:color="auto" w:sz="4" w:space="0"/>
            </w:tcBorders>
            <w:vAlign w:val="center"/>
          </w:tcPr>
          <w:p w14:paraId="62192FC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5</w:t>
            </w:r>
          </w:p>
        </w:tc>
        <w:tc>
          <w:tcPr>
            <w:tcW w:w="3608" w:type="dxa"/>
            <w:tcBorders>
              <w:top w:val="nil"/>
              <w:left w:val="nil"/>
              <w:bottom w:val="single" w:color="auto" w:sz="4" w:space="0"/>
              <w:right w:val="single" w:color="auto" w:sz="4" w:space="0"/>
            </w:tcBorders>
            <w:vAlign w:val="center"/>
          </w:tcPr>
          <w:p w14:paraId="0F21186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试验报警功能</w:t>
            </w:r>
          </w:p>
        </w:tc>
        <w:tc>
          <w:tcPr>
            <w:tcW w:w="659" w:type="dxa"/>
            <w:tcBorders>
              <w:top w:val="nil"/>
              <w:left w:val="nil"/>
              <w:bottom w:val="single" w:color="auto" w:sz="4" w:space="0"/>
              <w:right w:val="single" w:color="auto" w:sz="4" w:space="0"/>
            </w:tcBorders>
            <w:vAlign w:val="center"/>
          </w:tcPr>
          <w:p w14:paraId="6B84696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11BFC17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7D90F5B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1999513C">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right w:val="single" w:color="auto" w:sz="4" w:space="0"/>
            </w:tcBorders>
            <w:vAlign w:val="center"/>
          </w:tcPr>
          <w:p w14:paraId="4DFC075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6840DD4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警报装置</w:t>
            </w:r>
          </w:p>
        </w:tc>
        <w:tc>
          <w:tcPr>
            <w:tcW w:w="650" w:type="dxa"/>
            <w:tcBorders>
              <w:top w:val="nil"/>
              <w:left w:val="nil"/>
              <w:bottom w:val="single" w:color="auto" w:sz="4" w:space="0"/>
              <w:right w:val="single" w:color="auto" w:sz="4" w:space="0"/>
            </w:tcBorders>
            <w:vAlign w:val="center"/>
          </w:tcPr>
          <w:p w14:paraId="273E5763">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6</w:t>
            </w:r>
          </w:p>
        </w:tc>
        <w:tc>
          <w:tcPr>
            <w:tcW w:w="3608" w:type="dxa"/>
            <w:tcBorders>
              <w:top w:val="nil"/>
              <w:left w:val="nil"/>
              <w:bottom w:val="single" w:color="auto" w:sz="4" w:space="0"/>
              <w:right w:val="single" w:color="auto" w:sz="4" w:space="0"/>
            </w:tcBorders>
            <w:vAlign w:val="center"/>
          </w:tcPr>
          <w:p w14:paraId="29F45A2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试验警报功能</w:t>
            </w:r>
          </w:p>
        </w:tc>
        <w:tc>
          <w:tcPr>
            <w:tcW w:w="659" w:type="dxa"/>
            <w:tcBorders>
              <w:top w:val="nil"/>
              <w:left w:val="nil"/>
              <w:bottom w:val="single" w:color="auto" w:sz="4" w:space="0"/>
              <w:right w:val="single" w:color="auto" w:sz="4" w:space="0"/>
            </w:tcBorders>
            <w:vAlign w:val="center"/>
          </w:tcPr>
          <w:p w14:paraId="38989C4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3A41351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7BE4A0B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398F1CD8">
        <w:tblPrEx>
          <w:tblCellMar>
            <w:top w:w="0" w:type="dxa"/>
            <w:left w:w="108" w:type="dxa"/>
            <w:bottom w:w="0" w:type="dxa"/>
            <w:right w:w="108" w:type="dxa"/>
          </w:tblCellMar>
        </w:tblPrEx>
        <w:trPr>
          <w:trHeight w:val="796" w:hRule="atLeast"/>
          <w:jc w:val="center"/>
        </w:trPr>
        <w:tc>
          <w:tcPr>
            <w:tcW w:w="822" w:type="dxa"/>
            <w:vMerge w:val="continue"/>
            <w:tcBorders>
              <w:left w:val="single" w:color="auto" w:sz="4" w:space="0"/>
              <w:right w:val="single" w:color="auto" w:sz="4" w:space="0"/>
            </w:tcBorders>
            <w:vAlign w:val="center"/>
          </w:tcPr>
          <w:p w14:paraId="7B94F2A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59E1AFD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报警控制器</w:t>
            </w:r>
          </w:p>
        </w:tc>
        <w:tc>
          <w:tcPr>
            <w:tcW w:w="650" w:type="dxa"/>
            <w:tcBorders>
              <w:top w:val="nil"/>
              <w:left w:val="nil"/>
              <w:bottom w:val="single" w:color="auto" w:sz="4" w:space="0"/>
              <w:right w:val="single" w:color="auto" w:sz="4" w:space="0"/>
            </w:tcBorders>
            <w:vAlign w:val="center"/>
          </w:tcPr>
          <w:p w14:paraId="3B99D25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7</w:t>
            </w:r>
          </w:p>
        </w:tc>
        <w:tc>
          <w:tcPr>
            <w:tcW w:w="3608" w:type="dxa"/>
            <w:tcBorders>
              <w:top w:val="nil"/>
              <w:left w:val="nil"/>
              <w:bottom w:val="single" w:color="auto" w:sz="4" w:space="0"/>
              <w:right w:val="single" w:color="auto" w:sz="4" w:space="0"/>
            </w:tcBorders>
            <w:vAlign w:val="center"/>
          </w:tcPr>
          <w:p w14:paraId="7B2D41E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试验报警功能、故障报警功能、火灾优先功能、打印机打印功能、火灾显示盘和CRT显示器的显示功能</w:t>
            </w:r>
          </w:p>
        </w:tc>
        <w:tc>
          <w:tcPr>
            <w:tcW w:w="659" w:type="dxa"/>
            <w:tcBorders>
              <w:top w:val="nil"/>
              <w:left w:val="nil"/>
              <w:bottom w:val="single" w:color="auto" w:sz="4" w:space="0"/>
              <w:right w:val="single" w:color="auto" w:sz="4" w:space="0"/>
            </w:tcBorders>
            <w:vAlign w:val="center"/>
          </w:tcPr>
          <w:p w14:paraId="67B3305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6AB3A14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633B677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15245C89">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bottom w:val="single" w:color="auto" w:sz="4" w:space="0"/>
              <w:right w:val="single" w:color="auto" w:sz="4" w:space="0"/>
            </w:tcBorders>
            <w:vAlign w:val="center"/>
          </w:tcPr>
          <w:p w14:paraId="1BD9120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3AC5CEE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消防联动控制器</w:t>
            </w:r>
          </w:p>
        </w:tc>
        <w:tc>
          <w:tcPr>
            <w:tcW w:w="650" w:type="dxa"/>
            <w:tcBorders>
              <w:top w:val="nil"/>
              <w:left w:val="nil"/>
              <w:bottom w:val="single" w:color="auto" w:sz="4" w:space="0"/>
              <w:right w:val="single" w:color="auto" w:sz="4" w:space="0"/>
            </w:tcBorders>
            <w:vAlign w:val="center"/>
          </w:tcPr>
          <w:p w14:paraId="6AA6E99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8</w:t>
            </w:r>
          </w:p>
        </w:tc>
        <w:tc>
          <w:tcPr>
            <w:tcW w:w="3608" w:type="dxa"/>
            <w:tcBorders>
              <w:top w:val="nil"/>
              <w:left w:val="nil"/>
              <w:bottom w:val="single" w:color="auto" w:sz="4" w:space="0"/>
              <w:right w:val="single" w:color="auto" w:sz="4" w:space="0"/>
            </w:tcBorders>
            <w:vAlign w:val="center"/>
          </w:tcPr>
          <w:p w14:paraId="2DEC16D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试验联动控制和显示功能</w:t>
            </w:r>
          </w:p>
        </w:tc>
        <w:tc>
          <w:tcPr>
            <w:tcW w:w="659" w:type="dxa"/>
            <w:tcBorders>
              <w:top w:val="nil"/>
              <w:left w:val="nil"/>
              <w:bottom w:val="single" w:color="auto" w:sz="4" w:space="0"/>
              <w:right w:val="single" w:color="auto" w:sz="4" w:space="0"/>
            </w:tcBorders>
            <w:vAlign w:val="center"/>
          </w:tcPr>
          <w:p w14:paraId="525C85A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2F20558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0BE2932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08CF34A6">
        <w:tblPrEx>
          <w:tblCellMar>
            <w:top w:w="0" w:type="dxa"/>
            <w:left w:w="108" w:type="dxa"/>
            <w:bottom w:w="0" w:type="dxa"/>
            <w:right w:w="108" w:type="dxa"/>
          </w:tblCellMar>
        </w:tblPrEx>
        <w:trPr>
          <w:trHeight w:val="408" w:hRule="atLeast"/>
          <w:jc w:val="center"/>
        </w:trPr>
        <w:tc>
          <w:tcPr>
            <w:tcW w:w="822" w:type="dxa"/>
            <w:vMerge w:val="restart"/>
            <w:tcBorders>
              <w:top w:val="nil"/>
              <w:left w:val="single" w:color="auto" w:sz="4" w:space="0"/>
              <w:right w:val="single" w:color="auto" w:sz="4" w:space="0"/>
            </w:tcBorders>
            <w:vAlign w:val="center"/>
          </w:tcPr>
          <w:p w14:paraId="50CBE9E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消防供水设施</w:t>
            </w:r>
          </w:p>
        </w:tc>
        <w:tc>
          <w:tcPr>
            <w:tcW w:w="2117" w:type="dxa"/>
            <w:gridSpan w:val="2"/>
            <w:tcBorders>
              <w:top w:val="nil"/>
              <w:left w:val="single" w:color="auto" w:sz="4" w:space="0"/>
              <w:bottom w:val="single" w:color="auto" w:sz="4" w:space="0"/>
              <w:right w:val="single" w:color="auto" w:sz="4" w:space="0"/>
            </w:tcBorders>
            <w:vAlign w:val="center"/>
          </w:tcPr>
          <w:p w14:paraId="1F5A13A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消防水池</w:t>
            </w:r>
          </w:p>
        </w:tc>
        <w:tc>
          <w:tcPr>
            <w:tcW w:w="650" w:type="dxa"/>
            <w:tcBorders>
              <w:top w:val="nil"/>
              <w:left w:val="nil"/>
              <w:bottom w:val="single" w:color="auto" w:sz="4" w:space="0"/>
              <w:right w:val="single" w:color="auto" w:sz="4" w:space="0"/>
            </w:tcBorders>
            <w:vAlign w:val="center"/>
          </w:tcPr>
          <w:p w14:paraId="3027E50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9</w:t>
            </w:r>
          </w:p>
        </w:tc>
        <w:tc>
          <w:tcPr>
            <w:tcW w:w="3608" w:type="dxa"/>
            <w:tcBorders>
              <w:top w:val="nil"/>
              <w:left w:val="nil"/>
              <w:bottom w:val="single" w:color="auto" w:sz="4" w:space="0"/>
              <w:right w:val="single" w:color="auto" w:sz="4" w:space="0"/>
            </w:tcBorders>
            <w:vAlign w:val="center"/>
          </w:tcPr>
          <w:p w14:paraId="165ACD4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核对储水量</w:t>
            </w:r>
          </w:p>
        </w:tc>
        <w:tc>
          <w:tcPr>
            <w:tcW w:w="659" w:type="dxa"/>
            <w:tcBorders>
              <w:top w:val="nil"/>
              <w:left w:val="nil"/>
              <w:bottom w:val="single" w:color="auto" w:sz="4" w:space="0"/>
              <w:right w:val="single" w:color="auto" w:sz="4" w:space="0"/>
            </w:tcBorders>
            <w:vAlign w:val="center"/>
          </w:tcPr>
          <w:p w14:paraId="1E1B264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4BE2E28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6A7EF3B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3C494073">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right w:val="single" w:color="auto" w:sz="4" w:space="0"/>
            </w:tcBorders>
            <w:vAlign w:val="center"/>
          </w:tcPr>
          <w:p w14:paraId="1E3A949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13C3CD0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消防水箱</w:t>
            </w:r>
          </w:p>
        </w:tc>
        <w:tc>
          <w:tcPr>
            <w:tcW w:w="650" w:type="dxa"/>
            <w:tcBorders>
              <w:top w:val="nil"/>
              <w:left w:val="nil"/>
              <w:bottom w:val="single" w:color="auto" w:sz="4" w:space="0"/>
              <w:right w:val="single" w:color="auto" w:sz="4" w:space="0"/>
            </w:tcBorders>
            <w:vAlign w:val="center"/>
          </w:tcPr>
          <w:p w14:paraId="698B837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10</w:t>
            </w:r>
          </w:p>
        </w:tc>
        <w:tc>
          <w:tcPr>
            <w:tcW w:w="3608" w:type="dxa"/>
            <w:tcBorders>
              <w:top w:val="nil"/>
              <w:left w:val="nil"/>
              <w:bottom w:val="single" w:color="auto" w:sz="4" w:space="0"/>
              <w:right w:val="single" w:color="auto" w:sz="4" w:space="0"/>
            </w:tcBorders>
            <w:vAlign w:val="center"/>
          </w:tcPr>
          <w:p w14:paraId="3A8FCDD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核对储水量</w:t>
            </w:r>
          </w:p>
        </w:tc>
        <w:tc>
          <w:tcPr>
            <w:tcW w:w="659" w:type="dxa"/>
            <w:tcBorders>
              <w:top w:val="nil"/>
              <w:left w:val="nil"/>
              <w:bottom w:val="single" w:color="auto" w:sz="4" w:space="0"/>
              <w:right w:val="single" w:color="auto" w:sz="4" w:space="0"/>
            </w:tcBorders>
            <w:vAlign w:val="center"/>
          </w:tcPr>
          <w:p w14:paraId="2356042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302966D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4BC2F2D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755AF8B2">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right w:val="single" w:color="auto" w:sz="4" w:space="0"/>
            </w:tcBorders>
            <w:vAlign w:val="center"/>
          </w:tcPr>
          <w:p w14:paraId="6932D7E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1AD1E28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喷淋水泵</w:t>
            </w:r>
          </w:p>
        </w:tc>
        <w:tc>
          <w:tcPr>
            <w:tcW w:w="650" w:type="dxa"/>
            <w:tcBorders>
              <w:top w:val="nil"/>
              <w:left w:val="nil"/>
              <w:bottom w:val="single" w:color="auto" w:sz="4" w:space="0"/>
              <w:right w:val="single" w:color="auto" w:sz="4" w:space="0"/>
            </w:tcBorders>
            <w:vAlign w:val="center"/>
          </w:tcPr>
          <w:p w14:paraId="500BB70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11</w:t>
            </w:r>
          </w:p>
        </w:tc>
        <w:tc>
          <w:tcPr>
            <w:tcW w:w="3608" w:type="dxa"/>
            <w:tcBorders>
              <w:top w:val="nil"/>
              <w:left w:val="nil"/>
              <w:bottom w:val="single" w:color="auto" w:sz="4" w:space="0"/>
              <w:right w:val="single" w:color="auto" w:sz="4" w:space="0"/>
            </w:tcBorders>
            <w:vAlign w:val="center"/>
          </w:tcPr>
          <w:p w14:paraId="49B90F6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试验启泵和主、备泵切换功能</w:t>
            </w:r>
          </w:p>
        </w:tc>
        <w:tc>
          <w:tcPr>
            <w:tcW w:w="659" w:type="dxa"/>
            <w:tcBorders>
              <w:top w:val="nil"/>
              <w:left w:val="nil"/>
              <w:bottom w:val="single" w:color="auto" w:sz="4" w:space="0"/>
              <w:right w:val="single" w:color="auto" w:sz="4" w:space="0"/>
            </w:tcBorders>
            <w:vAlign w:val="center"/>
          </w:tcPr>
          <w:p w14:paraId="512A2BB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25E4351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7966808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277BBE20">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right w:val="single" w:color="auto" w:sz="4" w:space="0"/>
            </w:tcBorders>
            <w:vAlign w:val="center"/>
          </w:tcPr>
          <w:p w14:paraId="1BA3C82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4A5A6DA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消火栓水泵</w:t>
            </w:r>
          </w:p>
        </w:tc>
        <w:tc>
          <w:tcPr>
            <w:tcW w:w="650" w:type="dxa"/>
            <w:tcBorders>
              <w:top w:val="nil"/>
              <w:left w:val="nil"/>
              <w:bottom w:val="single" w:color="auto" w:sz="4" w:space="0"/>
              <w:right w:val="single" w:color="auto" w:sz="4" w:space="0"/>
            </w:tcBorders>
            <w:vAlign w:val="center"/>
          </w:tcPr>
          <w:p w14:paraId="5D856BB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12</w:t>
            </w:r>
          </w:p>
        </w:tc>
        <w:tc>
          <w:tcPr>
            <w:tcW w:w="3608" w:type="dxa"/>
            <w:tcBorders>
              <w:top w:val="nil"/>
              <w:left w:val="nil"/>
              <w:bottom w:val="single" w:color="auto" w:sz="4" w:space="0"/>
              <w:right w:val="single" w:color="auto" w:sz="4" w:space="0"/>
            </w:tcBorders>
            <w:vAlign w:val="center"/>
          </w:tcPr>
          <w:p w14:paraId="44DEA8C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试验启泵和主、备泵切换功能</w:t>
            </w:r>
          </w:p>
        </w:tc>
        <w:tc>
          <w:tcPr>
            <w:tcW w:w="659" w:type="dxa"/>
            <w:tcBorders>
              <w:top w:val="nil"/>
              <w:left w:val="nil"/>
              <w:bottom w:val="single" w:color="auto" w:sz="4" w:space="0"/>
              <w:right w:val="single" w:color="auto" w:sz="4" w:space="0"/>
            </w:tcBorders>
            <w:vAlign w:val="center"/>
          </w:tcPr>
          <w:p w14:paraId="6BFC5AB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278A161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3696F37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71F6D9BB">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bottom w:val="single" w:color="auto" w:sz="4" w:space="0"/>
              <w:right w:val="single" w:color="auto" w:sz="4" w:space="0"/>
            </w:tcBorders>
            <w:vAlign w:val="center"/>
          </w:tcPr>
          <w:p w14:paraId="09094CE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5D732A4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管网阀门</w:t>
            </w:r>
          </w:p>
        </w:tc>
        <w:tc>
          <w:tcPr>
            <w:tcW w:w="650" w:type="dxa"/>
            <w:tcBorders>
              <w:top w:val="nil"/>
              <w:left w:val="nil"/>
              <w:bottom w:val="single" w:color="auto" w:sz="4" w:space="0"/>
              <w:right w:val="single" w:color="auto" w:sz="4" w:space="0"/>
            </w:tcBorders>
            <w:vAlign w:val="center"/>
          </w:tcPr>
          <w:p w14:paraId="3D8F181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13</w:t>
            </w:r>
          </w:p>
        </w:tc>
        <w:tc>
          <w:tcPr>
            <w:tcW w:w="3608" w:type="dxa"/>
            <w:tcBorders>
              <w:top w:val="nil"/>
              <w:left w:val="nil"/>
              <w:bottom w:val="single" w:color="auto" w:sz="4" w:space="0"/>
              <w:right w:val="single" w:color="auto" w:sz="4" w:space="0"/>
            </w:tcBorders>
            <w:vAlign w:val="center"/>
          </w:tcPr>
          <w:p w14:paraId="4FEAE49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试验管道阀门启闭功能</w:t>
            </w:r>
          </w:p>
        </w:tc>
        <w:tc>
          <w:tcPr>
            <w:tcW w:w="659" w:type="dxa"/>
            <w:tcBorders>
              <w:top w:val="nil"/>
              <w:left w:val="nil"/>
              <w:bottom w:val="single" w:color="auto" w:sz="4" w:space="0"/>
              <w:right w:val="single" w:color="auto" w:sz="4" w:space="0"/>
            </w:tcBorders>
            <w:vAlign w:val="center"/>
          </w:tcPr>
          <w:p w14:paraId="40CB0DC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20F7964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524E430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5F0B5495">
        <w:tblPrEx>
          <w:tblCellMar>
            <w:top w:w="0" w:type="dxa"/>
            <w:left w:w="108" w:type="dxa"/>
            <w:bottom w:w="0" w:type="dxa"/>
            <w:right w:w="108" w:type="dxa"/>
          </w:tblCellMar>
        </w:tblPrEx>
        <w:trPr>
          <w:trHeight w:val="408" w:hRule="atLeast"/>
          <w:jc w:val="center"/>
        </w:trPr>
        <w:tc>
          <w:tcPr>
            <w:tcW w:w="822" w:type="dxa"/>
            <w:vMerge w:val="restart"/>
            <w:tcBorders>
              <w:top w:val="single" w:color="auto" w:sz="4" w:space="0"/>
              <w:left w:val="single" w:color="auto" w:sz="4" w:space="0"/>
              <w:bottom w:val="single" w:color="auto" w:sz="4" w:space="0"/>
              <w:right w:val="single" w:color="auto" w:sz="4" w:space="0"/>
            </w:tcBorders>
            <w:vAlign w:val="center"/>
          </w:tcPr>
          <w:p w14:paraId="68016B7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消火栓灭火系统</w:t>
            </w:r>
          </w:p>
        </w:tc>
        <w:tc>
          <w:tcPr>
            <w:tcW w:w="2117" w:type="dxa"/>
            <w:gridSpan w:val="2"/>
            <w:tcBorders>
              <w:top w:val="nil"/>
              <w:left w:val="single" w:color="auto" w:sz="4" w:space="0"/>
              <w:bottom w:val="single" w:color="auto" w:sz="4" w:space="0"/>
              <w:right w:val="single" w:color="auto" w:sz="4" w:space="0"/>
            </w:tcBorders>
            <w:vAlign w:val="center"/>
          </w:tcPr>
          <w:p w14:paraId="31C4618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室内消火栓</w:t>
            </w:r>
          </w:p>
        </w:tc>
        <w:tc>
          <w:tcPr>
            <w:tcW w:w="650" w:type="dxa"/>
            <w:tcBorders>
              <w:top w:val="nil"/>
              <w:left w:val="nil"/>
              <w:bottom w:val="single" w:color="auto" w:sz="4" w:space="0"/>
              <w:right w:val="single" w:color="auto" w:sz="4" w:space="0"/>
            </w:tcBorders>
            <w:vAlign w:val="center"/>
          </w:tcPr>
          <w:p w14:paraId="318995E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14</w:t>
            </w:r>
          </w:p>
        </w:tc>
        <w:tc>
          <w:tcPr>
            <w:tcW w:w="3608" w:type="dxa"/>
            <w:tcBorders>
              <w:top w:val="nil"/>
              <w:left w:val="nil"/>
              <w:bottom w:val="single" w:color="auto" w:sz="4" w:space="0"/>
              <w:right w:val="single" w:color="auto" w:sz="4" w:space="0"/>
            </w:tcBorders>
            <w:vAlign w:val="center"/>
          </w:tcPr>
          <w:p w14:paraId="058C0DE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试验屋顶消火栓出水和静压</w:t>
            </w:r>
          </w:p>
        </w:tc>
        <w:tc>
          <w:tcPr>
            <w:tcW w:w="659" w:type="dxa"/>
            <w:tcBorders>
              <w:top w:val="nil"/>
              <w:left w:val="nil"/>
              <w:bottom w:val="single" w:color="auto" w:sz="4" w:space="0"/>
              <w:right w:val="single" w:color="auto" w:sz="4" w:space="0"/>
            </w:tcBorders>
            <w:vAlign w:val="center"/>
          </w:tcPr>
          <w:p w14:paraId="06B5B43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45A67AA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7A29BB13">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1F454B7D">
        <w:tblPrEx>
          <w:tblCellMar>
            <w:top w:w="0" w:type="dxa"/>
            <w:left w:w="108" w:type="dxa"/>
            <w:bottom w:w="0" w:type="dxa"/>
            <w:right w:w="108" w:type="dxa"/>
          </w:tblCellMar>
        </w:tblPrEx>
        <w:trPr>
          <w:trHeight w:val="408" w:hRule="atLeast"/>
          <w:jc w:val="center"/>
        </w:trPr>
        <w:tc>
          <w:tcPr>
            <w:tcW w:w="822" w:type="dxa"/>
            <w:vMerge w:val="continue"/>
            <w:tcBorders>
              <w:top w:val="single" w:color="auto" w:sz="4" w:space="0"/>
              <w:left w:val="single" w:color="auto" w:sz="4" w:space="0"/>
              <w:bottom w:val="single" w:color="auto" w:sz="4" w:space="0"/>
              <w:right w:val="single" w:color="auto" w:sz="4" w:space="0"/>
            </w:tcBorders>
            <w:vAlign w:val="center"/>
          </w:tcPr>
          <w:p w14:paraId="30DC327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3F56796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室外消火栓</w:t>
            </w:r>
          </w:p>
        </w:tc>
        <w:tc>
          <w:tcPr>
            <w:tcW w:w="650" w:type="dxa"/>
            <w:tcBorders>
              <w:top w:val="nil"/>
              <w:left w:val="nil"/>
              <w:bottom w:val="single" w:color="auto" w:sz="4" w:space="0"/>
              <w:right w:val="single" w:color="auto" w:sz="4" w:space="0"/>
            </w:tcBorders>
            <w:vAlign w:val="center"/>
          </w:tcPr>
          <w:p w14:paraId="660038C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15</w:t>
            </w:r>
          </w:p>
        </w:tc>
        <w:tc>
          <w:tcPr>
            <w:tcW w:w="3608" w:type="dxa"/>
            <w:tcBorders>
              <w:top w:val="nil"/>
              <w:left w:val="nil"/>
              <w:bottom w:val="single" w:color="auto" w:sz="4" w:space="0"/>
              <w:right w:val="single" w:color="auto" w:sz="4" w:space="0"/>
            </w:tcBorders>
            <w:vAlign w:val="center"/>
          </w:tcPr>
          <w:p w14:paraId="377542C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试验室外消火栓出水和静压</w:t>
            </w:r>
          </w:p>
        </w:tc>
        <w:tc>
          <w:tcPr>
            <w:tcW w:w="659" w:type="dxa"/>
            <w:tcBorders>
              <w:top w:val="nil"/>
              <w:left w:val="nil"/>
              <w:bottom w:val="single" w:color="auto" w:sz="4" w:space="0"/>
              <w:right w:val="single" w:color="auto" w:sz="4" w:space="0"/>
            </w:tcBorders>
            <w:vAlign w:val="center"/>
          </w:tcPr>
          <w:p w14:paraId="31D424E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6C5441C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49CA548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1C6800E8">
        <w:tblPrEx>
          <w:tblCellMar>
            <w:top w:w="0" w:type="dxa"/>
            <w:left w:w="108" w:type="dxa"/>
            <w:bottom w:w="0" w:type="dxa"/>
            <w:right w:w="108" w:type="dxa"/>
          </w:tblCellMar>
        </w:tblPrEx>
        <w:trPr>
          <w:trHeight w:val="408" w:hRule="atLeast"/>
          <w:jc w:val="center"/>
        </w:trPr>
        <w:tc>
          <w:tcPr>
            <w:tcW w:w="822" w:type="dxa"/>
            <w:vMerge w:val="continue"/>
            <w:tcBorders>
              <w:top w:val="single" w:color="auto" w:sz="4" w:space="0"/>
              <w:left w:val="single" w:color="auto" w:sz="4" w:space="0"/>
              <w:bottom w:val="single" w:color="auto" w:sz="4" w:space="0"/>
              <w:right w:val="single" w:color="auto" w:sz="4" w:space="0"/>
            </w:tcBorders>
            <w:vAlign w:val="center"/>
          </w:tcPr>
          <w:p w14:paraId="6A09AAC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547B1B6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启泵按钮</w:t>
            </w:r>
          </w:p>
        </w:tc>
        <w:tc>
          <w:tcPr>
            <w:tcW w:w="650" w:type="dxa"/>
            <w:tcBorders>
              <w:top w:val="nil"/>
              <w:left w:val="nil"/>
              <w:bottom w:val="single" w:color="auto" w:sz="4" w:space="0"/>
              <w:right w:val="single" w:color="auto" w:sz="4" w:space="0"/>
            </w:tcBorders>
            <w:vAlign w:val="center"/>
          </w:tcPr>
          <w:p w14:paraId="5F9C6D7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16</w:t>
            </w:r>
          </w:p>
        </w:tc>
        <w:tc>
          <w:tcPr>
            <w:tcW w:w="3608" w:type="dxa"/>
            <w:tcBorders>
              <w:top w:val="nil"/>
              <w:left w:val="nil"/>
              <w:bottom w:val="single" w:color="auto" w:sz="4" w:space="0"/>
              <w:right w:val="single" w:color="auto" w:sz="4" w:space="0"/>
            </w:tcBorders>
            <w:vAlign w:val="center"/>
          </w:tcPr>
          <w:p w14:paraId="747EDCA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试验远距离启泵功能</w:t>
            </w:r>
          </w:p>
        </w:tc>
        <w:tc>
          <w:tcPr>
            <w:tcW w:w="659" w:type="dxa"/>
            <w:tcBorders>
              <w:top w:val="nil"/>
              <w:left w:val="nil"/>
              <w:bottom w:val="single" w:color="auto" w:sz="4" w:space="0"/>
              <w:right w:val="single" w:color="auto" w:sz="4" w:space="0"/>
            </w:tcBorders>
            <w:vAlign w:val="center"/>
          </w:tcPr>
          <w:p w14:paraId="3AFEE4A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6508B77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7389316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0FCAE35E">
        <w:tblPrEx>
          <w:tblCellMar>
            <w:top w:w="0" w:type="dxa"/>
            <w:left w:w="108" w:type="dxa"/>
            <w:bottom w:w="0" w:type="dxa"/>
            <w:right w:w="108" w:type="dxa"/>
          </w:tblCellMar>
        </w:tblPrEx>
        <w:trPr>
          <w:trHeight w:val="408" w:hRule="atLeast"/>
          <w:jc w:val="center"/>
        </w:trPr>
        <w:tc>
          <w:tcPr>
            <w:tcW w:w="822" w:type="dxa"/>
            <w:vMerge w:val="restart"/>
            <w:tcBorders>
              <w:top w:val="single" w:color="auto" w:sz="4" w:space="0"/>
              <w:left w:val="single" w:color="auto" w:sz="4" w:space="0"/>
              <w:right w:val="single" w:color="auto" w:sz="4" w:space="0"/>
            </w:tcBorders>
            <w:vAlign w:val="center"/>
          </w:tcPr>
          <w:p w14:paraId="184E6D4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自动喷淋灭火</w:t>
            </w:r>
          </w:p>
          <w:p w14:paraId="0F8E7F9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系 统</w:t>
            </w:r>
          </w:p>
        </w:tc>
        <w:tc>
          <w:tcPr>
            <w:tcW w:w="2117" w:type="dxa"/>
            <w:gridSpan w:val="2"/>
            <w:tcBorders>
              <w:top w:val="nil"/>
              <w:left w:val="single" w:color="auto" w:sz="4" w:space="0"/>
              <w:bottom w:val="single" w:color="auto" w:sz="4" w:space="0"/>
              <w:right w:val="single" w:color="auto" w:sz="4" w:space="0"/>
            </w:tcBorders>
            <w:vAlign w:val="center"/>
          </w:tcPr>
          <w:p w14:paraId="2E12C9C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报警阀组</w:t>
            </w:r>
          </w:p>
        </w:tc>
        <w:tc>
          <w:tcPr>
            <w:tcW w:w="650" w:type="dxa"/>
            <w:tcBorders>
              <w:top w:val="nil"/>
              <w:left w:val="nil"/>
              <w:bottom w:val="single" w:color="auto" w:sz="4" w:space="0"/>
              <w:right w:val="single" w:color="auto" w:sz="4" w:space="0"/>
            </w:tcBorders>
            <w:vAlign w:val="center"/>
          </w:tcPr>
          <w:p w14:paraId="7C7FF26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17</w:t>
            </w:r>
          </w:p>
        </w:tc>
        <w:tc>
          <w:tcPr>
            <w:tcW w:w="3608" w:type="dxa"/>
            <w:tcBorders>
              <w:top w:val="nil"/>
              <w:left w:val="nil"/>
              <w:bottom w:val="single" w:color="auto" w:sz="4" w:space="0"/>
              <w:right w:val="single" w:color="auto" w:sz="4" w:space="0"/>
            </w:tcBorders>
            <w:vAlign w:val="center"/>
          </w:tcPr>
          <w:p w14:paraId="35504BD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试验放水阀放水及压力开关动作信号</w:t>
            </w:r>
          </w:p>
        </w:tc>
        <w:tc>
          <w:tcPr>
            <w:tcW w:w="659" w:type="dxa"/>
            <w:tcBorders>
              <w:top w:val="nil"/>
              <w:left w:val="nil"/>
              <w:bottom w:val="single" w:color="auto" w:sz="4" w:space="0"/>
              <w:right w:val="single" w:color="auto" w:sz="4" w:space="0"/>
            </w:tcBorders>
            <w:vAlign w:val="center"/>
          </w:tcPr>
          <w:p w14:paraId="2EFC620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23BC5D9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51CF8A6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7D0AA917">
        <w:tblPrEx>
          <w:tblCellMar>
            <w:top w:w="0" w:type="dxa"/>
            <w:left w:w="108" w:type="dxa"/>
            <w:bottom w:w="0" w:type="dxa"/>
            <w:right w:w="108" w:type="dxa"/>
          </w:tblCellMar>
        </w:tblPrEx>
        <w:trPr>
          <w:trHeight w:val="570" w:hRule="atLeast"/>
          <w:jc w:val="center"/>
        </w:trPr>
        <w:tc>
          <w:tcPr>
            <w:tcW w:w="822" w:type="dxa"/>
            <w:vMerge w:val="continue"/>
            <w:tcBorders>
              <w:left w:val="single" w:color="auto" w:sz="4" w:space="0"/>
              <w:right w:val="single" w:color="auto" w:sz="4" w:space="0"/>
            </w:tcBorders>
            <w:vAlign w:val="center"/>
          </w:tcPr>
          <w:p w14:paraId="57283D2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103D1E0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末端试水装置</w:t>
            </w:r>
          </w:p>
        </w:tc>
        <w:tc>
          <w:tcPr>
            <w:tcW w:w="650" w:type="dxa"/>
            <w:tcBorders>
              <w:top w:val="nil"/>
              <w:left w:val="nil"/>
              <w:bottom w:val="single" w:color="auto" w:sz="4" w:space="0"/>
              <w:right w:val="single" w:color="auto" w:sz="4" w:space="0"/>
            </w:tcBorders>
            <w:vAlign w:val="center"/>
          </w:tcPr>
          <w:p w14:paraId="5238441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18</w:t>
            </w:r>
          </w:p>
        </w:tc>
        <w:tc>
          <w:tcPr>
            <w:tcW w:w="3608" w:type="dxa"/>
            <w:tcBorders>
              <w:top w:val="nil"/>
              <w:left w:val="nil"/>
              <w:bottom w:val="single" w:color="auto" w:sz="4" w:space="0"/>
              <w:right w:val="single" w:color="auto" w:sz="4" w:space="0"/>
            </w:tcBorders>
            <w:vAlign w:val="center"/>
          </w:tcPr>
          <w:p w14:paraId="60D2B19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试验末端放水、工作压力及压力开关动作信号</w:t>
            </w:r>
          </w:p>
        </w:tc>
        <w:tc>
          <w:tcPr>
            <w:tcW w:w="659" w:type="dxa"/>
            <w:tcBorders>
              <w:top w:val="nil"/>
              <w:left w:val="nil"/>
              <w:bottom w:val="single" w:color="auto" w:sz="4" w:space="0"/>
              <w:right w:val="single" w:color="auto" w:sz="4" w:space="0"/>
            </w:tcBorders>
            <w:vAlign w:val="center"/>
          </w:tcPr>
          <w:p w14:paraId="6BF42CA3">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5EADCA5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4754AA7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r>
      <w:tr w14:paraId="6DEC0380">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bottom w:val="single" w:color="auto" w:sz="4" w:space="0"/>
              <w:right w:val="single" w:color="auto" w:sz="4" w:space="0"/>
            </w:tcBorders>
            <w:vAlign w:val="center"/>
          </w:tcPr>
          <w:p w14:paraId="2C76287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22BCD32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水流指示器</w:t>
            </w:r>
          </w:p>
        </w:tc>
        <w:tc>
          <w:tcPr>
            <w:tcW w:w="650" w:type="dxa"/>
            <w:tcBorders>
              <w:top w:val="nil"/>
              <w:left w:val="nil"/>
              <w:bottom w:val="single" w:color="auto" w:sz="4" w:space="0"/>
              <w:right w:val="single" w:color="auto" w:sz="4" w:space="0"/>
            </w:tcBorders>
            <w:vAlign w:val="center"/>
          </w:tcPr>
          <w:p w14:paraId="19A2BEE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19</w:t>
            </w:r>
          </w:p>
        </w:tc>
        <w:tc>
          <w:tcPr>
            <w:tcW w:w="3608" w:type="dxa"/>
            <w:tcBorders>
              <w:top w:val="nil"/>
              <w:left w:val="nil"/>
              <w:bottom w:val="single" w:color="auto" w:sz="4" w:space="0"/>
              <w:right w:val="single" w:color="auto" w:sz="4" w:space="0"/>
            </w:tcBorders>
            <w:vAlign w:val="center"/>
          </w:tcPr>
          <w:p w14:paraId="4E8BE4D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核对反馈信号</w:t>
            </w:r>
          </w:p>
        </w:tc>
        <w:tc>
          <w:tcPr>
            <w:tcW w:w="659" w:type="dxa"/>
            <w:tcBorders>
              <w:top w:val="nil"/>
              <w:left w:val="nil"/>
              <w:bottom w:val="single" w:color="auto" w:sz="4" w:space="0"/>
              <w:right w:val="single" w:color="auto" w:sz="4" w:space="0"/>
            </w:tcBorders>
            <w:vAlign w:val="center"/>
          </w:tcPr>
          <w:p w14:paraId="4245391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2016AE3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1C603693">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r>
      <w:tr w14:paraId="03226098">
        <w:tblPrEx>
          <w:tblCellMar>
            <w:top w:w="0" w:type="dxa"/>
            <w:left w:w="108" w:type="dxa"/>
            <w:bottom w:w="0" w:type="dxa"/>
            <w:right w:w="108" w:type="dxa"/>
          </w:tblCellMar>
        </w:tblPrEx>
        <w:trPr>
          <w:trHeight w:val="408" w:hRule="atLeast"/>
          <w:jc w:val="center"/>
        </w:trPr>
        <w:tc>
          <w:tcPr>
            <w:tcW w:w="822" w:type="dxa"/>
            <w:vMerge w:val="restart"/>
            <w:tcBorders>
              <w:top w:val="single" w:color="auto" w:sz="4" w:space="0"/>
              <w:left w:val="single" w:color="auto" w:sz="4" w:space="0"/>
              <w:right w:val="single" w:color="auto" w:sz="4" w:space="0"/>
            </w:tcBorders>
            <w:vAlign w:val="center"/>
          </w:tcPr>
          <w:p w14:paraId="1E2309C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气体灭火系统</w:t>
            </w:r>
          </w:p>
        </w:tc>
        <w:tc>
          <w:tcPr>
            <w:tcW w:w="2117" w:type="dxa"/>
            <w:gridSpan w:val="2"/>
            <w:tcBorders>
              <w:top w:val="nil"/>
              <w:left w:val="single" w:color="auto" w:sz="4" w:space="0"/>
              <w:bottom w:val="single" w:color="auto" w:sz="4" w:space="0"/>
              <w:right w:val="single" w:color="auto" w:sz="4" w:space="0"/>
            </w:tcBorders>
            <w:vAlign w:val="center"/>
          </w:tcPr>
          <w:p w14:paraId="74E77C4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灭火剂储罐</w:t>
            </w:r>
          </w:p>
        </w:tc>
        <w:tc>
          <w:tcPr>
            <w:tcW w:w="650" w:type="dxa"/>
            <w:tcBorders>
              <w:top w:val="nil"/>
              <w:left w:val="nil"/>
              <w:bottom w:val="single" w:color="auto" w:sz="4" w:space="0"/>
              <w:right w:val="single" w:color="auto" w:sz="4" w:space="0"/>
            </w:tcBorders>
            <w:vAlign w:val="center"/>
          </w:tcPr>
          <w:p w14:paraId="3059630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20</w:t>
            </w:r>
          </w:p>
        </w:tc>
        <w:tc>
          <w:tcPr>
            <w:tcW w:w="3608" w:type="dxa"/>
            <w:tcBorders>
              <w:top w:val="nil"/>
              <w:left w:val="nil"/>
              <w:bottom w:val="single" w:color="auto" w:sz="4" w:space="0"/>
              <w:right w:val="single" w:color="auto" w:sz="4" w:space="0"/>
            </w:tcBorders>
            <w:vAlign w:val="center"/>
          </w:tcPr>
          <w:p w14:paraId="1682B60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核对灭火剂储存量</w:t>
            </w:r>
          </w:p>
        </w:tc>
        <w:tc>
          <w:tcPr>
            <w:tcW w:w="659" w:type="dxa"/>
            <w:tcBorders>
              <w:top w:val="nil"/>
              <w:left w:val="nil"/>
              <w:bottom w:val="single" w:color="auto" w:sz="4" w:space="0"/>
              <w:right w:val="single" w:color="auto" w:sz="4" w:space="0"/>
            </w:tcBorders>
            <w:vAlign w:val="center"/>
          </w:tcPr>
          <w:p w14:paraId="7527628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356ACAB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29B3DB1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r>
      <w:tr w14:paraId="186F011F">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bottom w:val="single" w:color="auto" w:sz="4" w:space="0"/>
              <w:right w:val="single" w:color="auto" w:sz="4" w:space="0"/>
            </w:tcBorders>
            <w:vAlign w:val="center"/>
          </w:tcPr>
          <w:p w14:paraId="73F0D983">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5E0BC2E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气体灭火控制设备</w:t>
            </w:r>
          </w:p>
        </w:tc>
        <w:tc>
          <w:tcPr>
            <w:tcW w:w="650" w:type="dxa"/>
            <w:tcBorders>
              <w:top w:val="nil"/>
              <w:left w:val="nil"/>
              <w:bottom w:val="single" w:color="auto" w:sz="4" w:space="0"/>
              <w:right w:val="single" w:color="auto" w:sz="4" w:space="0"/>
            </w:tcBorders>
            <w:vAlign w:val="center"/>
          </w:tcPr>
          <w:p w14:paraId="27D7617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21</w:t>
            </w:r>
          </w:p>
        </w:tc>
        <w:tc>
          <w:tcPr>
            <w:tcW w:w="3608" w:type="dxa"/>
            <w:tcBorders>
              <w:top w:val="nil"/>
              <w:left w:val="nil"/>
              <w:bottom w:val="single" w:color="auto" w:sz="4" w:space="0"/>
              <w:right w:val="single" w:color="auto" w:sz="4" w:space="0"/>
            </w:tcBorders>
            <w:vAlign w:val="center"/>
          </w:tcPr>
          <w:p w14:paraId="1E75A9E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模拟自动启动，试验切断空调等相关联动</w:t>
            </w:r>
          </w:p>
        </w:tc>
        <w:tc>
          <w:tcPr>
            <w:tcW w:w="659" w:type="dxa"/>
            <w:tcBorders>
              <w:top w:val="nil"/>
              <w:left w:val="nil"/>
              <w:bottom w:val="single" w:color="auto" w:sz="4" w:space="0"/>
              <w:right w:val="single" w:color="auto" w:sz="4" w:space="0"/>
            </w:tcBorders>
            <w:vAlign w:val="center"/>
          </w:tcPr>
          <w:p w14:paraId="440D78AA">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5DBA7575">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6A4D7D7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r>
      <w:tr w14:paraId="10EF3191">
        <w:tblPrEx>
          <w:tblCellMar>
            <w:top w:w="0" w:type="dxa"/>
            <w:left w:w="108" w:type="dxa"/>
            <w:bottom w:w="0" w:type="dxa"/>
            <w:right w:w="108" w:type="dxa"/>
          </w:tblCellMar>
        </w:tblPrEx>
        <w:trPr>
          <w:trHeight w:val="408" w:hRule="atLeast"/>
          <w:jc w:val="center"/>
        </w:trPr>
        <w:tc>
          <w:tcPr>
            <w:tcW w:w="822" w:type="dxa"/>
            <w:vMerge w:val="restart"/>
            <w:tcBorders>
              <w:top w:val="single" w:color="auto" w:sz="4" w:space="0"/>
              <w:left w:val="single" w:color="auto" w:sz="4" w:space="0"/>
              <w:right w:val="single" w:color="auto" w:sz="4" w:space="0"/>
            </w:tcBorders>
            <w:vAlign w:val="center"/>
          </w:tcPr>
          <w:p w14:paraId="0B11AE6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机械加压送风系 统</w:t>
            </w:r>
          </w:p>
        </w:tc>
        <w:tc>
          <w:tcPr>
            <w:tcW w:w="2117" w:type="dxa"/>
            <w:gridSpan w:val="2"/>
            <w:tcBorders>
              <w:top w:val="nil"/>
              <w:left w:val="single" w:color="auto" w:sz="4" w:space="0"/>
              <w:bottom w:val="single" w:color="auto" w:sz="4" w:space="0"/>
              <w:right w:val="single" w:color="auto" w:sz="4" w:space="0"/>
            </w:tcBorders>
            <w:vAlign w:val="center"/>
          </w:tcPr>
          <w:p w14:paraId="0A874C4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送风风机</w:t>
            </w:r>
          </w:p>
        </w:tc>
        <w:tc>
          <w:tcPr>
            <w:tcW w:w="650" w:type="dxa"/>
            <w:tcBorders>
              <w:top w:val="nil"/>
              <w:left w:val="nil"/>
              <w:bottom w:val="single" w:color="auto" w:sz="4" w:space="0"/>
              <w:right w:val="single" w:color="auto" w:sz="4" w:space="0"/>
            </w:tcBorders>
            <w:vAlign w:val="center"/>
          </w:tcPr>
          <w:p w14:paraId="7470BB0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22</w:t>
            </w:r>
          </w:p>
        </w:tc>
        <w:tc>
          <w:tcPr>
            <w:tcW w:w="3608" w:type="dxa"/>
            <w:tcBorders>
              <w:top w:val="nil"/>
              <w:left w:val="nil"/>
              <w:bottom w:val="single" w:color="auto" w:sz="4" w:space="0"/>
              <w:right w:val="single" w:color="auto" w:sz="4" w:space="0"/>
            </w:tcBorders>
            <w:vAlign w:val="center"/>
          </w:tcPr>
          <w:p w14:paraId="6099B4A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试验联动启动风机</w:t>
            </w:r>
          </w:p>
        </w:tc>
        <w:tc>
          <w:tcPr>
            <w:tcW w:w="659" w:type="dxa"/>
            <w:tcBorders>
              <w:top w:val="nil"/>
              <w:left w:val="nil"/>
              <w:bottom w:val="single" w:color="auto" w:sz="4" w:space="0"/>
              <w:right w:val="single" w:color="auto" w:sz="4" w:space="0"/>
            </w:tcBorders>
            <w:vAlign w:val="center"/>
          </w:tcPr>
          <w:p w14:paraId="73B33BAD">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4056E46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3C1FCC5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r>
      <w:tr w14:paraId="723F63DD">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right w:val="single" w:color="auto" w:sz="4" w:space="0"/>
            </w:tcBorders>
            <w:vAlign w:val="center"/>
          </w:tcPr>
          <w:p w14:paraId="63DE9CE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0046FA6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送风口</w:t>
            </w:r>
          </w:p>
        </w:tc>
        <w:tc>
          <w:tcPr>
            <w:tcW w:w="650" w:type="dxa"/>
            <w:tcBorders>
              <w:top w:val="nil"/>
              <w:left w:val="nil"/>
              <w:bottom w:val="single" w:color="auto" w:sz="4" w:space="0"/>
              <w:right w:val="single" w:color="auto" w:sz="4" w:space="0"/>
            </w:tcBorders>
            <w:vAlign w:val="center"/>
          </w:tcPr>
          <w:p w14:paraId="0E5D9AD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23</w:t>
            </w:r>
          </w:p>
        </w:tc>
        <w:tc>
          <w:tcPr>
            <w:tcW w:w="3608" w:type="dxa"/>
            <w:tcBorders>
              <w:top w:val="nil"/>
              <w:left w:val="nil"/>
              <w:bottom w:val="single" w:color="auto" w:sz="4" w:space="0"/>
              <w:right w:val="single" w:color="auto" w:sz="4" w:space="0"/>
            </w:tcBorders>
            <w:vAlign w:val="center"/>
          </w:tcPr>
          <w:p w14:paraId="24E2DD0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核对送风口风速</w:t>
            </w:r>
          </w:p>
        </w:tc>
        <w:tc>
          <w:tcPr>
            <w:tcW w:w="659" w:type="dxa"/>
            <w:tcBorders>
              <w:top w:val="nil"/>
              <w:left w:val="nil"/>
              <w:bottom w:val="single" w:color="auto" w:sz="4" w:space="0"/>
              <w:right w:val="single" w:color="auto" w:sz="4" w:space="0"/>
            </w:tcBorders>
            <w:vAlign w:val="center"/>
          </w:tcPr>
          <w:p w14:paraId="7BC228A6">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24774577">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38729E22">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r>
      <w:tr w14:paraId="5810EC7B">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right w:val="single" w:color="auto" w:sz="4" w:space="0"/>
            </w:tcBorders>
            <w:vAlign w:val="center"/>
          </w:tcPr>
          <w:p w14:paraId="447F90C8">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3CAF268E">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排烟风机</w:t>
            </w:r>
          </w:p>
        </w:tc>
        <w:tc>
          <w:tcPr>
            <w:tcW w:w="650" w:type="dxa"/>
            <w:tcBorders>
              <w:top w:val="nil"/>
              <w:left w:val="nil"/>
              <w:bottom w:val="single" w:color="auto" w:sz="4" w:space="0"/>
              <w:right w:val="single" w:color="auto" w:sz="4" w:space="0"/>
            </w:tcBorders>
            <w:vAlign w:val="center"/>
          </w:tcPr>
          <w:p w14:paraId="2D1AEF81">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24</w:t>
            </w:r>
          </w:p>
        </w:tc>
        <w:tc>
          <w:tcPr>
            <w:tcW w:w="3608" w:type="dxa"/>
            <w:tcBorders>
              <w:top w:val="nil"/>
              <w:left w:val="nil"/>
              <w:bottom w:val="single" w:color="auto" w:sz="4" w:space="0"/>
              <w:right w:val="single" w:color="auto" w:sz="4" w:space="0"/>
            </w:tcBorders>
            <w:vAlign w:val="center"/>
          </w:tcPr>
          <w:p w14:paraId="6B4AFAD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试验联动启动风机</w:t>
            </w:r>
          </w:p>
        </w:tc>
        <w:tc>
          <w:tcPr>
            <w:tcW w:w="659" w:type="dxa"/>
            <w:tcBorders>
              <w:top w:val="nil"/>
              <w:left w:val="nil"/>
              <w:bottom w:val="single" w:color="auto" w:sz="4" w:space="0"/>
              <w:right w:val="single" w:color="auto" w:sz="4" w:space="0"/>
            </w:tcBorders>
            <w:vAlign w:val="center"/>
          </w:tcPr>
          <w:p w14:paraId="273F50C0">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5515FD33">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1466009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r>
      <w:tr w14:paraId="0974B087">
        <w:tblPrEx>
          <w:tblCellMar>
            <w:top w:w="0" w:type="dxa"/>
            <w:left w:w="108" w:type="dxa"/>
            <w:bottom w:w="0" w:type="dxa"/>
            <w:right w:w="108" w:type="dxa"/>
          </w:tblCellMar>
        </w:tblPrEx>
        <w:trPr>
          <w:trHeight w:val="408" w:hRule="atLeast"/>
          <w:jc w:val="center"/>
        </w:trPr>
        <w:tc>
          <w:tcPr>
            <w:tcW w:w="822" w:type="dxa"/>
            <w:vMerge w:val="continue"/>
            <w:tcBorders>
              <w:left w:val="single" w:color="auto" w:sz="4" w:space="0"/>
              <w:bottom w:val="single" w:color="auto" w:sz="4" w:space="0"/>
              <w:right w:val="single" w:color="auto" w:sz="4" w:space="0"/>
            </w:tcBorders>
            <w:vAlign w:val="center"/>
          </w:tcPr>
          <w:p w14:paraId="571430A9">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2117" w:type="dxa"/>
            <w:gridSpan w:val="2"/>
            <w:tcBorders>
              <w:top w:val="nil"/>
              <w:left w:val="single" w:color="auto" w:sz="4" w:space="0"/>
              <w:bottom w:val="single" w:color="auto" w:sz="4" w:space="0"/>
              <w:right w:val="single" w:color="auto" w:sz="4" w:space="0"/>
            </w:tcBorders>
            <w:vAlign w:val="center"/>
          </w:tcPr>
          <w:p w14:paraId="1DC36BE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排烟阀</w:t>
            </w:r>
          </w:p>
        </w:tc>
        <w:tc>
          <w:tcPr>
            <w:tcW w:w="650" w:type="dxa"/>
            <w:tcBorders>
              <w:top w:val="nil"/>
              <w:left w:val="nil"/>
              <w:bottom w:val="single" w:color="auto" w:sz="4" w:space="0"/>
              <w:right w:val="single" w:color="auto" w:sz="4" w:space="0"/>
            </w:tcBorders>
            <w:vAlign w:val="center"/>
          </w:tcPr>
          <w:p w14:paraId="1B7A9CAB">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25</w:t>
            </w:r>
          </w:p>
        </w:tc>
        <w:tc>
          <w:tcPr>
            <w:tcW w:w="3608" w:type="dxa"/>
            <w:tcBorders>
              <w:top w:val="nil"/>
              <w:left w:val="nil"/>
              <w:bottom w:val="single" w:color="auto" w:sz="4" w:space="0"/>
              <w:right w:val="single" w:color="auto" w:sz="4" w:space="0"/>
            </w:tcBorders>
            <w:vAlign w:val="center"/>
          </w:tcPr>
          <w:p w14:paraId="3329BD7F">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试验联动启动排烟阀，核对排烟口风速</w:t>
            </w:r>
          </w:p>
        </w:tc>
        <w:tc>
          <w:tcPr>
            <w:tcW w:w="659" w:type="dxa"/>
            <w:tcBorders>
              <w:top w:val="nil"/>
              <w:left w:val="nil"/>
              <w:bottom w:val="single" w:color="auto" w:sz="4" w:space="0"/>
              <w:right w:val="single" w:color="auto" w:sz="4" w:space="0"/>
            </w:tcBorders>
            <w:vAlign w:val="center"/>
          </w:tcPr>
          <w:p w14:paraId="606BCB1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557F827C">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7E908DE4">
            <w:pPr>
              <w:keepNext w:val="0"/>
              <w:keepLines w:val="0"/>
              <w:pageBreakBefore w:val="0"/>
              <w:kinsoku/>
              <w:wordWrap/>
              <w:overflowPunct/>
              <w:topLinePunct w:val="0"/>
              <w:bidi w:val="0"/>
              <w:snapToGrid/>
              <w:spacing w:line="400" w:lineRule="exact"/>
              <w:jc w:val="both"/>
              <w:textAlignment w:val="auto"/>
              <w:rPr>
                <w:rFonts w:hint="eastAsia" w:ascii="宋体" w:hAnsi="Times New Roman" w:eastAsia="宋体" w:cs="宋体"/>
                <w:color w:val="auto"/>
                <w:kern w:val="0"/>
                <w:sz w:val="21"/>
                <w:szCs w:val="21"/>
                <w:lang w:val="en-US" w:eastAsia="zh-CN" w:bidi="ar-SA"/>
              </w:rPr>
            </w:pPr>
          </w:p>
        </w:tc>
      </w:tr>
      <w:tr w14:paraId="0A13FAF5">
        <w:tblPrEx>
          <w:tblCellMar>
            <w:top w:w="0" w:type="dxa"/>
            <w:left w:w="108" w:type="dxa"/>
            <w:bottom w:w="0" w:type="dxa"/>
            <w:right w:w="108" w:type="dxa"/>
          </w:tblCellMar>
        </w:tblPrEx>
        <w:trPr>
          <w:trHeight w:val="408" w:hRule="atLeast"/>
          <w:jc w:val="center"/>
        </w:trPr>
        <w:tc>
          <w:tcPr>
            <w:tcW w:w="822" w:type="dxa"/>
            <w:tcBorders>
              <w:top w:val="single" w:color="auto" w:sz="4" w:space="0"/>
              <w:left w:val="single" w:color="auto" w:sz="4" w:space="0"/>
              <w:bottom w:val="single" w:color="auto" w:sz="4" w:space="0"/>
              <w:right w:val="single" w:color="auto" w:sz="4" w:space="0"/>
            </w:tcBorders>
            <w:vAlign w:val="center"/>
          </w:tcPr>
          <w:p w14:paraId="101F81E6">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设备</w:t>
            </w:r>
          </w:p>
        </w:tc>
        <w:tc>
          <w:tcPr>
            <w:tcW w:w="2117" w:type="dxa"/>
            <w:gridSpan w:val="2"/>
            <w:tcBorders>
              <w:top w:val="single" w:color="auto" w:sz="4" w:space="0"/>
              <w:left w:val="single" w:color="auto" w:sz="4" w:space="0"/>
              <w:bottom w:val="single" w:color="auto" w:sz="4" w:space="0"/>
              <w:right w:val="single" w:color="auto" w:sz="4" w:space="0"/>
            </w:tcBorders>
            <w:vAlign w:val="center"/>
          </w:tcPr>
          <w:p w14:paraId="0F161A9C">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工作内容</w:t>
            </w:r>
          </w:p>
        </w:tc>
        <w:tc>
          <w:tcPr>
            <w:tcW w:w="650" w:type="dxa"/>
            <w:tcBorders>
              <w:top w:val="single" w:color="auto" w:sz="4" w:space="0"/>
              <w:left w:val="nil"/>
              <w:bottom w:val="single" w:color="auto" w:sz="4" w:space="0"/>
              <w:right w:val="single" w:color="auto" w:sz="4" w:space="0"/>
            </w:tcBorders>
            <w:vAlign w:val="center"/>
          </w:tcPr>
          <w:p w14:paraId="49C5ECED">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序号</w:t>
            </w:r>
          </w:p>
        </w:tc>
        <w:tc>
          <w:tcPr>
            <w:tcW w:w="3608" w:type="dxa"/>
            <w:tcBorders>
              <w:top w:val="single" w:color="auto" w:sz="4" w:space="0"/>
              <w:left w:val="nil"/>
              <w:bottom w:val="single" w:color="auto" w:sz="4" w:space="0"/>
              <w:right w:val="single" w:color="auto" w:sz="4" w:space="0"/>
            </w:tcBorders>
            <w:vAlign w:val="center"/>
          </w:tcPr>
          <w:p w14:paraId="7432778A">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工作要求</w:t>
            </w:r>
          </w:p>
        </w:tc>
        <w:tc>
          <w:tcPr>
            <w:tcW w:w="659" w:type="dxa"/>
            <w:tcBorders>
              <w:top w:val="single" w:color="auto" w:sz="4" w:space="0"/>
              <w:left w:val="nil"/>
              <w:bottom w:val="single" w:color="auto" w:sz="4" w:space="0"/>
              <w:right w:val="single" w:color="auto" w:sz="4" w:space="0"/>
            </w:tcBorders>
            <w:vAlign w:val="center"/>
          </w:tcPr>
          <w:p w14:paraId="084128B3">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占分</w:t>
            </w:r>
          </w:p>
        </w:tc>
        <w:tc>
          <w:tcPr>
            <w:tcW w:w="640" w:type="dxa"/>
            <w:tcBorders>
              <w:top w:val="single" w:color="auto" w:sz="4" w:space="0"/>
              <w:left w:val="nil"/>
              <w:bottom w:val="single" w:color="auto" w:sz="4" w:space="0"/>
              <w:right w:val="single" w:color="auto" w:sz="4" w:space="0"/>
            </w:tcBorders>
            <w:vAlign w:val="center"/>
          </w:tcPr>
          <w:p w14:paraId="4BA913F7">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扣分情况</w:t>
            </w:r>
          </w:p>
        </w:tc>
        <w:tc>
          <w:tcPr>
            <w:tcW w:w="1137" w:type="dxa"/>
            <w:tcBorders>
              <w:top w:val="single" w:color="auto" w:sz="4" w:space="0"/>
              <w:left w:val="nil"/>
              <w:bottom w:val="single" w:color="auto" w:sz="4" w:space="0"/>
              <w:right w:val="single" w:color="auto" w:sz="4" w:space="0"/>
            </w:tcBorders>
            <w:vAlign w:val="center"/>
          </w:tcPr>
          <w:p w14:paraId="398E073E">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备注</w:t>
            </w:r>
          </w:p>
        </w:tc>
      </w:tr>
      <w:tr w14:paraId="0D0AC83F">
        <w:tblPrEx>
          <w:tblCellMar>
            <w:top w:w="0" w:type="dxa"/>
            <w:left w:w="108" w:type="dxa"/>
            <w:bottom w:w="0" w:type="dxa"/>
            <w:right w:w="108" w:type="dxa"/>
          </w:tblCellMar>
        </w:tblPrEx>
        <w:trPr>
          <w:trHeight w:val="408" w:hRule="atLeast"/>
          <w:jc w:val="center"/>
        </w:trPr>
        <w:tc>
          <w:tcPr>
            <w:tcW w:w="2939" w:type="dxa"/>
            <w:gridSpan w:val="3"/>
            <w:tcBorders>
              <w:top w:val="single" w:color="auto" w:sz="4" w:space="0"/>
              <w:left w:val="single" w:color="auto" w:sz="4" w:space="0"/>
              <w:bottom w:val="single" w:color="auto" w:sz="4" w:space="0"/>
              <w:right w:val="single" w:color="auto" w:sz="4" w:space="0"/>
            </w:tcBorders>
            <w:vAlign w:val="center"/>
          </w:tcPr>
          <w:p w14:paraId="67EDD966">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应急照明</w:t>
            </w:r>
          </w:p>
        </w:tc>
        <w:tc>
          <w:tcPr>
            <w:tcW w:w="650" w:type="dxa"/>
            <w:tcBorders>
              <w:top w:val="single" w:color="auto" w:sz="4" w:space="0"/>
              <w:left w:val="nil"/>
              <w:bottom w:val="single" w:color="auto" w:sz="4" w:space="0"/>
              <w:right w:val="single" w:color="auto" w:sz="4" w:space="0"/>
            </w:tcBorders>
            <w:vAlign w:val="center"/>
          </w:tcPr>
          <w:p w14:paraId="294799E3">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26</w:t>
            </w:r>
          </w:p>
        </w:tc>
        <w:tc>
          <w:tcPr>
            <w:tcW w:w="3608" w:type="dxa"/>
            <w:tcBorders>
              <w:top w:val="single" w:color="auto" w:sz="4" w:space="0"/>
              <w:left w:val="nil"/>
              <w:bottom w:val="single" w:color="auto" w:sz="4" w:space="0"/>
              <w:right w:val="single" w:color="auto" w:sz="4" w:space="0"/>
            </w:tcBorders>
            <w:vAlign w:val="center"/>
          </w:tcPr>
          <w:p w14:paraId="5A7FBEF6">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试验切断正常供电，测量断电工作时间</w:t>
            </w:r>
          </w:p>
        </w:tc>
        <w:tc>
          <w:tcPr>
            <w:tcW w:w="659" w:type="dxa"/>
            <w:tcBorders>
              <w:top w:val="single" w:color="auto" w:sz="4" w:space="0"/>
              <w:left w:val="nil"/>
              <w:bottom w:val="single" w:color="auto" w:sz="4" w:space="0"/>
              <w:right w:val="single" w:color="auto" w:sz="4" w:space="0"/>
            </w:tcBorders>
            <w:vAlign w:val="center"/>
          </w:tcPr>
          <w:p w14:paraId="22A0100C">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single" w:color="auto" w:sz="4" w:space="0"/>
              <w:left w:val="nil"/>
              <w:bottom w:val="single" w:color="auto" w:sz="4" w:space="0"/>
              <w:right w:val="single" w:color="auto" w:sz="4" w:space="0"/>
            </w:tcBorders>
            <w:vAlign w:val="center"/>
          </w:tcPr>
          <w:p w14:paraId="41E0A9AE">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single" w:color="auto" w:sz="4" w:space="0"/>
              <w:left w:val="nil"/>
              <w:bottom w:val="single" w:color="auto" w:sz="4" w:space="0"/>
              <w:right w:val="single" w:color="auto" w:sz="4" w:space="0"/>
            </w:tcBorders>
            <w:vAlign w:val="center"/>
          </w:tcPr>
          <w:p w14:paraId="01408E0E">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647CC535">
        <w:tblPrEx>
          <w:tblCellMar>
            <w:top w:w="0" w:type="dxa"/>
            <w:left w:w="108" w:type="dxa"/>
            <w:bottom w:w="0" w:type="dxa"/>
            <w:right w:w="108" w:type="dxa"/>
          </w:tblCellMar>
        </w:tblPrEx>
        <w:trPr>
          <w:trHeight w:val="408" w:hRule="atLeast"/>
          <w:jc w:val="center"/>
        </w:trPr>
        <w:tc>
          <w:tcPr>
            <w:tcW w:w="2939" w:type="dxa"/>
            <w:gridSpan w:val="3"/>
            <w:tcBorders>
              <w:left w:val="single" w:color="auto" w:sz="4" w:space="0"/>
              <w:bottom w:val="single" w:color="auto" w:sz="4" w:space="0"/>
              <w:right w:val="single" w:color="auto" w:sz="4" w:space="0"/>
            </w:tcBorders>
            <w:vAlign w:val="center"/>
          </w:tcPr>
          <w:p w14:paraId="2FF76950">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疏散指示标志</w:t>
            </w:r>
          </w:p>
        </w:tc>
        <w:tc>
          <w:tcPr>
            <w:tcW w:w="650" w:type="dxa"/>
            <w:tcBorders>
              <w:top w:val="nil"/>
              <w:left w:val="nil"/>
              <w:bottom w:val="single" w:color="auto" w:sz="4" w:space="0"/>
              <w:right w:val="single" w:color="auto" w:sz="4" w:space="0"/>
            </w:tcBorders>
            <w:vAlign w:val="center"/>
          </w:tcPr>
          <w:p w14:paraId="1BA00BEA">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27</w:t>
            </w:r>
          </w:p>
        </w:tc>
        <w:tc>
          <w:tcPr>
            <w:tcW w:w="3608" w:type="dxa"/>
            <w:tcBorders>
              <w:top w:val="nil"/>
              <w:left w:val="nil"/>
              <w:bottom w:val="single" w:color="auto" w:sz="4" w:space="0"/>
              <w:right w:val="single" w:color="auto" w:sz="4" w:space="0"/>
            </w:tcBorders>
            <w:vAlign w:val="center"/>
          </w:tcPr>
          <w:p w14:paraId="7A5A978F">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试验切断正常供电，测量断电工作时间</w:t>
            </w:r>
          </w:p>
        </w:tc>
        <w:tc>
          <w:tcPr>
            <w:tcW w:w="659" w:type="dxa"/>
            <w:tcBorders>
              <w:top w:val="nil"/>
              <w:left w:val="nil"/>
              <w:bottom w:val="single" w:color="auto" w:sz="4" w:space="0"/>
              <w:right w:val="single" w:color="auto" w:sz="4" w:space="0"/>
            </w:tcBorders>
            <w:vAlign w:val="center"/>
          </w:tcPr>
          <w:p w14:paraId="3E8ADDC4">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06830E38">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7B3A9AB3">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677A9996">
        <w:tblPrEx>
          <w:tblCellMar>
            <w:top w:w="0" w:type="dxa"/>
            <w:left w:w="108" w:type="dxa"/>
            <w:bottom w:w="0" w:type="dxa"/>
            <w:right w:w="108" w:type="dxa"/>
          </w:tblCellMar>
        </w:tblPrEx>
        <w:trPr>
          <w:trHeight w:val="408" w:hRule="atLeast"/>
          <w:jc w:val="center"/>
        </w:trPr>
        <w:tc>
          <w:tcPr>
            <w:tcW w:w="1309" w:type="dxa"/>
            <w:gridSpan w:val="2"/>
            <w:vMerge w:val="restart"/>
            <w:tcBorders>
              <w:left w:val="single" w:color="auto" w:sz="4" w:space="0"/>
              <w:right w:val="single" w:color="auto" w:sz="4" w:space="0"/>
            </w:tcBorders>
            <w:vAlign w:val="center"/>
          </w:tcPr>
          <w:p w14:paraId="7B3B7296">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xml:space="preserve"> 消防通讯系统</w:t>
            </w:r>
          </w:p>
        </w:tc>
        <w:tc>
          <w:tcPr>
            <w:tcW w:w="1630" w:type="dxa"/>
            <w:tcBorders>
              <w:left w:val="single" w:color="auto" w:sz="4" w:space="0"/>
              <w:bottom w:val="single" w:color="auto" w:sz="4" w:space="0"/>
              <w:right w:val="single" w:color="auto" w:sz="4" w:space="0"/>
            </w:tcBorders>
            <w:vAlign w:val="center"/>
          </w:tcPr>
          <w:p w14:paraId="6995C1EF">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扩音器</w:t>
            </w:r>
          </w:p>
        </w:tc>
        <w:tc>
          <w:tcPr>
            <w:tcW w:w="650" w:type="dxa"/>
            <w:tcBorders>
              <w:top w:val="nil"/>
              <w:left w:val="nil"/>
              <w:bottom w:val="single" w:color="auto" w:sz="4" w:space="0"/>
              <w:right w:val="single" w:color="auto" w:sz="4" w:space="0"/>
            </w:tcBorders>
            <w:vAlign w:val="center"/>
          </w:tcPr>
          <w:p w14:paraId="7600C037">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28</w:t>
            </w:r>
          </w:p>
        </w:tc>
        <w:tc>
          <w:tcPr>
            <w:tcW w:w="3608" w:type="dxa"/>
            <w:tcBorders>
              <w:top w:val="nil"/>
              <w:left w:val="nil"/>
              <w:bottom w:val="single" w:color="auto" w:sz="4" w:space="0"/>
              <w:right w:val="single" w:color="auto" w:sz="4" w:space="0"/>
            </w:tcBorders>
            <w:vAlign w:val="center"/>
          </w:tcPr>
          <w:p w14:paraId="250F76AC">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试验联动启动和强制切换功能</w:t>
            </w:r>
          </w:p>
        </w:tc>
        <w:tc>
          <w:tcPr>
            <w:tcW w:w="659" w:type="dxa"/>
            <w:tcBorders>
              <w:top w:val="nil"/>
              <w:left w:val="nil"/>
              <w:bottom w:val="single" w:color="auto" w:sz="4" w:space="0"/>
              <w:right w:val="single" w:color="auto" w:sz="4" w:space="0"/>
            </w:tcBorders>
            <w:vAlign w:val="center"/>
          </w:tcPr>
          <w:p w14:paraId="2E6B54E7">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6961E9A9">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2EC4204A">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6DDE8664">
        <w:tblPrEx>
          <w:tblCellMar>
            <w:top w:w="0" w:type="dxa"/>
            <w:left w:w="108" w:type="dxa"/>
            <w:bottom w:w="0" w:type="dxa"/>
            <w:right w:w="108" w:type="dxa"/>
          </w:tblCellMar>
        </w:tblPrEx>
        <w:trPr>
          <w:trHeight w:val="408" w:hRule="atLeast"/>
          <w:jc w:val="center"/>
        </w:trPr>
        <w:tc>
          <w:tcPr>
            <w:tcW w:w="1309" w:type="dxa"/>
            <w:gridSpan w:val="2"/>
            <w:vMerge w:val="continue"/>
            <w:tcBorders>
              <w:left w:val="single" w:color="auto" w:sz="4" w:space="0"/>
              <w:right w:val="single" w:color="auto" w:sz="4" w:space="0"/>
            </w:tcBorders>
            <w:vAlign w:val="center"/>
          </w:tcPr>
          <w:p w14:paraId="0DCB44F0">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p>
        </w:tc>
        <w:tc>
          <w:tcPr>
            <w:tcW w:w="1630" w:type="dxa"/>
            <w:tcBorders>
              <w:left w:val="single" w:color="auto" w:sz="4" w:space="0"/>
              <w:bottom w:val="single" w:color="auto" w:sz="4" w:space="0"/>
              <w:right w:val="single" w:color="auto" w:sz="4" w:space="0"/>
            </w:tcBorders>
            <w:vAlign w:val="center"/>
          </w:tcPr>
          <w:p w14:paraId="67B970FD">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扬声器</w:t>
            </w:r>
          </w:p>
        </w:tc>
        <w:tc>
          <w:tcPr>
            <w:tcW w:w="650" w:type="dxa"/>
            <w:tcBorders>
              <w:top w:val="nil"/>
              <w:left w:val="nil"/>
              <w:bottom w:val="single" w:color="auto" w:sz="4" w:space="0"/>
              <w:right w:val="single" w:color="auto" w:sz="4" w:space="0"/>
            </w:tcBorders>
            <w:vAlign w:val="center"/>
          </w:tcPr>
          <w:p w14:paraId="39F57871">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29</w:t>
            </w:r>
          </w:p>
        </w:tc>
        <w:tc>
          <w:tcPr>
            <w:tcW w:w="3608" w:type="dxa"/>
            <w:tcBorders>
              <w:top w:val="nil"/>
              <w:left w:val="nil"/>
              <w:bottom w:val="single" w:color="auto" w:sz="4" w:space="0"/>
              <w:right w:val="single" w:color="auto" w:sz="4" w:space="0"/>
            </w:tcBorders>
            <w:vAlign w:val="center"/>
          </w:tcPr>
          <w:p w14:paraId="610CE50F">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测试音量、音质</w:t>
            </w:r>
          </w:p>
        </w:tc>
        <w:tc>
          <w:tcPr>
            <w:tcW w:w="659" w:type="dxa"/>
            <w:tcBorders>
              <w:top w:val="nil"/>
              <w:left w:val="nil"/>
              <w:bottom w:val="single" w:color="auto" w:sz="4" w:space="0"/>
              <w:right w:val="single" w:color="auto" w:sz="4" w:space="0"/>
            </w:tcBorders>
            <w:vAlign w:val="center"/>
          </w:tcPr>
          <w:p w14:paraId="7A2B958A">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0AB62F7F">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7E798387">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42B978BD">
        <w:tblPrEx>
          <w:tblCellMar>
            <w:top w:w="0" w:type="dxa"/>
            <w:left w:w="108" w:type="dxa"/>
            <w:bottom w:w="0" w:type="dxa"/>
            <w:right w:w="108" w:type="dxa"/>
          </w:tblCellMar>
        </w:tblPrEx>
        <w:trPr>
          <w:trHeight w:val="408" w:hRule="atLeast"/>
          <w:jc w:val="center"/>
        </w:trPr>
        <w:tc>
          <w:tcPr>
            <w:tcW w:w="1309" w:type="dxa"/>
            <w:gridSpan w:val="2"/>
            <w:vMerge w:val="continue"/>
            <w:tcBorders>
              <w:left w:val="single" w:color="auto" w:sz="4" w:space="0"/>
              <w:bottom w:val="single" w:color="auto" w:sz="4" w:space="0"/>
              <w:right w:val="single" w:color="auto" w:sz="4" w:space="0"/>
            </w:tcBorders>
            <w:vAlign w:val="center"/>
          </w:tcPr>
          <w:p w14:paraId="772D3383">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p>
        </w:tc>
        <w:tc>
          <w:tcPr>
            <w:tcW w:w="1630" w:type="dxa"/>
            <w:tcBorders>
              <w:left w:val="single" w:color="auto" w:sz="4" w:space="0"/>
              <w:bottom w:val="single" w:color="auto" w:sz="4" w:space="0"/>
              <w:right w:val="single" w:color="auto" w:sz="4" w:space="0"/>
            </w:tcBorders>
            <w:vAlign w:val="center"/>
          </w:tcPr>
          <w:p w14:paraId="35F0CA45">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消防专用电话</w:t>
            </w:r>
          </w:p>
        </w:tc>
        <w:tc>
          <w:tcPr>
            <w:tcW w:w="650" w:type="dxa"/>
            <w:tcBorders>
              <w:top w:val="nil"/>
              <w:left w:val="nil"/>
              <w:bottom w:val="single" w:color="auto" w:sz="4" w:space="0"/>
              <w:right w:val="single" w:color="auto" w:sz="4" w:space="0"/>
            </w:tcBorders>
            <w:vAlign w:val="center"/>
          </w:tcPr>
          <w:p w14:paraId="47FF5343">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30</w:t>
            </w:r>
          </w:p>
        </w:tc>
        <w:tc>
          <w:tcPr>
            <w:tcW w:w="3608" w:type="dxa"/>
            <w:tcBorders>
              <w:top w:val="nil"/>
              <w:left w:val="nil"/>
              <w:bottom w:val="single" w:color="auto" w:sz="4" w:space="0"/>
              <w:right w:val="single" w:color="auto" w:sz="4" w:space="0"/>
            </w:tcBorders>
            <w:vAlign w:val="center"/>
          </w:tcPr>
          <w:p w14:paraId="702BD7F7">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试验通话质量</w:t>
            </w:r>
          </w:p>
        </w:tc>
        <w:tc>
          <w:tcPr>
            <w:tcW w:w="659" w:type="dxa"/>
            <w:tcBorders>
              <w:top w:val="nil"/>
              <w:left w:val="nil"/>
              <w:bottom w:val="single" w:color="auto" w:sz="4" w:space="0"/>
              <w:right w:val="single" w:color="auto" w:sz="4" w:space="0"/>
            </w:tcBorders>
            <w:vAlign w:val="center"/>
          </w:tcPr>
          <w:p w14:paraId="1A707F16">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627CB9C0">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110C6FD7">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407B0E4E">
        <w:tblPrEx>
          <w:tblCellMar>
            <w:top w:w="0" w:type="dxa"/>
            <w:left w:w="108" w:type="dxa"/>
            <w:bottom w:w="0" w:type="dxa"/>
            <w:right w:w="108" w:type="dxa"/>
          </w:tblCellMar>
        </w:tblPrEx>
        <w:trPr>
          <w:trHeight w:val="408" w:hRule="atLeast"/>
          <w:jc w:val="center"/>
        </w:trPr>
        <w:tc>
          <w:tcPr>
            <w:tcW w:w="1309" w:type="dxa"/>
            <w:gridSpan w:val="2"/>
            <w:vMerge w:val="restart"/>
            <w:tcBorders>
              <w:left w:val="single" w:color="auto" w:sz="4" w:space="0"/>
              <w:right w:val="single" w:color="auto" w:sz="4" w:space="0"/>
            </w:tcBorders>
            <w:vAlign w:val="center"/>
          </w:tcPr>
          <w:p w14:paraId="35BCD2D9">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防火</w:t>
            </w:r>
          </w:p>
          <w:p w14:paraId="1A3FBC49">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分隔</w:t>
            </w:r>
          </w:p>
        </w:tc>
        <w:tc>
          <w:tcPr>
            <w:tcW w:w="1630" w:type="dxa"/>
            <w:tcBorders>
              <w:left w:val="single" w:color="auto" w:sz="4" w:space="0"/>
              <w:bottom w:val="single" w:color="auto" w:sz="4" w:space="0"/>
              <w:right w:val="single" w:color="auto" w:sz="4" w:space="0"/>
            </w:tcBorders>
            <w:vAlign w:val="center"/>
          </w:tcPr>
          <w:p w14:paraId="0C4B631F">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防火门</w:t>
            </w:r>
          </w:p>
        </w:tc>
        <w:tc>
          <w:tcPr>
            <w:tcW w:w="650" w:type="dxa"/>
            <w:tcBorders>
              <w:top w:val="nil"/>
              <w:left w:val="nil"/>
              <w:bottom w:val="single" w:color="auto" w:sz="4" w:space="0"/>
              <w:right w:val="single" w:color="auto" w:sz="4" w:space="0"/>
            </w:tcBorders>
            <w:vAlign w:val="center"/>
          </w:tcPr>
          <w:p w14:paraId="3AB9E745">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31</w:t>
            </w:r>
          </w:p>
        </w:tc>
        <w:tc>
          <w:tcPr>
            <w:tcW w:w="3608" w:type="dxa"/>
            <w:tcBorders>
              <w:top w:val="nil"/>
              <w:left w:val="nil"/>
              <w:bottom w:val="single" w:color="auto" w:sz="4" w:space="0"/>
              <w:right w:val="single" w:color="auto" w:sz="4" w:space="0"/>
            </w:tcBorders>
            <w:vAlign w:val="center"/>
          </w:tcPr>
          <w:p w14:paraId="60603312">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试验启闭功能</w:t>
            </w:r>
          </w:p>
        </w:tc>
        <w:tc>
          <w:tcPr>
            <w:tcW w:w="659" w:type="dxa"/>
            <w:tcBorders>
              <w:top w:val="nil"/>
              <w:left w:val="nil"/>
              <w:bottom w:val="single" w:color="auto" w:sz="4" w:space="0"/>
              <w:right w:val="single" w:color="auto" w:sz="4" w:space="0"/>
            </w:tcBorders>
            <w:vAlign w:val="center"/>
          </w:tcPr>
          <w:p w14:paraId="7B81FC1C">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78E44EFE">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61807EA0">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64BAD8FF">
        <w:tblPrEx>
          <w:tblCellMar>
            <w:top w:w="0" w:type="dxa"/>
            <w:left w:w="108" w:type="dxa"/>
            <w:bottom w:w="0" w:type="dxa"/>
            <w:right w:w="108" w:type="dxa"/>
          </w:tblCellMar>
        </w:tblPrEx>
        <w:trPr>
          <w:trHeight w:val="408" w:hRule="atLeast"/>
          <w:jc w:val="center"/>
        </w:trPr>
        <w:tc>
          <w:tcPr>
            <w:tcW w:w="1309" w:type="dxa"/>
            <w:gridSpan w:val="2"/>
            <w:vMerge w:val="continue"/>
            <w:tcBorders>
              <w:left w:val="single" w:color="auto" w:sz="4" w:space="0"/>
              <w:bottom w:val="single" w:color="auto" w:sz="4" w:space="0"/>
              <w:right w:val="single" w:color="auto" w:sz="4" w:space="0"/>
            </w:tcBorders>
            <w:vAlign w:val="center"/>
          </w:tcPr>
          <w:p w14:paraId="1E551A54">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p>
        </w:tc>
        <w:tc>
          <w:tcPr>
            <w:tcW w:w="1630" w:type="dxa"/>
            <w:tcBorders>
              <w:left w:val="single" w:color="auto" w:sz="4" w:space="0"/>
              <w:bottom w:val="single" w:color="auto" w:sz="4" w:space="0"/>
              <w:right w:val="single" w:color="auto" w:sz="4" w:space="0"/>
            </w:tcBorders>
            <w:vAlign w:val="center"/>
          </w:tcPr>
          <w:p w14:paraId="061F6FA0">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防火卷帘</w:t>
            </w:r>
          </w:p>
        </w:tc>
        <w:tc>
          <w:tcPr>
            <w:tcW w:w="650" w:type="dxa"/>
            <w:tcBorders>
              <w:top w:val="nil"/>
              <w:left w:val="nil"/>
              <w:bottom w:val="single" w:color="auto" w:sz="4" w:space="0"/>
              <w:right w:val="single" w:color="auto" w:sz="4" w:space="0"/>
            </w:tcBorders>
            <w:vAlign w:val="center"/>
          </w:tcPr>
          <w:p w14:paraId="6A771D8F">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32</w:t>
            </w:r>
          </w:p>
        </w:tc>
        <w:tc>
          <w:tcPr>
            <w:tcW w:w="3608" w:type="dxa"/>
            <w:tcBorders>
              <w:top w:val="nil"/>
              <w:left w:val="nil"/>
              <w:bottom w:val="single" w:color="auto" w:sz="4" w:space="0"/>
              <w:right w:val="single" w:color="auto" w:sz="4" w:space="0"/>
            </w:tcBorders>
            <w:vAlign w:val="center"/>
          </w:tcPr>
          <w:p w14:paraId="40202B7A">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试验手动、机械应急和自动控制功能</w:t>
            </w:r>
          </w:p>
        </w:tc>
        <w:tc>
          <w:tcPr>
            <w:tcW w:w="659" w:type="dxa"/>
            <w:tcBorders>
              <w:top w:val="nil"/>
              <w:left w:val="nil"/>
              <w:bottom w:val="single" w:color="auto" w:sz="4" w:space="0"/>
              <w:right w:val="single" w:color="auto" w:sz="4" w:space="0"/>
            </w:tcBorders>
            <w:vAlign w:val="center"/>
          </w:tcPr>
          <w:p w14:paraId="4EB331EC">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781F638B">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165B288C">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58BD1691">
        <w:tblPrEx>
          <w:tblCellMar>
            <w:top w:w="0" w:type="dxa"/>
            <w:left w:w="108" w:type="dxa"/>
            <w:bottom w:w="0" w:type="dxa"/>
            <w:right w:w="108" w:type="dxa"/>
          </w:tblCellMar>
        </w:tblPrEx>
        <w:trPr>
          <w:trHeight w:val="408" w:hRule="atLeast"/>
          <w:jc w:val="center"/>
        </w:trPr>
        <w:tc>
          <w:tcPr>
            <w:tcW w:w="1309" w:type="dxa"/>
            <w:gridSpan w:val="2"/>
            <w:tcBorders>
              <w:left w:val="single" w:color="auto" w:sz="4" w:space="0"/>
              <w:bottom w:val="single" w:color="auto" w:sz="4" w:space="0"/>
              <w:right w:val="single" w:color="auto" w:sz="4" w:space="0"/>
            </w:tcBorders>
            <w:vAlign w:val="center"/>
          </w:tcPr>
          <w:p w14:paraId="0BC82BEC">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630" w:type="dxa"/>
            <w:tcBorders>
              <w:left w:val="single" w:color="auto" w:sz="4" w:space="0"/>
              <w:bottom w:val="single" w:color="auto" w:sz="4" w:space="0"/>
              <w:right w:val="single" w:color="auto" w:sz="4" w:space="0"/>
            </w:tcBorders>
            <w:vAlign w:val="center"/>
          </w:tcPr>
          <w:p w14:paraId="37A0FB36">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消防电梯</w:t>
            </w:r>
          </w:p>
        </w:tc>
        <w:tc>
          <w:tcPr>
            <w:tcW w:w="650" w:type="dxa"/>
            <w:tcBorders>
              <w:top w:val="nil"/>
              <w:left w:val="nil"/>
              <w:bottom w:val="single" w:color="auto" w:sz="4" w:space="0"/>
              <w:right w:val="single" w:color="auto" w:sz="4" w:space="0"/>
            </w:tcBorders>
            <w:vAlign w:val="center"/>
          </w:tcPr>
          <w:p w14:paraId="310F716F">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33</w:t>
            </w:r>
          </w:p>
        </w:tc>
        <w:tc>
          <w:tcPr>
            <w:tcW w:w="3608" w:type="dxa"/>
            <w:tcBorders>
              <w:top w:val="nil"/>
              <w:left w:val="nil"/>
              <w:bottom w:val="single" w:color="auto" w:sz="4" w:space="0"/>
              <w:right w:val="single" w:color="auto" w:sz="4" w:space="0"/>
            </w:tcBorders>
            <w:vAlign w:val="center"/>
          </w:tcPr>
          <w:p w14:paraId="664F549A">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试验按钮迫降和联动控制功能</w:t>
            </w:r>
          </w:p>
        </w:tc>
        <w:tc>
          <w:tcPr>
            <w:tcW w:w="659" w:type="dxa"/>
            <w:tcBorders>
              <w:top w:val="nil"/>
              <w:left w:val="nil"/>
              <w:bottom w:val="single" w:color="auto" w:sz="4" w:space="0"/>
              <w:right w:val="single" w:color="auto" w:sz="4" w:space="0"/>
            </w:tcBorders>
            <w:vAlign w:val="center"/>
          </w:tcPr>
          <w:p w14:paraId="0325782A">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59978D45">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6C4EBEB5">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04F916D9">
        <w:tblPrEx>
          <w:tblCellMar>
            <w:top w:w="0" w:type="dxa"/>
            <w:left w:w="108" w:type="dxa"/>
            <w:bottom w:w="0" w:type="dxa"/>
            <w:right w:w="108" w:type="dxa"/>
          </w:tblCellMar>
        </w:tblPrEx>
        <w:trPr>
          <w:trHeight w:val="408" w:hRule="atLeast"/>
          <w:jc w:val="center"/>
        </w:trPr>
        <w:tc>
          <w:tcPr>
            <w:tcW w:w="1309" w:type="dxa"/>
            <w:gridSpan w:val="2"/>
            <w:tcBorders>
              <w:left w:val="single" w:color="auto" w:sz="4" w:space="0"/>
              <w:bottom w:val="single" w:color="auto" w:sz="4" w:space="0"/>
              <w:right w:val="single" w:color="auto" w:sz="4" w:space="0"/>
            </w:tcBorders>
            <w:vAlign w:val="center"/>
          </w:tcPr>
          <w:p w14:paraId="0F5D620D">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630" w:type="dxa"/>
            <w:tcBorders>
              <w:left w:val="single" w:color="auto" w:sz="4" w:space="0"/>
              <w:bottom w:val="single" w:color="auto" w:sz="4" w:space="0"/>
              <w:right w:val="single" w:color="auto" w:sz="4" w:space="0"/>
            </w:tcBorders>
            <w:vAlign w:val="center"/>
          </w:tcPr>
          <w:p w14:paraId="5A75943B">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灭火器</w:t>
            </w:r>
          </w:p>
        </w:tc>
        <w:tc>
          <w:tcPr>
            <w:tcW w:w="650" w:type="dxa"/>
            <w:tcBorders>
              <w:top w:val="nil"/>
              <w:left w:val="nil"/>
              <w:bottom w:val="single" w:color="auto" w:sz="4" w:space="0"/>
              <w:right w:val="single" w:color="auto" w:sz="4" w:space="0"/>
            </w:tcBorders>
            <w:vAlign w:val="center"/>
          </w:tcPr>
          <w:p w14:paraId="5687CEE8">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34</w:t>
            </w:r>
          </w:p>
        </w:tc>
        <w:tc>
          <w:tcPr>
            <w:tcW w:w="3608" w:type="dxa"/>
            <w:tcBorders>
              <w:top w:val="nil"/>
              <w:left w:val="nil"/>
              <w:bottom w:val="single" w:color="auto" w:sz="4" w:space="0"/>
              <w:right w:val="single" w:color="auto" w:sz="4" w:space="0"/>
            </w:tcBorders>
            <w:vAlign w:val="center"/>
          </w:tcPr>
          <w:p w14:paraId="100890A2">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核对选型、压力和有效期</w:t>
            </w:r>
          </w:p>
        </w:tc>
        <w:tc>
          <w:tcPr>
            <w:tcW w:w="659" w:type="dxa"/>
            <w:tcBorders>
              <w:top w:val="nil"/>
              <w:left w:val="nil"/>
              <w:bottom w:val="single" w:color="auto" w:sz="4" w:space="0"/>
              <w:right w:val="single" w:color="auto" w:sz="4" w:space="0"/>
            </w:tcBorders>
            <w:vAlign w:val="center"/>
          </w:tcPr>
          <w:p w14:paraId="6A9C2200">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0EEEB15A">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1137" w:type="dxa"/>
            <w:tcBorders>
              <w:top w:val="nil"/>
              <w:left w:val="nil"/>
              <w:bottom w:val="single" w:color="auto" w:sz="4" w:space="0"/>
              <w:right w:val="single" w:color="auto" w:sz="4" w:space="0"/>
            </w:tcBorders>
            <w:vAlign w:val="center"/>
          </w:tcPr>
          <w:p w14:paraId="7C7A583B">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r>
      <w:tr w14:paraId="3D296690">
        <w:tblPrEx>
          <w:tblCellMar>
            <w:top w:w="0" w:type="dxa"/>
            <w:left w:w="108" w:type="dxa"/>
            <w:bottom w:w="0" w:type="dxa"/>
            <w:right w:w="108" w:type="dxa"/>
          </w:tblCellMar>
        </w:tblPrEx>
        <w:trPr>
          <w:trHeight w:val="408" w:hRule="atLeast"/>
          <w:jc w:val="center"/>
        </w:trPr>
        <w:tc>
          <w:tcPr>
            <w:tcW w:w="822" w:type="dxa"/>
            <w:vMerge w:val="restart"/>
            <w:tcBorders>
              <w:top w:val="nil"/>
              <w:left w:val="single" w:color="auto" w:sz="4" w:space="0"/>
              <w:bottom w:val="single" w:color="auto" w:sz="4" w:space="0"/>
              <w:right w:val="single" w:color="auto" w:sz="4" w:space="0"/>
            </w:tcBorders>
            <w:vAlign w:val="center"/>
          </w:tcPr>
          <w:p w14:paraId="7F69EABF">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合同执行情况</w:t>
            </w:r>
          </w:p>
        </w:tc>
        <w:tc>
          <w:tcPr>
            <w:tcW w:w="6375" w:type="dxa"/>
            <w:gridSpan w:val="4"/>
            <w:tcBorders>
              <w:top w:val="single" w:color="auto" w:sz="4" w:space="0"/>
              <w:left w:val="nil"/>
              <w:bottom w:val="single" w:color="auto" w:sz="4" w:space="0"/>
              <w:right w:val="single" w:color="auto" w:sz="4" w:space="0"/>
            </w:tcBorders>
            <w:vAlign w:val="center"/>
          </w:tcPr>
          <w:p w14:paraId="664814B1">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未按合同执行维修保养导致系统不能正常使用</w:t>
            </w:r>
          </w:p>
        </w:tc>
        <w:tc>
          <w:tcPr>
            <w:tcW w:w="659" w:type="dxa"/>
            <w:tcBorders>
              <w:top w:val="nil"/>
              <w:left w:val="nil"/>
              <w:bottom w:val="single" w:color="auto" w:sz="4" w:space="0"/>
              <w:right w:val="single" w:color="auto" w:sz="4" w:space="0"/>
            </w:tcBorders>
            <w:vAlign w:val="center"/>
          </w:tcPr>
          <w:p w14:paraId="1217A480">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0B668146">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4328217B">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4E30ADF5">
        <w:tblPrEx>
          <w:tblCellMar>
            <w:top w:w="0" w:type="dxa"/>
            <w:left w:w="108" w:type="dxa"/>
            <w:bottom w:w="0" w:type="dxa"/>
            <w:right w:w="108" w:type="dxa"/>
          </w:tblCellMar>
        </w:tblPrEx>
        <w:trPr>
          <w:trHeight w:val="408" w:hRule="atLeast"/>
          <w:jc w:val="center"/>
        </w:trPr>
        <w:tc>
          <w:tcPr>
            <w:tcW w:w="822" w:type="dxa"/>
            <w:vMerge w:val="continue"/>
            <w:tcBorders>
              <w:top w:val="nil"/>
              <w:left w:val="single" w:color="auto" w:sz="4" w:space="0"/>
              <w:bottom w:val="single" w:color="auto" w:sz="4" w:space="0"/>
              <w:right w:val="single" w:color="auto" w:sz="4" w:space="0"/>
            </w:tcBorders>
            <w:vAlign w:val="center"/>
          </w:tcPr>
          <w:p w14:paraId="6D12A374">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6375" w:type="dxa"/>
            <w:gridSpan w:val="4"/>
            <w:tcBorders>
              <w:top w:val="single" w:color="auto" w:sz="4" w:space="0"/>
              <w:left w:val="nil"/>
              <w:bottom w:val="single" w:color="auto" w:sz="4" w:space="0"/>
              <w:right w:val="single" w:color="auto" w:sz="4" w:space="0"/>
            </w:tcBorders>
            <w:vAlign w:val="center"/>
          </w:tcPr>
          <w:p w14:paraId="3EDC0CE8">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维护质量不合格或达不到维护标准</w:t>
            </w:r>
          </w:p>
        </w:tc>
        <w:tc>
          <w:tcPr>
            <w:tcW w:w="659" w:type="dxa"/>
            <w:tcBorders>
              <w:top w:val="nil"/>
              <w:left w:val="nil"/>
              <w:bottom w:val="single" w:color="auto" w:sz="4" w:space="0"/>
              <w:right w:val="single" w:color="auto" w:sz="4" w:space="0"/>
            </w:tcBorders>
            <w:vAlign w:val="center"/>
          </w:tcPr>
          <w:p w14:paraId="44733E52">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3</w:t>
            </w:r>
          </w:p>
        </w:tc>
        <w:tc>
          <w:tcPr>
            <w:tcW w:w="640" w:type="dxa"/>
            <w:tcBorders>
              <w:top w:val="nil"/>
              <w:left w:val="nil"/>
              <w:bottom w:val="single" w:color="auto" w:sz="4" w:space="0"/>
              <w:right w:val="single" w:color="auto" w:sz="4" w:space="0"/>
            </w:tcBorders>
            <w:vAlign w:val="center"/>
          </w:tcPr>
          <w:p w14:paraId="6D12406F">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70B85806">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0150AA92">
        <w:tblPrEx>
          <w:tblCellMar>
            <w:top w:w="0" w:type="dxa"/>
            <w:left w:w="108" w:type="dxa"/>
            <w:bottom w:w="0" w:type="dxa"/>
            <w:right w:w="108" w:type="dxa"/>
          </w:tblCellMar>
        </w:tblPrEx>
        <w:trPr>
          <w:trHeight w:val="408" w:hRule="atLeast"/>
          <w:jc w:val="center"/>
        </w:trPr>
        <w:tc>
          <w:tcPr>
            <w:tcW w:w="822" w:type="dxa"/>
            <w:vMerge w:val="continue"/>
            <w:tcBorders>
              <w:top w:val="nil"/>
              <w:left w:val="single" w:color="auto" w:sz="4" w:space="0"/>
              <w:bottom w:val="single" w:color="auto" w:sz="4" w:space="0"/>
              <w:right w:val="single" w:color="auto" w:sz="4" w:space="0"/>
            </w:tcBorders>
            <w:vAlign w:val="center"/>
          </w:tcPr>
          <w:p w14:paraId="70ACAEA5">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6375" w:type="dxa"/>
            <w:gridSpan w:val="4"/>
            <w:tcBorders>
              <w:top w:val="single" w:color="auto" w:sz="4" w:space="0"/>
              <w:left w:val="nil"/>
              <w:bottom w:val="single" w:color="auto" w:sz="4" w:space="0"/>
              <w:right w:val="single" w:color="auto" w:sz="4" w:space="0"/>
            </w:tcBorders>
            <w:vAlign w:val="center"/>
          </w:tcPr>
          <w:p w14:paraId="40F1A469">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中标人接维修通知3天内未到场</w:t>
            </w:r>
          </w:p>
        </w:tc>
        <w:tc>
          <w:tcPr>
            <w:tcW w:w="659" w:type="dxa"/>
            <w:tcBorders>
              <w:top w:val="nil"/>
              <w:left w:val="nil"/>
              <w:bottom w:val="single" w:color="auto" w:sz="4" w:space="0"/>
              <w:right w:val="single" w:color="auto" w:sz="4" w:space="0"/>
            </w:tcBorders>
            <w:vAlign w:val="center"/>
          </w:tcPr>
          <w:p w14:paraId="0D750585">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5299826F">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3100C716">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1A2A07EE">
        <w:tblPrEx>
          <w:tblCellMar>
            <w:top w:w="0" w:type="dxa"/>
            <w:left w:w="108" w:type="dxa"/>
            <w:bottom w:w="0" w:type="dxa"/>
            <w:right w:w="108" w:type="dxa"/>
          </w:tblCellMar>
        </w:tblPrEx>
        <w:trPr>
          <w:trHeight w:val="408" w:hRule="atLeast"/>
          <w:jc w:val="center"/>
        </w:trPr>
        <w:tc>
          <w:tcPr>
            <w:tcW w:w="822" w:type="dxa"/>
            <w:vMerge w:val="continue"/>
            <w:tcBorders>
              <w:top w:val="nil"/>
              <w:left w:val="single" w:color="auto" w:sz="4" w:space="0"/>
              <w:bottom w:val="single" w:color="auto" w:sz="4" w:space="0"/>
              <w:right w:val="single" w:color="auto" w:sz="4" w:space="0"/>
            </w:tcBorders>
            <w:vAlign w:val="center"/>
          </w:tcPr>
          <w:p w14:paraId="6CEC2BBC">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tc>
        <w:tc>
          <w:tcPr>
            <w:tcW w:w="6375" w:type="dxa"/>
            <w:gridSpan w:val="4"/>
            <w:tcBorders>
              <w:top w:val="single" w:color="auto" w:sz="4" w:space="0"/>
              <w:left w:val="nil"/>
              <w:bottom w:val="single" w:color="auto" w:sz="4" w:space="0"/>
              <w:right w:val="single" w:color="auto" w:sz="4" w:space="0"/>
            </w:tcBorders>
            <w:vAlign w:val="center"/>
          </w:tcPr>
          <w:p w14:paraId="1B7ABDD6">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不听从保卫科工作安排（工作范围内）</w:t>
            </w:r>
          </w:p>
        </w:tc>
        <w:tc>
          <w:tcPr>
            <w:tcW w:w="659" w:type="dxa"/>
            <w:tcBorders>
              <w:top w:val="nil"/>
              <w:left w:val="nil"/>
              <w:bottom w:val="single" w:color="auto" w:sz="4" w:space="0"/>
              <w:right w:val="single" w:color="auto" w:sz="4" w:space="0"/>
            </w:tcBorders>
            <w:vAlign w:val="center"/>
          </w:tcPr>
          <w:p w14:paraId="79652324">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2</w:t>
            </w:r>
          </w:p>
        </w:tc>
        <w:tc>
          <w:tcPr>
            <w:tcW w:w="640" w:type="dxa"/>
            <w:tcBorders>
              <w:top w:val="nil"/>
              <w:left w:val="nil"/>
              <w:bottom w:val="single" w:color="auto" w:sz="4" w:space="0"/>
              <w:right w:val="single" w:color="auto" w:sz="4" w:space="0"/>
            </w:tcBorders>
            <w:vAlign w:val="center"/>
          </w:tcPr>
          <w:p w14:paraId="4C3BEB77">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5E321941">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r w14:paraId="2A0063DC">
        <w:tblPrEx>
          <w:tblCellMar>
            <w:top w:w="0" w:type="dxa"/>
            <w:left w:w="108" w:type="dxa"/>
            <w:bottom w:w="0" w:type="dxa"/>
            <w:right w:w="108" w:type="dxa"/>
          </w:tblCellMar>
        </w:tblPrEx>
        <w:trPr>
          <w:trHeight w:val="285" w:hRule="atLeast"/>
          <w:jc w:val="center"/>
        </w:trPr>
        <w:tc>
          <w:tcPr>
            <w:tcW w:w="7856" w:type="dxa"/>
            <w:gridSpan w:val="6"/>
            <w:tcBorders>
              <w:top w:val="single" w:color="auto" w:sz="4" w:space="0"/>
              <w:left w:val="single" w:color="auto" w:sz="4" w:space="0"/>
              <w:bottom w:val="single" w:color="auto" w:sz="4" w:space="0"/>
              <w:right w:val="single" w:color="000000" w:sz="4" w:space="0"/>
            </w:tcBorders>
            <w:vAlign w:val="center"/>
          </w:tcPr>
          <w:p w14:paraId="4C14C142">
            <w:pPr>
              <w:keepNext w:val="0"/>
              <w:keepLines w:val="0"/>
              <w:pageBreakBefore w:val="0"/>
              <w:kinsoku/>
              <w:wordWrap/>
              <w:overflowPunct/>
              <w:topLinePunct w:val="0"/>
              <w:bidi w:val="0"/>
              <w:snapToGrid/>
              <w:spacing w:line="400" w:lineRule="exact"/>
              <w:jc w:val="center"/>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总计：</w:t>
            </w:r>
          </w:p>
        </w:tc>
        <w:tc>
          <w:tcPr>
            <w:tcW w:w="640" w:type="dxa"/>
            <w:tcBorders>
              <w:top w:val="nil"/>
              <w:left w:val="nil"/>
              <w:bottom w:val="single" w:color="auto" w:sz="4" w:space="0"/>
              <w:right w:val="single" w:color="auto" w:sz="4" w:space="0"/>
            </w:tcBorders>
            <w:vAlign w:val="center"/>
          </w:tcPr>
          <w:p w14:paraId="539D113B">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c>
          <w:tcPr>
            <w:tcW w:w="1137" w:type="dxa"/>
            <w:tcBorders>
              <w:top w:val="nil"/>
              <w:left w:val="nil"/>
              <w:bottom w:val="single" w:color="auto" w:sz="4" w:space="0"/>
              <w:right w:val="single" w:color="auto" w:sz="4" w:space="0"/>
            </w:tcBorders>
            <w:vAlign w:val="center"/>
          </w:tcPr>
          <w:p w14:paraId="14ABA9C0">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r>
              <w:rPr>
                <w:rFonts w:hint="eastAsia" w:ascii="宋体" w:hAnsi="Times New Roman" w:eastAsia="宋体" w:cs="宋体"/>
                <w:color w:val="auto"/>
                <w:kern w:val="0"/>
                <w:sz w:val="21"/>
                <w:szCs w:val="21"/>
                <w:lang w:val="en-US" w:eastAsia="zh-CN" w:bidi="ar-SA"/>
              </w:rPr>
              <w:t>　</w:t>
            </w:r>
          </w:p>
        </w:tc>
      </w:tr>
    </w:tbl>
    <w:p w14:paraId="698DC0D5">
      <w:pPr>
        <w:keepNext w:val="0"/>
        <w:keepLines w:val="0"/>
        <w:pageBreakBefore w:val="0"/>
        <w:kinsoku/>
        <w:wordWrap/>
        <w:overflowPunct/>
        <w:topLinePunct w:val="0"/>
        <w:bidi w:val="0"/>
        <w:snapToGrid/>
        <w:spacing w:line="400" w:lineRule="exact"/>
        <w:textAlignment w:val="auto"/>
        <w:rPr>
          <w:rFonts w:hint="eastAsia" w:ascii="宋体" w:hAnsi="Times New Roman" w:eastAsia="宋体" w:cs="宋体"/>
          <w:color w:val="auto"/>
          <w:kern w:val="0"/>
          <w:sz w:val="21"/>
          <w:szCs w:val="21"/>
          <w:lang w:val="en-US" w:eastAsia="zh-CN" w:bidi="ar-SA"/>
        </w:rPr>
      </w:pPr>
    </w:p>
    <w:p w14:paraId="6F3E4D80">
      <w:pPr>
        <w:pStyle w:val="2"/>
        <w:keepNext w:val="0"/>
        <w:keepLines w:val="0"/>
        <w:pageBreakBefore w:val="0"/>
        <w:kinsoku/>
        <w:wordWrap/>
        <w:overflowPunct/>
        <w:topLinePunct w:val="0"/>
        <w:bidi w:val="0"/>
        <w:snapToGrid/>
        <w:spacing w:line="400" w:lineRule="exact"/>
        <w:ind w:firstLine="480" w:firstLineChars="200"/>
        <w:textAlignment w:val="auto"/>
        <w:rPr>
          <w:rFonts w:hint="eastAsia" w:eastAsia="宋体"/>
          <w:lang w:eastAsia="zh-CN"/>
        </w:rPr>
      </w:pPr>
    </w:p>
    <w:sectPr>
      <w:pgSz w:w="11906" w:h="16838"/>
      <w:pgMar w:top="1134" w:right="1134" w:bottom="1134" w:left="1134"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istrator" w:date="2025-05-19T16:24:39Z" w:initials="A">
    <w:p w14:paraId="229D506E">
      <w:pPr>
        <w:pStyle w:val="4"/>
        <w:rPr>
          <w:rFonts w:hint="eastAsia" w:eastAsia="宋体"/>
          <w:lang w:eastAsia="zh-CN"/>
        </w:rPr>
      </w:pPr>
      <w:r>
        <w:rPr>
          <w:rFonts w:hint="eastAsia"/>
          <w:lang w:eastAsia="zh-CN"/>
        </w:rPr>
        <w:t>要明确什么情形扣除多少</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29D506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revisionView w:markup="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5D83"/>
    <w:rsid w:val="000A6C18"/>
    <w:rsid w:val="000B7E2D"/>
    <w:rsid w:val="000E1AA6"/>
    <w:rsid w:val="00204183"/>
    <w:rsid w:val="00241CD6"/>
    <w:rsid w:val="002C7944"/>
    <w:rsid w:val="003C3AB5"/>
    <w:rsid w:val="003E7DC1"/>
    <w:rsid w:val="004055D3"/>
    <w:rsid w:val="00474079"/>
    <w:rsid w:val="004C7EB2"/>
    <w:rsid w:val="004D08F5"/>
    <w:rsid w:val="004D2825"/>
    <w:rsid w:val="004F5A76"/>
    <w:rsid w:val="005007DD"/>
    <w:rsid w:val="005D491D"/>
    <w:rsid w:val="00654BC6"/>
    <w:rsid w:val="00684BD7"/>
    <w:rsid w:val="006E5543"/>
    <w:rsid w:val="007019FD"/>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E14108"/>
    <w:rsid w:val="00E72BBE"/>
    <w:rsid w:val="00EB1C9B"/>
    <w:rsid w:val="00ED5546"/>
    <w:rsid w:val="01124992"/>
    <w:rsid w:val="012313A8"/>
    <w:rsid w:val="01A43ED9"/>
    <w:rsid w:val="01CB43E2"/>
    <w:rsid w:val="023F66B6"/>
    <w:rsid w:val="02615DF0"/>
    <w:rsid w:val="03B56736"/>
    <w:rsid w:val="03FF5FEC"/>
    <w:rsid w:val="06862B05"/>
    <w:rsid w:val="07E01ACB"/>
    <w:rsid w:val="07E61381"/>
    <w:rsid w:val="08222D1A"/>
    <w:rsid w:val="08251EAA"/>
    <w:rsid w:val="094E71DE"/>
    <w:rsid w:val="09E363D8"/>
    <w:rsid w:val="0A795D65"/>
    <w:rsid w:val="0B63664D"/>
    <w:rsid w:val="0CC05EEA"/>
    <w:rsid w:val="0D0166C0"/>
    <w:rsid w:val="0D3D04E1"/>
    <w:rsid w:val="0DAB0B9B"/>
    <w:rsid w:val="0E6B1369"/>
    <w:rsid w:val="0E8C22E1"/>
    <w:rsid w:val="0ECE5049"/>
    <w:rsid w:val="10C97A40"/>
    <w:rsid w:val="10EC6F96"/>
    <w:rsid w:val="111563A0"/>
    <w:rsid w:val="11755C50"/>
    <w:rsid w:val="11AC7198"/>
    <w:rsid w:val="11C97D4A"/>
    <w:rsid w:val="11DA07C1"/>
    <w:rsid w:val="122B15C9"/>
    <w:rsid w:val="12713099"/>
    <w:rsid w:val="12C97D37"/>
    <w:rsid w:val="13C922F4"/>
    <w:rsid w:val="140426E0"/>
    <w:rsid w:val="142E5524"/>
    <w:rsid w:val="1461070D"/>
    <w:rsid w:val="15392B36"/>
    <w:rsid w:val="157601E9"/>
    <w:rsid w:val="162A6023"/>
    <w:rsid w:val="166F4544"/>
    <w:rsid w:val="175C53A5"/>
    <w:rsid w:val="17BF5E77"/>
    <w:rsid w:val="188C387F"/>
    <w:rsid w:val="199C1BF4"/>
    <w:rsid w:val="1A331E10"/>
    <w:rsid w:val="1B0B13D3"/>
    <w:rsid w:val="1B513EBB"/>
    <w:rsid w:val="1BD17D19"/>
    <w:rsid w:val="1E622ABE"/>
    <w:rsid w:val="1ED77163"/>
    <w:rsid w:val="21B710F4"/>
    <w:rsid w:val="2218153E"/>
    <w:rsid w:val="22486A69"/>
    <w:rsid w:val="23720241"/>
    <w:rsid w:val="23CD191B"/>
    <w:rsid w:val="246F1DB3"/>
    <w:rsid w:val="251915D8"/>
    <w:rsid w:val="25773183"/>
    <w:rsid w:val="26152EF8"/>
    <w:rsid w:val="26431704"/>
    <w:rsid w:val="26CD4569"/>
    <w:rsid w:val="27D01D3D"/>
    <w:rsid w:val="27D34CA5"/>
    <w:rsid w:val="28110468"/>
    <w:rsid w:val="293A4A87"/>
    <w:rsid w:val="2A9C3DF6"/>
    <w:rsid w:val="2BB533C1"/>
    <w:rsid w:val="2BEE3796"/>
    <w:rsid w:val="2CD07D87"/>
    <w:rsid w:val="2E236B75"/>
    <w:rsid w:val="2E44559E"/>
    <w:rsid w:val="2EA74B17"/>
    <w:rsid w:val="2EB74DCD"/>
    <w:rsid w:val="30662EDC"/>
    <w:rsid w:val="311834AF"/>
    <w:rsid w:val="31474ECC"/>
    <w:rsid w:val="318469E5"/>
    <w:rsid w:val="3194337D"/>
    <w:rsid w:val="339F1022"/>
    <w:rsid w:val="35006333"/>
    <w:rsid w:val="35775243"/>
    <w:rsid w:val="35D22DC1"/>
    <w:rsid w:val="364A2958"/>
    <w:rsid w:val="3737378F"/>
    <w:rsid w:val="379A0446"/>
    <w:rsid w:val="3806606D"/>
    <w:rsid w:val="397701BE"/>
    <w:rsid w:val="39DF3CFF"/>
    <w:rsid w:val="3A8600F9"/>
    <w:rsid w:val="3B546CEC"/>
    <w:rsid w:val="3CC86CCC"/>
    <w:rsid w:val="3EA21DFC"/>
    <w:rsid w:val="3EBA2645"/>
    <w:rsid w:val="3F8769CB"/>
    <w:rsid w:val="41366ED0"/>
    <w:rsid w:val="41BB0C4E"/>
    <w:rsid w:val="427E2B3A"/>
    <w:rsid w:val="468B4FF2"/>
    <w:rsid w:val="484D14FE"/>
    <w:rsid w:val="48D85C25"/>
    <w:rsid w:val="49A95790"/>
    <w:rsid w:val="4A6022F2"/>
    <w:rsid w:val="4C1C5576"/>
    <w:rsid w:val="4C3E6663"/>
    <w:rsid w:val="4C6065D9"/>
    <w:rsid w:val="4CD9638C"/>
    <w:rsid w:val="4D442BFB"/>
    <w:rsid w:val="4D781BD4"/>
    <w:rsid w:val="4DA009DA"/>
    <w:rsid w:val="4DA97E72"/>
    <w:rsid w:val="4DB9683E"/>
    <w:rsid w:val="4E4645E4"/>
    <w:rsid w:val="4EDD6607"/>
    <w:rsid w:val="4F3D41BA"/>
    <w:rsid w:val="50114BBA"/>
    <w:rsid w:val="50502E0F"/>
    <w:rsid w:val="51794369"/>
    <w:rsid w:val="51B2246F"/>
    <w:rsid w:val="52856B8C"/>
    <w:rsid w:val="539906F6"/>
    <w:rsid w:val="541B35D1"/>
    <w:rsid w:val="54F86BA1"/>
    <w:rsid w:val="55517407"/>
    <w:rsid w:val="55D712FC"/>
    <w:rsid w:val="57783371"/>
    <w:rsid w:val="57F86260"/>
    <w:rsid w:val="589150FF"/>
    <w:rsid w:val="591470C9"/>
    <w:rsid w:val="593F3A1A"/>
    <w:rsid w:val="5A155512"/>
    <w:rsid w:val="5B310990"/>
    <w:rsid w:val="5B7C0F56"/>
    <w:rsid w:val="5C700395"/>
    <w:rsid w:val="5C797243"/>
    <w:rsid w:val="5D1A4465"/>
    <w:rsid w:val="5DAF0651"/>
    <w:rsid w:val="5DCD43FF"/>
    <w:rsid w:val="5E761C8C"/>
    <w:rsid w:val="5ECE3876"/>
    <w:rsid w:val="5F19037D"/>
    <w:rsid w:val="5FFD63C3"/>
    <w:rsid w:val="5FFE6B22"/>
    <w:rsid w:val="60FD1EF3"/>
    <w:rsid w:val="612C2AD6"/>
    <w:rsid w:val="61A82AA5"/>
    <w:rsid w:val="62DE3608"/>
    <w:rsid w:val="62ED77B7"/>
    <w:rsid w:val="63085E72"/>
    <w:rsid w:val="633E587B"/>
    <w:rsid w:val="635822A8"/>
    <w:rsid w:val="64CA4726"/>
    <w:rsid w:val="651E6BDA"/>
    <w:rsid w:val="65706B30"/>
    <w:rsid w:val="668C7889"/>
    <w:rsid w:val="67EF0C5A"/>
    <w:rsid w:val="69DE25BC"/>
    <w:rsid w:val="6A513DD5"/>
    <w:rsid w:val="6BF540D9"/>
    <w:rsid w:val="6BF7262B"/>
    <w:rsid w:val="6CA20189"/>
    <w:rsid w:val="6DD0797D"/>
    <w:rsid w:val="6E1A0EFE"/>
    <w:rsid w:val="71754026"/>
    <w:rsid w:val="73A11102"/>
    <w:rsid w:val="74B5471E"/>
    <w:rsid w:val="75B776E7"/>
    <w:rsid w:val="77E41C8F"/>
    <w:rsid w:val="77FF632E"/>
    <w:rsid w:val="78D84469"/>
    <w:rsid w:val="795F1636"/>
    <w:rsid w:val="7AC54CC7"/>
    <w:rsid w:val="7ACA1D68"/>
    <w:rsid w:val="7B036868"/>
    <w:rsid w:val="7B14665D"/>
    <w:rsid w:val="7B7F1E8D"/>
    <w:rsid w:val="7C7B2EF6"/>
    <w:rsid w:val="7CA915F3"/>
    <w:rsid w:val="7CF25BD6"/>
    <w:rsid w:val="7D380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styleId="3">
    <w:name w:val="Normal Indent"/>
    <w:basedOn w:val="1"/>
    <w:qFormat/>
    <w:uiPriority w:val="0"/>
    <w:pPr>
      <w:widowControl/>
      <w:ind w:firstLine="420"/>
      <w:jc w:val="left"/>
    </w:pPr>
    <w:rPr>
      <w:kern w:val="0"/>
      <w:szCs w:val="20"/>
    </w:rPr>
  </w:style>
  <w:style w:type="paragraph" w:styleId="4">
    <w:name w:val="annotation text"/>
    <w:basedOn w:val="1"/>
    <w:link w:val="16"/>
    <w:qFormat/>
    <w:uiPriority w:val="99"/>
    <w:pPr>
      <w:jc w:val="left"/>
    </w:pPr>
  </w:style>
  <w:style w:type="paragraph" w:styleId="5">
    <w:name w:val="Body Text"/>
    <w:basedOn w:val="1"/>
    <w:next w:val="3"/>
    <w:unhideWhenUsed/>
    <w:qFormat/>
    <w:uiPriority w:val="99"/>
    <w:pPr>
      <w:spacing w:after="120"/>
    </w:pPr>
  </w:style>
  <w:style w:type="paragraph" w:styleId="6">
    <w:name w:val="Plain Text"/>
    <w:basedOn w:val="1"/>
    <w:link w:val="18"/>
    <w:qFormat/>
    <w:uiPriority w:val="99"/>
    <w:rPr>
      <w:rFonts w:ascii="宋体" w:hAnsi="Courier New"/>
    </w:rPr>
  </w:style>
  <w:style w:type="paragraph" w:styleId="7">
    <w:name w:val="footer"/>
    <w:basedOn w:val="1"/>
    <w:link w:val="22"/>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List"/>
    <w:basedOn w:val="1"/>
    <w:next w:val="1"/>
    <w:qFormat/>
    <w:uiPriority w:val="0"/>
    <w:pPr>
      <w:ind w:left="420" w:hanging="420"/>
    </w:pPr>
    <w:rPr>
      <w:rFonts w:ascii="Arial" w:hAnsi="Arial" w:eastAsia="楷体_GB2312"/>
      <w:sz w:val="28"/>
    </w:rPr>
  </w:style>
  <w:style w:type="paragraph" w:styleId="10">
    <w:name w:val="annotation subject"/>
    <w:basedOn w:val="4"/>
    <w:next w:val="4"/>
    <w:link w:val="17"/>
    <w:semiHidden/>
    <w:unhideWhenUsed/>
    <w:qFormat/>
    <w:uiPriority w:val="99"/>
    <w:rPr>
      <w:b/>
      <w:bCs/>
    </w:rPr>
  </w:style>
  <w:style w:type="table" w:styleId="12">
    <w:name w:val="Table Grid"/>
    <w:basedOn w:val="11"/>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semiHidden/>
    <w:qFormat/>
    <w:uiPriority w:val="99"/>
    <w:rPr>
      <w:sz w:val="21"/>
      <w:szCs w:val="21"/>
    </w:rPr>
  </w:style>
  <w:style w:type="character" w:customStyle="1" w:styleId="15">
    <w:name w:val="批注文字 字符"/>
    <w:basedOn w:val="13"/>
    <w:qFormat/>
    <w:uiPriority w:val="99"/>
    <w:rPr>
      <w:rFonts w:ascii="Times New Roman" w:hAnsi="Times New Roman" w:eastAsia="宋体" w:cs="Times New Roman"/>
      <w:szCs w:val="21"/>
    </w:rPr>
  </w:style>
  <w:style w:type="character" w:customStyle="1" w:styleId="16">
    <w:name w:val="批注文字 字符1"/>
    <w:link w:val="4"/>
    <w:semiHidden/>
    <w:qFormat/>
    <w:uiPriority w:val="99"/>
    <w:rPr>
      <w:rFonts w:ascii="Times New Roman" w:hAnsi="Times New Roman" w:eastAsia="宋体" w:cs="Times New Roman"/>
      <w:szCs w:val="21"/>
    </w:rPr>
  </w:style>
  <w:style w:type="character" w:customStyle="1" w:styleId="17">
    <w:name w:val="批注主题 字符"/>
    <w:basedOn w:val="16"/>
    <w:link w:val="10"/>
    <w:semiHidden/>
    <w:qFormat/>
    <w:uiPriority w:val="99"/>
    <w:rPr>
      <w:rFonts w:ascii="Times New Roman" w:hAnsi="Times New Roman" w:eastAsia="宋体" w:cs="Times New Roman"/>
      <w:b/>
      <w:bCs/>
      <w:szCs w:val="21"/>
    </w:rPr>
  </w:style>
  <w:style w:type="character" w:customStyle="1" w:styleId="18">
    <w:name w:val="纯文本 字符"/>
    <w:basedOn w:val="13"/>
    <w:link w:val="6"/>
    <w:qFormat/>
    <w:uiPriority w:val="99"/>
    <w:rPr>
      <w:rFonts w:ascii="宋体" w:hAnsi="Courier New" w:eastAsia="宋体" w:cs="Times New Roman"/>
      <w:szCs w:val="21"/>
    </w:rPr>
  </w:style>
  <w:style w:type="paragraph" w:customStyle="1" w:styleId="19">
    <w:name w:val="表格文字"/>
    <w:basedOn w:val="1"/>
    <w:qFormat/>
    <w:uiPriority w:val="0"/>
    <w:pPr>
      <w:spacing w:before="25" w:after="25"/>
      <w:jc w:val="left"/>
    </w:pPr>
    <w:rPr>
      <w:rFonts w:ascii="Calibri" w:hAnsi="Calibri"/>
      <w:bCs/>
      <w:spacing w:val="10"/>
      <w:kern w:val="0"/>
      <w:sz w:val="24"/>
      <w:szCs w:val="20"/>
    </w:rPr>
  </w:style>
  <w:style w:type="character" w:customStyle="1" w:styleId="20">
    <w:name w:val="fontstyle01"/>
    <w:qFormat/>
    <w:uiPriority w:val="0"/>
    <w:rPr>
      <w:rFonts w:hint="eastAsia" w:ascii="宋体" w:hAnsi="宋体" w:eastAsia="宋体"/>
      <w:color w:val="000000"/>
      <w:sz w:val="24"/>
      <w:szCs w:val="24"/>
    </w:rPr>
  </w:style>
  <w:style w:type="character" w:customStyle="1" w:styleId="21">
    <w:name w:val="页眉 字符"/>
    <w:basedOn w:val="13"/>
    <w:link w:val="8"/>
    <w:qFormat/>
    <w:uiPriority w:val="99"/>
    <w:rPr>
      <w:rFonts w:ascii="Times New Roman" w:hAnsi="Times New Roman" w:eastAsia="宋体" w:cs="Times New Roman"/>
      <w:sz w:val="18"/>
      <w:szCs w:val="18"/>
    </w:rPr>
  </w:style>
  <w:style w:type="character" w:customStyle="1" w:styleId="22">
    <w:name w:val="页脚 字符"/>
    <w:basedOn w:val="13"/>
    <w:link w:val="7"/>
    <w:qFormat/>
    <w:uiPriority w:val="99"/>
    <w:rPr>
      <w:rFonts w:ascii="Times New Roman" w:hAnsi="Times New Roman" w:eastAsia="宋体" w:cs="Times New Roman"/>
      <w:sz w:val="18"/>
      <w:szCs w:val="18"/>
    </w:rPr>
  </w:style>
  <w:style w:type="character" w:styleId="23">
    <w:name w:val="Placeholder Text"/>
    <w:basedOn w:val="13"/>
    <w:semiHidden/>
    <w:qFormat/>
    <w:uiPriority w:val="99"/>
    <w:rPr>
      <w:color w:val="808080"/>
    </w:rPr>
  </w:style>
  <w:style w:type="paragraph" w:customStyle="1" w:styleId="24">
    <w:name w:val="样式1"/>
    <w:basedOn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18d53e1-95a1-4f2b-a5dd-3b701aed5120}"/>
        <w:style w:val=""/>
        <w:category>
          <w:name w:val="常规"/>
          <w:gallery w:val="placeholder"/>
        </w:category>
        <w:types>
          <w:type w:val="bbPlcHdr"/>
        </w:types>
        <w:behaviors>
          <w:behavior w:val="content"/>
        </w:behaviors>
        <w:description w:val=""/>
        <w:guid w:val="{f18d53e1-95a1-4f2b-a5dd-3b701aed5120}"/>
      </w:docPartPr>
      <w:docPartBody>
        <w:p w14:paraId="31D9254B">
          <w:r>
            <w:rPr>
              <w:rStyle w:val="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character" w:styleId="3">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1349</Words>
  <Characters>1391</Characters>
  <Lines>26</Lines>
  <Paragraphs>7</Paragraphs>
  <TotalTime>6</TotalTime>
  <ScaleCrop>false</ScaleCrop>
  <LinksUpToDate>false</LinksUpToDate>
  <CharactersWithSpaces>1402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2026-10-16T03:16:23Z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07B521EA83C6448EB3D35578BD639E9E_13</vt:lpwstr>
  </property>
  <property fmtid="{D5CDD505-2E9C-101B-9397-08002B2CF9AE}" pid="4" name="KSOTemplateDocerSaveRecord">
    <vt:lpwstr>eyJoZGlkIjoiOTZkZDVmNzBiZGNiZTJiMTNjOTFhZTJiYjI4ZWQ4OTAiLCJ1c2VySWQiOiI0MzU5NDIxNTAifQ==</vt:lpwstr>
  </property>
</Properties>
</file>