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3B170">
      <w:pPr>
        <w:pStyle w:val="14"/>
        <w:ind w:left="-708" w:leftChars="-337"/>
        <w:rPr>
          <w:rFonts w:hint="default" w:eastAsia="宋体" w:cs="宋体"/>
          <w:b/>
          <w:bCs/>
          <w:sz w:val="28"/>
          <w:szCs w:val="28"/>
          <w:lang w:val="en-US" w:eastAsia="zh-CN"/>
        </w:rPr>
      </w:pPr>
      <w:r>
        <w:rPr>
          <w:rFonts w:hint="eastAsia" w:cs="宋体"/>
          <w:b/>
          <w:bCs/>
          <w:sz w:val="28"/>
          <w:szCs w:val="28"/>
          <w:lang w:val="en-US" w:eastAsia="zh-CN"/>
        </w:rPr>
        <w:t xml:space="preserve">                             采购需求文件</w:t>
      </w:r>
    </w:p>
    <w:p w14:paraId="48B4DC30">
      <w:pPr>
        <w:pStyle w:val="14"/>
        <w:spacing w:line="360" w:lineRule="auto"/>
        <w:ind w:left="0" w:leftChars="0" w:firstLine="480" w:firstLineChars="200"/>
        <w:rPr>
          <w:rFonts w:hint="eastAsia" w:ascii="宋体" w:hAnsi="宋体"/>
          <w:b w:val="0"/>
          <w:bCs/>
          <w:color w:val="auto"/>
          <w:lang w:val="en-US" w:eastAsia="zh-CN"/>
        </w:rPr>
      </w:pPr>
      <w:r>
        <w:rPr>
          <w:rFonts w:hint="eastAsia" w:ascii="宋体" w:hAnsi="宋体"/>
          <w:b w:val="0"/>
          <w:bCs/>
          <w:color w:val="auto"/>
          <w:lang w:val="en-US" w:eastAsia="zh-CN"/>
        </w:rPr>
        <w:t>说明：</w:t>
      </w:r>
    </w:p>
    <w:p w14:paraId="0635AE10">
      <w:pPr>
        <w:widowControl/>
        <w:ind w:firstLine="420" w:firstLineChars="200"/>
        <w:jc w:val="both"/>
        <w:rPr>
          <w:rFonts w:hint="default" w:eastAsia="仿宋" w:cs="宋体"/>
          <w:b/>
          <w:bCs/>
          <w:color w:val="FF0000"/>
          <w:kern w:val="0"/>
          <w:sz w:val="38"/>
          <w:szCs w:val="38"/>
          <w:lang w:val="en-US" w:eastAsia="zh-CN"/>
        </w:rPr>
      </w:pPr>
      <w:r>
        <w:rPr>
          <w:rFonts w:hint="eastAsia" w:ascii="宋体" w:hAnsi="宋体"/>
          <w:b w:val="0"/>
          <w:bCs/>
          <w:color w:val="auto"/>
          <w:lang w:val="en-US" w:eastAsia="zh-CN"/>
        </w:rPr>
        <w:t>1.标注“</w:t>
      </w:r>
      <w:r>
        <w:rPr>
          <w:rFonts w:hint="eastAsia" w:ascii="仿宋" w:hAnsi="仿宋" w:eastAsia="仿宋" w:cs="仿宋"/>
          <w:color w:val="FF0000"/>
          <w:kern w:val="0"/>
          <w:sz w:val="24"/>
          <w:szCs w:val="24"/>
          <w:lang w:val="en-US" w:eastAsia="zh-CN" w:bidi="ar-SA"/>
        </w:rPr>
        <w:t>★”的条款为实质性条款，如有负偏离或不响应的，则投标文件无效，其他条款为一般条款，允许最多负偏离的条款数为2项，如偏离项数超出允许范围，则投标文件无效。</w:t>
      </w:r>
    </w:p>
    <w:p w14:paraId="78387114">
      <w:pPr>
        <w:pStyle w:val="14"/>
        <w:ind w:left="0" w:leftChars="0" w:firstLine="281" w:firstLineChars="100"/>
        <w:rPr>
          <w:rFonts w:cs="宋体"/>
          <w:b/>
          <w:bCs/>
          <w:sz w:val="28"/>
          <w:szCs w:val="28"/>
        </w:rPr>
      </w:pPr>
      <w:r>
        <w:rPr>
          <w:rFonts w:hint="eastAsia" w:cs="宋体"/>
          <w:b/>
          <w:bCs/>
          <w:sz w:val="28"/>
          <w:szCs w:val="28"/>
        </w:rPr>
        <w:t>一、采购清单、技术规格参数、质量标准和要求</w:t>
      </w:r>
    </w:p>
    <w:p w14:paraId="29FB495E">
      <w:pPr>
        <w:pStyle w:val="14"/>
        <w:ind w:left="0" w:leftChars="0"/>
        <w:rPr>
          <w:rFonts w:hint="default" w:eastAsia="宋体"/>
          <w:b/>
          <w:bCs/>
          <w:lang w:val="en-US" w:eastAsia="zh-CN"/>
        </w:rPr>
      </w:pPr>
      <w:r>
        <w:rPr>
          <w:rFonts w:hint="eastAsia" w:cs="宋体"/>
          <w:b/>
          <w:bCs/>
        </w:rPr>
        <w:t>（一）采购清单</w:t>
      </w:r>
      <w:r>
        <w:rPr>
          <w:b/>
          <w:bCs/>
        </w:rPr>
        <w:t> </w:t>
      </w:r>
    </w:p>
    <w:p w14:paraId="5AD80A9A">
      <w:pPr>
        <w:pStyle w:val="14"/>
        <w:ind w:left="-708" w:leftChars="-337"/>
        <w:rPr>
          <w:rFonts w:hint="eastAsia"/>
          <w:b/>
          <w:bCs/>
          <w:color w:val="0000FF"/>
          <w:sz w:val="18"/>
          <w:szCs w:val="18"/>
          <w:lang w:val="en-US" w:eastAsia="zh-CN"/>
        </w:rPr>
      </w:pPr>
      <w:r>
        <w:rPr>
          <w:rFonts w:hint="eastAsia"/>
          <w:b/>
          <w:bCs/>
          <w:lang w:val="en-US" w:eastAsia="zh-CN"/>
        </w:rPr>
        <w:t xml:space="preserve">     </w:t>
      </w:r>
    </w:p>
    <w:tbl>
      <w:tblPr>
        <w:tblStyle w:val="10"/>
        <w:tblW w:w="9588" w:type="dxa"/>
        <w:tblInd w:w="325" w:type="dxa"/>
        <w:tblLayout w:type="fixed"/>
        <w:tblCellMar>
          <w:top w:w="0" w:type="dxa"/>
          <w:left w:w="108" w:type="dxa"/>
          <w:bottom w:w="0" w:type="dxa"/>
          <w:right w:w="108" w:type="dxa"/>
        </w:tblCellMar>
      </w:tblPr>
      <w:tblGrid>
        <w:gridCol w:w="825"/>
        <w:gridCol w:w="1438"/>
        <w:gridCol w:w="2100"/>
        <w:gridCol w:w="1425"/>
        <w:gridCol w:w="2012"/>
        <w:gridCol w:w="1788"/>
      </w:tblGrid>
      <w:tr w14:paraId="22920799">
        <w:tblPrEx>
          <w:tblCellMar>
            <w:top w:w="0" w:type="dxa"/>
            <w:left w:w="108" w:type="dxa"/>
            <w:bottom w:w="0" w:type="dxa"/>
            <w:right w:w="108" w:type="dxa"/>
          </w:tblCellMar>
        </w:tblPrEx>
        <w:trPr>
          <w:trHeight w:val="187"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383275F1">
            <w:pPr>
              <w:widowControl/>
              <w:jc w:val="center"/>
              <w:textAlignment w:val="center"/>
              <w:rPr>
                <w:rFonts w:ascii="宋体" w:hAnsi="宋体" w:cs="宋体"/>
                <w:color w:val="000000"/>
                <w:kern w:val="0"/>
                <w:sz w:val="24"/>
                <w:szCs w:val="24"/>
              </w:rPr>
            </w:pPr>
            <w:r>
              <w:rPr>
                <w:rFonts w:hint="eastAsia" w:ascii="宋体" w:hAnsi="宋体" w:cs="宋体"/>
                <w:color w:val="000000"/>
                <w:kern w:val="0"/>
                <w:sz w:val="24"/>
                <w:szCs w:val="24"/>
              </w:rPr>
              <w:t>序号</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55AC5FAB">
            <w:pPr>
              <w:widowControl/>
              <w:jc w:val="center"/>
              <w:textAlignment w:val="center"/>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分标项</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4E079655">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名称</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3D2CADC">
            <w:pPr>
              <w:widowControl/>
              <w:jc w:val="center"/>
              <w:textAlignment w:val="center"/>
              <w:rPr>
                <w:rFonts w:ascii="宋体" w:hAnsi="宋体" w:cs="宋体"/>
                <w:color w:val="000000"/>
                <w:sz w:val="24"/>
                <w:szCs w:val="24"/>
              </w:rPr>
            </w:pPr>
            <w:r>
              <w:rPr>
                <w:rFonts w:hint="eastAsia" w:ascii="宋体" w:hAnsi="宋体" w:cs="宋体"/>
                <w:color w:val="000000"/>
                <w:kern w:val="0"/>
                <w:sz w:val="24"/>
                <w:szCs w:val="24"/>
              </w:rPr>
              <w:t>数量</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524A7F3A">
            <w:pPr>
              <w:widowControl/>
              <w:jc w:val="center"/>
              <w:textAlignment w:val="center"/>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采购单价</w:t>
            </w:r>
            <w:r>
              <w:rPr>
                <w:rFonts w:hint="eastAsia" w:ascii="宋体" w:hAnsi="宋体" w:cs="宋体"/>
                <w:color w:val="000000"/>
                <w:kern w:val="0"/>
                <w:sz w:val="24"/>
                <w:szCs w:val="24"/>
                <w:lang w:val="en-US" w:eastAsia="zh-CN"/>
              </w:rPr>
              <w:t>上限价</w:t>
            </w:r>
            <w:r>
              <w:rPr>
                <w:rFonts w:hint="eastAsia" w:ascii="宋体" w:hAnsi="宋体" w:cs="宋体"/>
                <w:color w:val="000000"/>
                <w:kern w:val="0"/>
                <w:sz w:val="24"/>
                <w:szCs w:val="24"/>
                <w:lang w:eastAsia="zh-CN"/>
              </w:rPr>
              <w:t>（元）</w:t>
            </w:r>
          </w:p>
        </w:tc>
        <w:tc>
          <w:tcPr>
            <w:tcW w:w="1788" w:type="dxa"/>
            <w:tcBorders>
              <w:top w:val="single" w:color="000000" w:sz="4" w:space="0"/>
              <w:left w:val="single" w:color="000000" w:sz="4" w:space="0"/>
              <w:bottom w:val="single" w:color="000000" w:sz="4" w:space="0"/>
              <w:right w:val="single" w:color="000000" w:sz="4" w:space="0"/>
            </w:tcBorders>
            <w:noWrap w:val="0"/>
            <w:vAlign w:val="center"/>
          </w:tcPr>
          <w:p w14:paraId="3A7B7897">
            <w:pPr>
              <w:widowControl/>
              <w:jc w:val="center"/>
              <w:textAlignment w:val="center"/>
              <w:rPr>
                <w:rFonts w:hint="eastAsia" w:ascii="宋体" w:hAnsi="宋体" w:cs="宋体"/>
                <w:color w:val="000000"/>
                <w:kern w:val="0"/>
                <w:sz w:val="24"/>
                <w:szCs w:val="24"/>
                <w:lang w:eastAsia="zh-CN"/>
              </w:rPr>
            </w:pPr>
            <w:r>
              <w:rPr>
                <w:rFonts w:hint="eastAsia" w:ascii="宋体" w:hAnsi="宋体" w:cs="宋体"/>
                <w:color w:val="000000"/>
                <w:kern w:val="0"/>
                <w:sz w:val="24"/>
                <w:szCs w:val="24"/>
                <w:lang w:eastAsia="zh-CN"/>
              </w:rPr>
              <w:t>采购总价</w:t>
            </w:r>
            <w:r>
              <w:rPr>
                <w:rFonts w:hint="eastAsia" w:ascii="宋体" w:hAnsi="宋体" w:cs="宋体"/>
                <w:color w:val="000000"/>
                <w:kern w:val="0"/>
                <w:sz w:val="24"/>
                <w:szCs w:val="24"/>
                <w:lang w:val="en-US" w:eastAsia="zh-CN"/>
              </w:rPr>
              <w:t>上</w:t>
            </w:r>
            <w:r>
              <w:rPr>
                <w:rFonts w:hint="eastAsia" w:ascii="宋体" w:hAnsi="宋体" w:cs="宋体"/>
                <w:color w:val="000000"/>
                <w:kern w:val="0"/>
                <w:sz w:val="24"/>
                <w:szCs w:val="24"/>
                <w:lang w:eastAsia="zh-CN"/>
              </w:rPr>
              <w:t>限价（元）</w:t>
            </w:r>
          </w:p>
        </w:tc>
      </w:tr>
      <w:tr w14:paraId="4C9BF1B5">
        <w:tblPrEx>
          <w:tblCellMar>
            <w:top w:w="0" w:type="dxa"/>
            <w:left w:w="108" w:type="dxa"/>
            <w:bottom w:w="0" w:type="dxa"/>
            <w:right w:w="108" w:type="dxa"/>
          </w:tblCellMar>
        </w:tblPrEx>
        <w:trPr>
          <w:trHeight w:val="372" w:hRule="atLeast"/>
        </w:trPr>
        <w:tc>
          <w:tcPr>
            <w:tcW w:w="825" w:type="dxa"/>
            <w:tcBorders>
              <w:top w:val="single" w:color="000000" w:sz="4" w:space="0"/>
              <w:left w:val="single" w:color="000000" w:sz="4" w:space="0"/>
              <w:bottom w:val="single" w:color="000000" w:sz="4" w:space="0"/>
              <w:right w:val="single" w:color="000000" w:sz="4" w:space="0"/>
            </w:tcBorders>
            <w:noWrap w:val="0"/>
            <w:vAlign w:val="center"/>
          </w:tcPr>
          <w:p w14:paraId="4767DC68">
            <w:pPr>
              <w:widowControl/>
              <w:jc w:val="center"/>
              <w:textAlignment w:val="center"/>
              <w:rPr>
                <w:rFonts w:hint="eastAsia" w:ascii="宋体" w:hAnsi="宋体" w:eastAsia="宋体" w:cs="宋体"/>
                <w:color w:val="000000"/>
                <w:kern w:val="0"/>
                <w:sz w:val="24"/>
                <w:szCs w:val="24"/>
                <w:lang w:val="en-US" w:eastAsia="zh-CN"/>
              </w:rPr>
            </w:pPr>
            <w:r>
              <w:rPr>
                <w:rFonts w:hint="eastAsia" w:ascii="宋体" w:hAnsi="宋体" w:cs="宋体"/>
                <w:color w:val="000000"/>
                <w:kern w:val="0"/>
                <w:sz w:val="24"/>
                <w:szCs w:val="24"/>
                <w:lang w:val="en-US" w:eastAsia="zh-CN"/>
              </w:rPr>
              <w:t>1</w:t>
            </w:r>
          </w:p>
        </w:tc>
        <w:tc>
          <w:tcPr>
            <w:tcW w:w="1438" w:type="dxa"/>
            <w:tcBorders>
              <w:top w:val="single" w:color="000000" w:sz="4" w:space="0"/>
              <w:left w:val="single" w:color="000000" w:sz="4" w:space="0"/>
              <w:bottom w:val="single" w:color="000000" w:sz="4" w:space="0"/>
              <w:right w:val="single" w:color="000000" w:sz="4" w:space="0"/>
            </w:tcBorders>
            <w:noWrap w:val="0"/>
            <w:vAlign w:val="center"/>
          </w:tcPr>
          <w:p w14:paraId="76F68CC7">
            <w:pPr>
              <w:widowControl/>
              <w:jc w:val="center"/>
              <w:textAlignment w:val="center"/>
              <w:rPr>
                <w:rFonts w:hint="eastAsia" w:ascii="宋体" w:hAnsi="宋体" w:cs="宋体"/>
                <w:color w:val="000000"/>
                <w:kern w:val="0"/>
                <w:sz w:val="24"/>
                <w:szCs w:val="24"/>
                <w:lang w:val="en-US" w:eastAsia="zh-CN"/>
              </w:rPr>
            </w:pPr>
            <w:r>
              <w:rPr>
                <w:rFonts w:hint="eastAsia" w:ascii="宋体" w:hAnsi="宋体" w:cs="宋体"/>
                <w:color w:val="000000"/>
                <w:kern w:val="0"/>
                <w:sz w:val="24"/>
                <w:szCs w:val="24"/>
                <w:lang w:val="en-US" w:eastAsia="zh-CN"/>
              </w:rPr>
              <w:t>2分标</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183CA5C">
            <w:pPr>
              <w:widowControl/>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血气分析仪</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8CD8C66">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1台</w:t>
            </w:r>
          </w:p>
        </w:tc>
        <w:tc>
          <w:tcPr>
            <w:tcW w:w="2012" w:type="dxa"/>
            <w:tcBorders>
              <w:top w:val="single" w:color="000000" w:sz="4" w:space="0"/>
              <w:left w:val="single" w:color="000000" w:sz="4" w:space="0"/>
              <w:bottom w:val="single" w:color="000000" w:sz="4" w:space="0"/>
              <w:right w:val="single" w:color="000000" w:sz="4" w:space="0"/>
            </w:tcBorders>
            <w:noWrap w:val="0"/>
            <w:vAlign w:val="center"/>
          </w:tcPr>
          <w:p w14:paraId="0F6158DA">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40000.00</w:t>
            </w:r>
          </w:p>
        </w:tc>
        <w:tc>
          <w:tcPr>
            <w:tcW w:w="1788" w:type="dxa"/>
            <w:tcBorders>
              <w:top w:val="single" w:color="000000" w:sz="4" w:space="0"/>
              <w:left w:val="single" w:color="000000" w:sz="4" w:space="0"/>
              <w:bottom w:val="single" w:color="000000" w:sz="4" w:space="0"/>
              <w:right w:val="single" w:color="000000" w:sz="4" w:space="0"/>
            </w:tcBorders>
            <w:noWrap w:val="0"/>
            <w:vAlign w:val="center"/>
          </w:tcPr>
          <w:p w14:paraId="5EE553D5">
            <w:pPr>
              <w:widowControl/>
              <w:jc w:val="center"/>
              <w:textAlignment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40000.00</w:t>
            </w:r>
          </w:p>
        </w:tc>
      </w:tr>
    </w:tbl>
    <w:p w14:paraId="46BFAADE">
      <w:pPr>
        <w:widowControl/>
        <w:numPr>
          <w:ilvl w:val="0"/>
          <w:numId w:val="0"/>
        </w:numPr>
        <w:spacing w:line="240" w:lineRule="auto"/>
        <w:jc w:val="left"/>
        <w:rPr>
          <w:rFonts w:hint="eastAsia" w:cs="宋体"/>
          <w:b/>
          <w:bCs/>
          <w:color w:val="000000"/>
          <w:kern w:val="0"/>
          <w:sz w:val="24"/>
          <w:szCs w:val="24"/>
          <w:lang w:val="en-US" w:eastAsia="zh-CN" w:bidi="ar-SA"/>
        </w:rPr>
      </w:pPr>
    </w:p>
    <w:p w14:paraId="41565788">
      <w:pPr>
        <w:widowControl/>
        <w:numPr>
          <w:ilvl w:val="0"/>
          <w:numId w:val="0"/>
        </w:numPr>
        <w:spacing w:line="360" w:lineRule="auto"/>
        <w:jc w:val="left"/>
        <w:rPr>
          <w:rFonts w:hint="eastAsia"/>
          <w:lang w:val="en-US" w:eastAsia="zh-CN"/>
        </w:rPr>
      </w:pPr>
      <w:r>
        <w:rPr>
          <w:rFonts w:hint="eastAsia" w:cs="宋体"/>
          <w:b/>
          <w:bCs/>
          <w:color w:val="000000"/>
          <w:kern w:val="0"/>
          <w:sz w:val="24"/>
          <w:szCs w:val="24"/>
          <w:lang w:val="en-US" w:eastAsia="zh-CN" w:bidi="ar-SA"/>
        </w:rPr>
        <w:t>（二）</w:t>
      </w:r>
      <w:r>
        <w:rPr>
          <w:rFonts w:hint="eastAsia" w:ascii="Times New Roman" w:hAnsi="Times New Roman" w:eastAsia="宋体" w:cs="宋体"/>
          <w:b/>
          <w:bCs/>
          <w:color w:val="000000"/>
          <w:kern w:val="0"/>
          <w:sz w:val="24"/>
          <w:szCs w:val="24"/>
          <w:lang w:val="en-US" w:eastAsia="zh-CN" w:bidi="ar-SA"/>
        </w:rPr>
        <w:t>技术规格参数</w:t>
      </w:r>
    </w:p>
    <w:p w14:paraId="589EC215">
      <w:pPr>
        <w:spacing w:line="400" w:lineRule="exact"/>
        <w:ind w:left="424" w:leftChars="202" w:firstLine="2"/>
        <w:rPr>
          <w:rFonts w:hint="eastAsia" w:ascii="宋体" w:hAnsi="宋体" w:eastAsia="宋体" w:cs="宋体"/>
          <w:sz w:val="24"/>
          <w:szCs w:val="24"/>
        </w:rPr>
      </w:pPr>
      <w:r>
        <w:rPr>
          <w:rFonts w:hint="eastAsia" w:ascii="宋体" w:hAnsi="宋体" w:eastAsia="宋体" w:cs="宋体"/>
          <w:sz w:val="24"/>
          <w:szCs w:val="24"/>
          <w:lang w:val="en-US" w:eastAsia="zh-CN"/>
        </w:rPr>
        <w:t>2分标：采购预算：</w:t>
      </w:r>
      <w:r>
        <w:rPr>
          <w:rFonts w:hint="eastAsia" w:ascii="宋体" w:hAnsi="宋体" w:cs="宋体"/>
          <w:sz w:val="24"/>
          <w:szCs w:val="24"/>
          <w:lang w:val="en-US" w:eastAsia="zh-CN"/>
        </w:rPr>
        <w:t>4</w:t>
      </w:r>
      <w:r>
        <w:rPr>
          <w:rFonts w:hint="eastAsia" w:ascii="宋体" w:hAnsi="宋体" w:eastAsia="宋体" w:cs="宋体"/>
          <w:sz w:val="24"/>
          <w:szCs w:val="24"/>
        </w:rPr>
        <w:t>0000.00</w:t>
      </w:r>
    </w:p>
    <w:tbl>
      <w:tblPr>
        <w:tblStyle w:val="10"/>
        <w:tblW w:w="9592" w:type="dxa"/>
        <w:tblInd w:w="113" w:type="dxa"/>
        <w:tblLayout w:type="fixed"/>
        <w:tblCellMar>
          <w:top w:w="0" w:type="dxa"/>
          <w:left w:w="108" w:type="dxa"/>
          <w:bottom w:w="0" w:type="dxa"/>
          <w:right w:w="108" w:type="dxa"/>
        </w:tblCellMar>
      </w:tblPr>
      <w:tblGrid>
        <w:gridCol w:w="600"/>
        <w:gridCol w:w="575"/>
        <w:gridCol w:w="666"/>
        <w:gridCol w:w="7751"/>
      </w:tblGrid>
      <w:tr w14:paraId="57FB6284">
        <w:tblPrEx>
          <w:tblCellMar>
            <w:top w:w="0" w:type="dxa"/>
            <w:left w:w="108" w:type="dxa"/>
            <w:bottom w:w="0" w:type="dxa"/>
            <w:right w:w="108" w:type="dxa"/>
          </w:tblCellMar>
        </w:tblPrEx>
        <w:trPr>
          <w:trHeight w:val="713"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19E47E73">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序号</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14:paraId="2C60583F">
            <w:pPr>
              <w:widowControl/>
              <w:jc w:val="center"/>
              <w:textAlignment w:val="center"/>
              <w:rPr>
                <w:rFonts w:hint="eastAsia" w:ascii="宋体" w:hAnsi="宋体" w:eastAsia="宋体" w:cs="宋体"/>
                <w:color w:val="000000"/>
                <w:sz w:val="21"/>
                <w:szCs w:val="21"/>
              </w:rPr>
            </w:pPr>
            <w:r>
              <w:rPr>
                <w:rFonts w:hint="eastAsia" w:ascii="宋体" w:hAnsi="宋体" w:eastAsia="宋体" w:cs="宋体"/>
                <w:color w:val="000000"/>
                <w:kern w:val="0"/>
                <w:sz w:val="21"/>
                <w:szCs w:val="21"/>
              </w:rPr>
              <w:t>名称</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454FBF6C">
            <w:pPr>
              <w:widowControl/>
              <w:jc w:val="both"/>
              <w:textAlignment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数量</w:t>
            </w:r>
          </w:p>
        </w:tc>
        <w:tc>
          <w:tcPr>
            <w:tcW w:w="7751" w:type="dxa"/>
            <w:tcBorders>
              <w:top w:val="single" w:color="000000" w:sz="4" w:space="0"/>
              <w:left w:val="single" w:color="000000" w:sz="4" w:space="0"/>
              <w:bottom w:val="single" w:color="000000" w:sz="4" w:space="0"/>
              <w:right w:val="single" w:color="000000" w:sz="4" w:space="0"/>
            </w:tcBorders>
            <w:noWrap w:val="0"/>
            <w:vAlign w:val="center"/>
          </w:tcPr>
          <w:p w14:paraId="46C445E7">
            <w:pPr>
              <w:widowControl/>
              <w:jc w:val="center"/>
              <w:textAlignment w:val="center"/>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技术参数要求</w:t>
            </w:r>
          </w:p>
        </w:tc>
      </w:tr>
      <w:tr w14:paraId="41711A6C">
        <w:tblPrEx>
          <w:tblCellMar>
            <w:top w:w="0" w:type="dxa"/>
            <w:left w:w="108" w:type="dxa"/>
            <w:bottom w:w="0" w:type="dxa"/>
            <w:right w:w="108" w:type="dxa"/>
          </w:tblCellMar>
        </w:tblPrEx>
        <w:trPr>
          <w:trHeight w:val="90" w:hRule="atLeast"/>
        </w:trPr>
        <w:tc>
          <w:tcPr>
            <w:tcW w:w="600" w:type="dxa"/>
            <w:tcBorders>
              <w:top w:val="single" w:color="000000" w:sz="4" w:space="0"/>
              <w:left w:val="single" w:color="000000" w:sz="4" w:space="0"/>
              <w:bottom w:val="single" w:color="000000" w:sz="4" w:space="0"/>
              <w:right w:val="single" w:color="000000" w:sz="4" w:space="0"/>
            </w:tcBorders>
            <w:noWrap w:val="0"/>
            <w:vAlign w:val="center"/>
          </w:tcPr>
          <w:p w14:paraId="7E624552">
            <w:pPr>
              <w:widowControl/>
              <w:jc w:val="center"/>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p>
        </w:tc>
        <w:tc>
          <w:tcPr>
            <w:tcW w:w="575" w:type="dxa"/>
            <w:tcBorders>
              <w:top w:val="single" w:color="000000" w:sz="4" w:space="0"/>
              <w:left w:val="single" w:color="000000" w:sz="4" w:space="0"/>
              <w:bottom w:val="single" w:color="000000" w:sz="4" w:space="0"/>
              <w:right w:val="single" w:color="000000" w:sz="4" w:space="0"/>
            </w:tcBorders>
            <w:noWrap w:val="0"/>
            <w:vAlign w:val="center"/>
          </w:tcPr>
          <w:p w14:paraId="56813D01">
            <w:pPr>
              <w:pStyle w:val="19"/>
              <w:jc w:val="center"/>
              <w:rPr>
                <w:rFonts w:hint="eastAsia" w:ascii="宋体" w:hAnsi="宋体" w:eastAsia="宋体" w:cs="宋体"/>
                <w:sz w:val="21"/>
                <w:szCs w:val="21"/>
                <w:lang w:val="en-US" w:eastAsia="zh-CN"/>
              </w:rPr>
            </w:pPr>
            <w:r>
              <w:rPr>
                <w:rFonts w:hint="eastAsia" w:ascii="宋体" w:hAnsi="宋体" w:eastAsia="宋体" w:cs="宋体"/>
                <w:color w:val="000000"/>
                <w:sz w:val="24"/>
                <w:szCs w:val="24"/>
                <w:lang w:val="en-US" w:eastAsia="zh-CN"/>
              </w:rPr>
              <w:t>血气分析仪</w:t>
            </w:r>
          </w:p>
        </w:tc>
        <w:tc>
          <w:tcPr>
            <w:tcW w:w="666" w:type="dxa"/>
            <w:tcBorders>
              <w:top w:val="single" w:color="000000" w:sz="4" w:space="0"/>
              <w:left w:val="single" w:color="000000" w:sz="4" w:space="0"/>
              <w:bottom w:val="single" w:color="000000" w:sz="4" w:space="0"/>
              <w:right w:val="single" w:color="000000" w:sz="4" w:space="0"/>
            </w:tcBorders>
            <w:noWrap w:val="0"/>
            <w:vAlign w:val="center"/>
          </w:tcPr>
          <w:p w14:paraId="063BFBC5">
            <w:pPr>
              <w:pStyle w:val="19"/>
              <w:rPr>
                <w:rFonts w:hint="eastAsia" w:ascii="宋体" w:hAnsi="宋体" w:eastAsia="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台</w:t>
            </w:r>
          </w:p>
        </w:tc>
        <w:tc>
          <w:tcPr>
            <w:tcW w:w="7751" w:type="dxa"/>
            <w:tcBorders>
              <w:top w:val="single" w:color="000000" w:sz="4" w:space="0"/>
              <w:left w:val="single" w:color="000000" w:sz="4" w:space="0"/>
              <w:bottom w:val="single" w:color="000000" w:sz="4" w:space="0"/>
              <w:right w:val="single" w:color="000000" w:sz="4" w:space="0"/>
            </w:tcBorders>
            <w:noWrap w:val="0"/>
            <w:vAlign w:val="center"/>
          </w:tcPr>
          <w:p w14:paraId="30506187">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bookmarkStart w:id="0" w:name="OLE_LINK3"/>
            <w:bookmarkStart w:id="1" w:name="OLE_LINK4"/>
            <w:r>
              <w:rPr>
                <w:rFonts w:hint="eastAsia" w:ascii="宋体" w:hAnsi="宋体" w:eastAsia="宋体" w:cs="宋体"/>
                <w:sz w:val="21"/>
                <w:szCs w:val="21"/>
                <w:lang w:val="en-US" w:eastAsia="zh-CN"/>
              </w:rPr>
              <w:t>★1.测量项目：包括但不限于pH、PCO2、PO2、Na+、K+、Cl-、Ca2+、Hct、Lac、Glu等参数，各参数可根据临床需求灵活组合，单项（或小组合）测试可独立开启或关闭，不影响其他指标测定。</w:t>
            </w:r>
          </w:p>
          <w:p w14:paraId="75925C8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★2.计算项目：包括pH(TC)、PCO2(TC)、PO2(TC)、HCO3-、SBC、BE、BEecf、TCO2、sO2%、P50、AG、A-aDO2、RI、TCa、nCa、THb/ctHb等，测量项目与计算项目总数满足临床常规及扩展需求。</w:t>
            </w:r>
          </w:p>
          <w:p w14:paraId="78DB03F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3、分析时间：全参数≤60s，急诊关键参数（pH/PCO2/PO2/K/Na）≤45s。</w:t>
            </w:r>
          </w:p>
          <w:p w14:paraId="1610A6F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4.进样系统</w:t>
            </w:r>
          </w:p>
          <w:p w14:paraId="3300CE8E">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4.1 兼容注射器、毛细管、安瓿瓶、试管等多种容器。 </w:t>
            </w:r>
          </w:p>
          <w:p w14:paraId="5F9C486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 样本量：全参数≤150μL，微量模式≤120μL。</w:t>
            </w:r>
          </w:p>
          <w:p w14:paraId="3AA56865">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 可检测并排除小气泡和微血凝块。</w:t>
            </w:r>
          </w:p>
          <w:p w14:paraId="33B60DFC">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4.4 安瓿瓶质控品开瓶后可直接上机检测，无需专用适配器。</w:t>
            </w:r>
          </w:p>
          <w:p w14:paraId="7FD2119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 采样针内外壁自动清洗。</w:t>
            </w:r>
          </w:p>
          <w:p w14:paraId="0F166D50">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5.具备试剂、样品预热功能</w:t>
            </w:r>
          </w:p>
          <w:p w14:paraId="632BE11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6.定标 </w:t>
            </w:r>
          </w:p>
          <w:p w14:paraId="6E652AA2">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6.1 定标方式：自动和手动，支持一点和两点定标。</w:t>
            </w:r>
          </w:p>
          <w:p w14:paraId="1F2AF83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6.2 可自行调整定标间隔时间，最长间隔时间≥8h（提供验证数据）。 </w:t>
            </w:r>
          </w:p>
          <w:p w14:paraId="4708790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7.质控</w:t>
            </w:r>
          </w:p>
          <w:p w14:paraId="479893E5">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7.1 具备自动质控功能，支持三水平质控品。</w:t>
            </w:r>
          </w:p>
          <w:p w14:paraId="4595E4A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7.2 内置多种质控规则，可输出质控图和质控记录，并支持打印和导出。</w:t>
            </w:r>
          </w:p>
          <w:p w14:paraId="1B3CFC21">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7.3 可提供配套血气质控品，支持条码/二维码扫描自动识别质控品批号、靶值及有效期等信息。</w:t>
            </w:r>
          </w:p>
          <w:p w14:paraId="3DBD0DB6">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7.4 质控测试与常规样本测试独立计数（质控成本包含于耗材报价）。</w:t>
            </w:r>
          </w:p>
          <w:p w14:paraId="2AEF544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8.控制系统</w:t>
            </w:r>
          </w:p>
          <w:p w14:paraId="62CCF9EB">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8.1 彩色液晶触摸显示屏≥10英寸，分辨率≥1024×768。 </w:t>
            </w:r>
          </w:p>
          <w:p w14:paraId="27278F8C">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8.2 具备酸碱平衡分析辅助功能，可显示酸碱图。</w:t>
            </w:r>
          </w:p>
          <w:p w14:paraId="64E28A14">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8.3 数据存储：可存储样本记录≥20000条；定标记录、质控记录、事件日志各≥6个月。 </w:t>
            </w:r>
          </w:p>
          <w:p w14:paraId="27B6F6AF">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8.4 配置条码扫描装置（内置或外接），支持一维/二维码识别</w:t>
            </w:r>
          </w:p>
          <w:p w14:paraId="0C4DF56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★8.5 具备HL7协议，支持单向、双向网络连接LIS/HIS（接口费需成交供应商承担）。</w:t>
            </w:r>
          </w:p>
          <w:p w14:paraId="14A9AFE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9.内置电池，支持主机正常工作≥60min，或可选配扩展电池≥120min。</w:t>
            </w:r>
          </w:p>
          <w:p w14:paraId="78958128">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10.耗材</w:t>
            </w:r>
          </w:p>
          <w:p w14:paraId="5F4AD0BF">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★10.1 试剂包：一体化试剂包，提供多种包装规格可选，最小包装≤50</w:t>
            </w:r>
            <w:r>
              <w:rPr>
                <w:rFonts w:hint="eastAsia" w:ascii="宋体" w:hAnsi="宋体" w:eastAsia="宋体" w:cs="宋体"/>
                <w:color w:val="000000" w:themeColor="text1"/>
                <w:sz w:val="21"/>
                <w:szCs w:val="21"/>
                <w:lang w:val="en-US" w:eastAsia="zh-CN"/>
                <w14:textFill>
                  <w14:solidFill>
                    <w14:schemeClr w14:val="tx1"/>
                  </w14:solidFill>
                </w14:textFill>
              </w:rPr>
              <w:t>测/包，或提供包括但不</w:t>
            </w:r>
            <w:r>
              <w:rPr>
                <w:rFonts w:hint="eastAsia" w:ascii="宋体" w:hAnsi="宋体" w:cs="宋体"/>
                <w:color w:val="000000" w:themeColor="text1"/>
                <w:sz w:val="21"/>
                <w:szCs w:val="21"/>
                <w:lang w:val="en-US" w:eastAsia="zh-CN"/>
                <w14:textFill>
                  <w14:solidFill>
                    <w14:schemeClr w14:val="tx1"/>
                  </w14:solidFill>
                </w14:textFill>
              </w:rPr>
              <w:t>限于</w:t>
            </w:r>
            <w:r>
              <w:rPr>
                <w:rFonts w:hint="eastAsia" w:ascii="宋体" w:hAnsi="宋体" w:eastAsia="宋体" w:cs="宋体"/>
                <w:color w:val="000000" w:themeColor="text1"/>
                <w:sz w:val="21"/>
                <w:szCs w:val="21"/>
                <w:lang w:val="en-US" w:eastAsia="zh-CN"/>
                <w14:textFill>
                  <w14:solidFill>
                    <w14:schemeClr w14:val="tx1"/>
                  </w14:solidFill>
                </w14:textFill>
              </w:rPr>
              <w:t>25测/50测/100测等多种规格。</w:t>
            </w:r>
          </w:p>
          <w:p w14:paraId="68F5C9FA">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10.2 试剂包存储条件：2℃～30℃或室温（15℃～25℃），有效期≥6个月（提供稳定性验证数据）。 </w:t>
            </w:r>
          </w:p>
          <w:p w14:paraId="600A32C3">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10.3 上机有效期：≥30天（提供验证数据）。 </w:t>
            </w:r>
          </w:p>
          <w:p w14:paraId="19FCE25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10.4 血气及离子电极上机寿命≥2个月，或按测试数计≥1000次。 </w:t>
            </w:r>
          </w:p>
          <w:p w14:paraId="41345B3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★10.5 乳酸、血糖检测可采用电极法或光化学法；试剂/电极常温运输，上机有效期≥14天；电极/试剂可单独更换或按模块更换。</w:t>
            </w:r>
          </w:p>
          <w:bookmarkEnd w:id="0"/>
          <w:bookmarkEnd w:id="1"/>
          <w:p w14:paraId="653B531D">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11.提供设备稳定性和结果准确性相关的质量保证文件，包括但不限于：性能验证报告、注册检验报告、量值溯源证明等。 </w:t>
            </w:r>
          </w:p>
          <w:p w14:paraId="25E41E69">
            <w:pPr>
              <w:pStyle w:val="19"/>
              <w:keepNext w:val="0"/>
              <w:keepLines w:val="0"/>
              <w:pageBreakBefore w:val="0"/>
              <w:widowControl w:val="0"/>
              <w:kinsoku/>
              <w:wordWrap/>
              <w:overflowPunct/>
              <w:topLinePunct w:val="0"/>
              <w:autoSpaceDE/>
              <w:autoSpaceDN/>
              <w:bidi w:val="0"/>
              <w:adjustRightInd/>
              <w:snapToGrid/>
              <w:spacing w:before="0" w:after="0" w:line="460" w:lineRule="exac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12.设备功能要求：可应用于血气分析，可进行血气、电解质、代谢物等参数的同时测定。</w:t>
            </w:r>
          </w:p>
        </w:tc>
      </w:tr>
    </w:tbl>
    <w:p w14:paraId="1CE038A3">
      <w:pPr>
        <w:keepNext w:val="0"/>
        <w:keepLines w:val="0"/>
        <w:pageBreakBefore w:val="0"/>
        <w:kinsoku/>
        <w:wordWrap/>
        <w:overflowPunct/>
        <w:topLinePunct w:val="0"/>
        <w:bidi w:val="0"/>
        <w:snapToGrid/>
        <w:spacing w:line="460" w:lineRule="exact"/>
        <w:ind w:firstLine="308" w:firstLineChars="147"/>
        <w:jc w:val="left"/>
        <w:textAlignment w:val="auto"/>
        <w:rPr>
          <w:rFonts w:hint="default" w:ascii="宋体" w:hAnsi="宋体" w:eastAsia="宋体" w:cs="宋体"/>
          <w:b/>
          <w:bCs/>
          <w:color w:val="000000"/>
          <w:kern w:val="0"/>
          <w:sz w:val="24"/>
          <w:szCs w:val="24"/>
          <w:lang w:val="en-US" w:eastAsia="zh-CN"/>
        </w:rPr>
      </w:pPr>
      <w:r>
        <w:rPr>
          <w:rFonts w:hint="eastAsia" w:ascii="宋体" w:hAnsi="宋体" w:eastAsia="宋体" w:cs="宋体"/>
          <w:sz w:val="21"/>
          <w:szCs w:val="21"/>
          <w:lang w:val="en-US" w:eastAsia="zh-CN"/>
        </w:rPr>
        <w:t>★</w:t>
      </w:r>
      <w:r>
        <w:rPr>
          <w:rFonts w:hint="eastAsia" w:ascii="宋体" w:hAnsi="宋体" w:cs="宋体"/>
          <w:b/>
          <w:bCs/>
          <w:color w:val="000000"/>
          <w:kern w:val="0"/>
          <w:sz w:val="24"/>
          <w:szCs w:val="24"/>
          <w:lang w:val="en-US" w:eastAsia="zh-CN"/>
        </w:rPr>
        <w:t>二、商务要求</w:t>
      </w:r>
    </w:p>
    <w:p w14:paraId="7D08C5D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（一）产品要求</w:t>
      </w:r>
    </w:p>
    <w:p w14:paraId="4C9DFD4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1.本项目支持创新产品、节能优化产品、环境标识产品、中小企业发展、支持采用本国产品等政府采购政策。</w:t>
      </w:r>
    </w:p>
    <w:p w14:paraId="4C8142E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2.投标产品必须是具备合法资质的制造商生产、生产日期为近半年的全新正品，并满足招标采购文件的要求，若产品在运输或安装过程中损坏或擦伤须无偿调换相同产品。</w:t>
      </w:r>
    </w:p>
    <w:p w14:paraId="3925323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3.投标人所投产品参数应同等或优于以上各项参数要求，产品、辅材及生产工艺符合国家相关规范。</w:t>
      </w:r>
    </w:p>
    <w:p w14:paraId="723B91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4.投标人应保证所提供的货物或其任何一部分均不会侵犯任何第三方的专利权、商标权等，如在使用过程中出现的一切经济和法律责任均由投标人负责。</w:t>
      </w:r>
    </w:p>
    <w:p w14:paraId="73BC6E8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医疗器械监督管理条例》（国务院令第739号）医疗器械分类管理要求具有有效的医疗器械生产许可证或医疗器械经营许可或者备案（按《医疗器械监督管理条例》免于经营备案和无需办理医疗器械经营许可或者备案的情形除外）</w:t>
      </w:r>
    </w:p>
    <w:p w14:paraId="16CEE2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6.投标人需承诺在设备使用内免费无条件开放其所提供的所有系统各功能数据接口，以确保可供其他信息系统的接入或调用，如由于采购人业务需要设备与采购人信息系统连接，</w:t>
      </w:r>
      <w:r>
        <w:rPr>
          <w:rFonts w:hint="default" w:ascii="宋体" w:hAnsi="宋体" w:eastAsia="宋体" w:cs="宋体"/>
          <w:color w:val="000000" w:themeColor="text1"/>
          <w:sz w:val="24"/>
          <w:szCs w:val="24"/>
          <w:highlight w:val="none"/>
          <w:lang w:val="en-US" w:eastAsia="zh-CN"/>
          <w14:textFill>
            <w14:solidFill>
              <w14:schemeClr w14:val="tx1"/>
            </w14:solidFill>
          </w14:textFill>
        </w:rPr>
        <w:t>由中标供应商负责接入医院信息系统，</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采购人</w:t>
      </w:r>
      <w:r>
        <w:rPr>
          <w:rFonts w:hint="default" w:ascii="宋体" w:hAnsi="宋体" w:eastAsia="宋体" w:cs="宋体"/>
          <w:color w:val="000000" w:themeColor="text1"/>
          <w:sz w:val="24"/>
          <w:szCs w:val="24"/>
          <w:highlight w:val="none"/>
          <w:lang w:val="en-US" w:eastAsia="zh-CN"/>
          <w14:textFill>
            <w14:solidFill>
              <w14:schemeClr w14:val="tx1"/>
            </w14:solidFill>
          </w14:textFill>
        </w:rPr>
        <w:t>不额外</w:t>
      </w:r>
      <w:r>
        <w:rPr>
          <w:rFonts w:hint="eastAsia" w:ascii="宋体" w:hAnsi="宋体" w:eastAsia="宋体" w:cs="宋体"/>
          <w:color w:val="000000" w:themeColor="text1"/>
          <w:sz w:val="24"/>
          <w:szCs w:val="24"/>
          <w:highlight w:val="none"/>
          <w:lang w:val="en-US" w:eastAsia="zh-CN"/>
          <w14:textFill>
            <w14:solidFill>
              <w14:schemeClr w14:val="tx1"/>
            </w14:solidFill>
          </w14:textFill>
        </w:rPr>
        <w:t>支付任何</w:t>
      </w:r>
      <w:r>
        <w:rPr>
          <w:rFonts w:hint="default" w:ascii="宋体" w:hAnsi="宋体" w:eastAsia="宋体" w:cs="宋体"/>
          <w:color w:val="000000" w:themeColor="text1"/>
          <w:sz w:val="24"/>
          <w:szCs w:val="24"/>
          <w:highlight w:val="none"/>
          <w:lang w:val="en-US" w:eastAsia="zh-CN"/>
          <w14:textFill>
            <w14:solidFill>
              <w14:schemeClr w14:val="tx1"/>
            </w14:solidFill>
          </w14:textFill>
        </w:rPr>
        <w:t>费用。</w:t>
      </w:r>
    </w:p>
    <w:p w14:paraId="717185A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7.投标总价必须包含货物及货物运抵指定交货地点的各种费用和安装调校、售后服务、税金、验收检验及其它所有费用的总和，如另有要求请在投标文件中注明。</w:t>
      </w:r>
    </w:p>
    <w:p w14:paraId="67C2287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（二）售后服务和资质</w:t>
      </w:r>
    </w:p>
    <w:p w14:paraId="3309615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1.质保期：设备安装完毕通过验收投入使用之日起</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不少于 3年</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p>
    <w:p w14:paraId="44E7CFD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2.投标人所投产品必须提供产品“三包”服务；定期安排相关人员回访进行质量跟踪；保证提供临床应用和售后技术服务支持方式；保修期后提供终身维修服务及配件供应；其他售后服务按厂家承诺实行。</w:t>
      </w:r>
    </w:p>
    <w:p w14:paraId="36E10A0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故障处理：质保期内，在使用过程中发现质量问题或故障时，须接到通知后24小时内派工程师到达用户现场及提供常用备件，按国家及行业标准对故障进行及时处理或更换，以保证采购单位的正常使用，所发生的一切费用由成交供应商负责。</w:t>
      </w:r>
    </w:p>
    <w:p w14:paraId="4FE1CE4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（三）其他</w:t>
      </w:r>
    </w:p>
    <w:p w14:paraId="3DD9708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1.签订合同后，30天内仪器设备安装调试结束并交付使用。投标人予以特别注意：如出现未能到期供货的情况，采购人有权单方终止合同的执行，所有的经济损失由逾期供货商单方承担。</w:t>
      </w:r>
    </w:p>
    <w:p w14:paraId="02636F2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2.交货地点为：贺州市八步区莲塘镇万安街22号八步区人民医院指定地点</w:t>
      </w:r>
    </w:p>
    <w:p w14:paraId="0FA158C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3.付款条件（进度和方式）：</w:t>
      </w:r>
    </w:p>
    <w:p w14:paraId="25EA0D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全部货物送达指定地点、安装调试并验收合格后，双方签署验收合格表单，中标人开具全额发票给采购人，采购人收到发票后10个工作日内按总合同金额的90%对公转账到中标人账户。验收合格第 12个月后，采购人收到中标人的请款材料后10个工作日内，按总合同金额的10%对公转账到中标人账户（不计利息）。</w:t>
      </w:r>
    </w:p>
    <w:p w14:paraId="32DF01D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如验收不合格以及发现伪劣产品等，招标人将视情形采取退货、拒付款、终止合同、索赔等措施，直至通过有关部门，依法维权。</w:t>
      </w:r>
    </w:p>
    <w:p w14:paraId="6BDC4D1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4.合同签订：采购人和中标人应当自成交通知书发出后</w:t>
      </w:r>
      <w:sdt>
        <w:sdtPr>
          <w:rPr>
            <w:rFonts w:hint="eastAsia" w:ascii="宋体" w:hAnsi="宋体" w:eastAsia="宋体" w:cs="宋体"/>
            <w:color w:val="auto"/>
            <w:sz w:val="24"/>
            <w:szCs w:val="24"/>
            <w:highlight w:val="none"/>
            <w:lang w:val="en-US" w:eastAsia="zh-CN"/>
          </w:rPr>
          <w:alias w:val="无特殊情况不建议修改"/>
          <w:tag w:val="无特殊情况不建议修改"/>
          <w:id w:val="-183904816"/>
          <w:placeholder>
            <w:docPart w:val="{89096a1c-88ca-43d7-960c-214e8f4d5596}"/>
          </w:placeholder>
          <w15:color w:val="FF0000"/>
        </w:sdtPr>
        <w:sdtEndPr>
          <w:rPr>
            <w:rFonts w:hint="eastAsia" w:ascii="宋体" w:hAnsi="宋体" w:eastAsia="宋体" w:cs="宋体"/>
            <w:color w:val="auto"/>
            <w:sz w:val="24"/>
            <w:szCs w:val="24"/>
            <w:highlight w:val="none"/>
            <w:lang w:val="en-US" w:eastAsia="zh-CN"/>
          </w:rPr>
        </w:sdtEndPr>
        <w:sdtContent>
          <w:r>
            <w:rPr>
              <w:rFonts w:hint="eastAsia" w:ascii="宋体" w:hAnsi="宋体" w:eastAsia="宋体" w:cs="宋体"/>
              <w:color w:val="auto"/>
              <w:sz w:val="24"/>
              <w:szCs w:val="24"/>
              <w:highlight w:val="none"/>
              <w:lang w:val="en-US" w:eastAsia="zh-CN"/>
            </w:rPr>
            <w:t>25</w:t>
          </w:r>
        </w:sdtContent>
      </w:sdt>
      <w:r>
        <w:rPr>
          <w:rFonts w:hint="eastAsia" w:ascii="宋体" w:hAnsi="宋体" w:eastAsia="宋体" w:cs="宋体"/>
          <w:color w:val="auto"/>
          <w:sz w:val="24"/>
          <w:szCs w:val="24"/>
          <w:highlight w:val="none"/>
          <w:lang w:val="en-US" w:eastAsia="zh-CN"/>
        </w:rPr>
        <w:t>日内签订采购合同。</w:t>
      </w:r>
    </w:p>
    <w:p w14:paraId="50C83CD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宋体"/>
          <w:b/>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w:t>
      </w:r>
      <w:r>
        <w:rPr>
          <w:rFonts w:hint="eastAsia" w:ascii="宋体" w:hAnsi="宋体" w:cs="宋体"/>
          <w:b/>
          <w:bCs/>
          <w:color w:val="auto"/>
          <w:sz w:val="24"/>
          <w:szCs w:val="24"/>
          <w:highlight w:val="none"/>
          <w:lang w:val="en-US" w:eastAsia="zh-CN"/>
        </w:rPr>
        <w:t>报价要求及评审方法</w:t>
      </w:r>
    </w:p>
    <w:p w14:paraId="4AAC84DE">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sz w:val="21"/>
          <w:szCs w:val="21"/>
          <w:lang w:val="en-US" w:eastAsia="zh-CN"/>
        </w:rPr>
        <w:t>★</w:t>
      </w:r>
      <w:r>
        <w:rPr>
          <w:rFonts w:hint="eastAsia" w:ascii="宋体" w:hAnsi="宋体" w:eastAsia="宋体" w:cs="宋体"/>
          <w:color w:val="auto"/>
          <w:sz w:val="24"/>
          <w:szCs w:val="24"/>
          <w:highlight w:val="none"/>
          <w:lang w:val="en-US" w:eastAsia="zh-CN"/>
        </w:rPr>
        <w:t>1.报价要求：本项目设备和配套专机专用试剂需分开报价。专机专用试剂采用优惠价格报价，试剂报价要求低于收费价格的40%，否则报名文件无效，即报价</w:t>
      </w:r>
      <w:r>
        <w:rPr>
          <w:rFonts w:hint="default"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41.9*40%元。</w:t>
      </w:r>
    </w:p>
    <w:p w14:paraId="3159DD1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2.评审办法</w:t>
      </w:r>
    </w:p>
    <w:p w14:paraId="77313CC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谈判小组按照评标方法依法对响应文件进行详细评审，详细评审为最低评标价法（即最终评标价最低的中标）</w:t>
      </w:r>
    </w:p>
    <w:p w14:paraId="32EB2E7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评标报价=设备报价*50%+试剂优惠价格报价（均价）*50%</w:t>
      </w:r>
    </w:p>
    <w:p w14:paraId="693E1F1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注：设备的成交金额为成交供应商的最终报价金额，专机专用试剂的供货价为成交供应商的最终试剂报价</w:t>
      </w:r>
      <w:r>
        <w:rPr>
          <w:rFonts w:hint="eastAsia" w:ascii="宋体" w:hAnsi="宋体" w:cs="宋体"/>
          <w:color w:val="auto"/>
          <w:sz w:val="24"/>
          <w:szCs w:val="24"/>
          <w:highlight w:val="none"/>
          <w:lang w:val="en-US" w:eastAsia="zh-CN"/>
        </w:rPr>
        <w:t>。</w:t>
      </w:r>
    </w:p>
    <w:p w14:paraId="17318D4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p>
    <w:sectPr>
      <w:headerReference r:id="rId3" w:type="default"/>
      <w:footerReference r:id="rId4" w:type="default"/>
      <w:pgSz w:w="11906" w:h="16838"/>
      <w:pgMar w:top="1440" w:right="1800" w:bottom="1440" w:left="11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简">
    <w:altName w:val="宋体"/>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5AD8B">
    <w:pPr>
      <w:pStyle w:val="5"/>
    </w:pPr>
    <w:bookmarkStart w:id="2" w:name="_GoBack"/>
    <w:bookmarkEnd w:id="2"/>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CCA88">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FCCCA88">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93381">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EyYmY4MjA0MzAxNjIyZGNjMDk1MmY5N2E0MzMwOWEifQ=="/>
    <w:docVar w:name="KY_MEDREF_DOCUID" w:val="{642EBB7A-05DF-4F7F-990F-180E42AE779D}"/>
    <w:docVar w:name="KY_MEDREF_VERSION" w:val="3"/>
  </w:docVars>
  <w:rsids>
    <w:rsidRoot w:val="004C7EB2"/>
    <w:rsid w:val="00066185"/>
    <w:rsid w:val="00080292"/>
    <w:rsid w:val="0008196D"/>
    <w:rsid w:val="00092509"/>
    <w:rsid w:val="00095D83"/>
    <w:rsid w:val="000A6C18"/>
    <w:rsid w:val="000B7E2D"/>
    <w:rsid w:val="000E1AA6"/>
    <w:rsid w:val="00204183"/>
    <w:rsid w:val="00241CD6"/>
    <w:rsid w:val="002C7944"/>
    <w:rsid w:val="003C3AB5"/>
    <w:rsid w:val="003E7DC1"/>
    <w:rsid w:val="00474079"/>
    <w:rsid w:val="004C7EB2"/>
    <w:rsid w:val="004D08F5"/>
    <w:rsid w:val="004D2825"/>
    <w:rsid w:val="004F5A76"/>
    <w:rsid w:val="005007DD"/>
    <w:rsid w:val="005D491D"/>
    <w:rsid w:val="00654BC6"/>
    <w:rsid w:val="00684BD7"/>
    <w:rsid w:val="006E5543"/>
    <w:rsid w:val="00707A97"/>
    <w:rsid w:val="007814EA"/>
    <w:rsid w:val="007A5910"/>
    <w:rsid w:val="007F6F70"/>
    <w:rsid w:val="00813BDB"/>
    <w:rsid w:val="00825B15"/>
    <w:rsid w:val="008553F8"/>
    <w:rsid w:val="008A5DC5"/>
    <w:rsid w:val="008D3A6F"/>
    <w:rsid w:val="009530DC"/>
    <w:rsid w:val="00A2105C"/>
    <w:rsid w:val="00A44D5C"/>
    <w:rsid w:val="00A83F43"/>
    <w:rsid w:val="00AC0EA5"/>
    <w:rsid w:val="00B8409A"/>
    <w:rsid w:val="00BA3521"/>
    <w:rsid w:val="00C33384"/>
    <w:rsid w:val="00C762C8"/>
    <w:rsid w:val="00C97AD7"/>
    <w:rsid w:val="00CC2DEE"/>
    <w:rsid w:val="00CD27A2"/>
    <w:rsid w:val="00D2685D"/>
    <w:rsid w:val="00D41CB5"/>
    <w:rsid w:val="00D57065"/>
    <w:rsid w:val="00DB5864"/>
    <w:rsid w:val="00DC4B54"/>
    <w:rsid w:val="00E14108"/>
    <w:rsid w:val="00E72BBE"/>
    <w:rsid w:val="00EB1C9B"/>
    <w:rsid w:val="00ED5546"/>
    <w:rsid w:val="00F9432B"/>
    <w:rsid w:val="01124992"/>
    <w:rsid w:val="01CB43E2"/>
    <w:rsid w:val="02615DF0"/>
    <w:rsid w:val="0348159A"/>
    <w:rsid w:val="03675EC4"/>
    <w:rsid w:val="03B56736"/>
    <w:rsid w:val="03D8291E"/>
    <w:rsid w:val="03E322AC"/>
    <w:rsid w:val="040D0B9B"/>
    <w:rsid w:val="04115E30"/>
    <w:rsid w:val="04AB3B8E"/>
    <w:rsid w:val="04CC1D57"/>
    <w:rsid w:val="04D60F6D"/>
    <w:rsid w:val="04EF3743"/>
    <w:rsid w:val="052C5176"/>
    <w:rsid w:val="06B86A37"/>
    <w:rsid w:val="06C90C44"/>
    <w:rsid w:val="073F4A62"/>
    <w:rsid w:val="076C2F7E"/>
    <w:rsid w:val="077F1D90"/>
    <w:rsid w:val="079A08EA"/>
    <w:rsid w:val="084710F9"/>
    <w:rsid w:val="09167A44"/>
    <w:rsid w:val="099D32E7"/>
    <w:rsid w:val="0A1D552E"/>
    <w:rsid w:val="0A795D65"/>
    <w:rsid w:val="0BE43E2A"/>
    <w:rsid w:val="0C755F49"/>
    <w:rsid w:val="0CB73DA8"/>
    <w:rsid w:val="0CC05EEA"/>
    <w:rsid w:val="0CDB522D"/>
    <w:rsid w:val="0D3E2800"/>
    <w:rsid w:val="0E6A2D0C"/>
    <w:rsid w:val="0F902CCD"/>
    <w:rsid w:val="0FC14BAE"/>
    <w:rsid w:val="10C1473A"/>
    <w:rsid w:val="10C97A40"/>
    <w:rsid w:val="110A4333"/>
    <w:rsid w:val="122B15C9"/>
    <w:rsid w:val="12A05ABE"/>
    <w:rsid w:val="12C16C73"/>
    <w:rsid w:val="12C97D37"/>
    <w:rsid w:val="12EB3CF0"/>
    <w:rsid w:val="13F6294C"/>
    <w:rsid w:val="144533BC"/>
    <w:rsid w:val="14A443BC"/>
    <w:rsid w:val="14B24AC5"/>
    <w:rsid w:val="166F4544"/>
    <w:rsid w:val="167454D7"/>
    <w:rsid w:val="16BE59A3"/>
    <w:rsid w:val="171F4A60"/>
    <w:rsid w:val="179055A4"/>
    <w:rsid w:val="17F35B20"/>
    <w:rsid w:val="183F0D66"/>
    <w:rsid w:val="18D56FD4"/>
    <w:rsid w:val="19622F5E"/>
    <w:rsid w:val="19D15A86"/>
    <w:rsid w:val="1AC56B29"/>
    <w:rsid w:val="1B252495"/>
    <w:rsid w:val="1B66485B"/>
    <w:rsid w:val="1C774776"/>
    <w:rsid w:val="1CDD0B4D"/>
    <w:rsid w:val="1D3C0585"/>
    <w:rsid w:val="1D481582"/>
    <w:rsid w:val="1D9376EB"/>
    <w:rsid w:val="1E94348E"/>
    <w:rsid w:val="1E9B2DB3"/>
    <w:rsid w:val="1F3F5AEF"/>
    <w:rsid w:val="1F9E1039"/>
    <w:rsid w:val="1FC55FF4"/>
    <w:rsid w:val="2040567B"/>
    <w:rsid w:val="214B2529"/>
    <w:rsid w:val="21557A06"/>
    <w:rsid w:val="21B710F4"/>
    <w:rsid w:val="2218153E"/>
    <w:rsid w:val="24831FDA"/>
    <w:rsid w:val="248C335D"/>
    <w:rsid w:val="2554310B"/>
    <w:rsid w:val="25732682"/>
    <w:rsid w:val="25773183"/>
    <w:rsid w:val="26431704"/>
    <w:rsid w:val="267678D7"/>
    <w:rsid w:val="26CD4569"/>
    <w:rsid w:val="26FD42C6"/>
    <w:rsid w:val="27BF157B"/>
    <w:rsid w:val="27D01D3D"/>
    <w:rsid w:val="28110468"/>
    <w:rsid w:val="282B0E7A"/>
    <w:rsid w:val="284B72B3"/>
    <w:rsid w:val="284D302B"/>
    <w:rsid w:val="28D64DCE"/>
    <w:rsid w:val="293A4A87"/>
    <w:rsid w:val="29461546"/>
    <w:rsid w:val="295061F9"/>
    <w:rsid w:val="2B5302F9"/>
    <w:rsid w:val="2BFF288E"/>
    <w:rsid w:val="2CA70AD9"/>
    <w:rsid w:val="2D542766"/>
    <w:rsid w:val="2D8D5C78"/>
    <w:rsid w:val="2D962D7E"/>
    <w:rsid w:val="2E44559E"/>
    <w:rsid w:val="2E534ACF"/>
    <w:rsid w:val="2F882B9B"/>
    <w:rsid w:val="303348B4"/>
    <w:rsid w:val="30731155"/>
    <w:rsid w:val="30935850"/>
    <w:rsid w:val="30DE46AE"/>
    <w:rsid w:val="311834AF"/>
    <w:rsid w:val="318469E5"/>
    <w:rsid w:val="3194337D"/>
    <w:rsid w:val="31AD4B3A"/>
    <w:rsid w:val="32046D5C"/>
    <w:rsid w:val="338729B4"/>
    <w:rsid w:val="3460122F"/>
    <w:rsid w:val="347E631A"/>
    <w:rsid w:val="35337105"/>
    <w:rsid w:val="35586B6B"/>
    <w:rsid w:val="35B50461"/>
    <w:rsid w:val="35B91D00"/>
    <w:rsid w:val="36160F00"/>
    <w:rsid w:val="36222D63"/>
    <w:rsid w:val="36581519"/>
    <w:rsid w:val="3684230E"/>
    <w:rsid w:val="36F748BD"/>
    <w:rsid w:val="37296A11"/>
    <w:rsid w:val="372A1E73"/>
    <w:rsid w:val="3737378F"/>
    <w:rsid w:val="37AD13F0"/>
    <w:rsid w:val="37AD7642"/>
    <w:rsid w:val="3806606D"/>
    <w:rsid w:val="396E4BAF"/>
    <w:rsid w:val="396F26D5"/>
    <w:rsid w:val="397701BE"/>
    <w:rsid w:val="3B0774FE"/>
    <w:rsid w:val="3B546CEC"/>
    <w:rsid w:val="3C536A3E"/>
    <w:rsid w:val="3C742582"/>
    <w:rsid w:val="3C920BB5"/>
    <w:rsid w:val="3D7719D5"/>
    <w:rsid w:val="3D9F0CFD"/>
    <w:rsid w:val="3E3C34CE"/>
    <w:rsid w:val="3EF773F5"/>
    <w:rsid w:val="3F43263A"/>
    <w:rsid w:val="3F8769CB"/>
    <w:rsid w:val="40055B41"/>
    <w:rsid w:val="40AE0DB3"/>
    <w:rsid w:val="41366ED0"/>
    <w:rsid w:val="41491977"/>
    <w:rsid w:val="4174214E"/>
    <w:rsid w:val="419A0B8C"/>
    <w:rsid w:val="41EE5E2D"/>
    <w:rsid w:val="430D71E7"/>
    <w:rsid w:val="43765214"/>
    <w:rsid w:val="440F6F8F"/>
    <w:rsid w:val="443859E1"/>
    <w:rsid w:val="45C81AEB"/>
    <w:rsid w:val="462C5579"/>
    <w:rsid w:val="46E97F6B"/>
    <w:rsid w:val="470703F1"/>
    <w:rsid w:val="475278BE"/>
    <w:rsid w:val="480E5EDB"/>
    <w:rsid w:val="4828061F"/>
    <w:rsid w:val="482D3E87"/>
    <w:rsid w:val="48763A80"/>
    <w:rsid w:val="4876582E"/>
    <w:rsid w:val="48B210C6"/>
    <w:rsid w:val="48D85C25"/>
    <w:rsid w:val="49860475"/>
    <w:rsid w:val="49A62143"/>
    <w:rsid w:val="49BC1967"/>
    <w:rsid w:val="4B753505"/>
    <w:rsid w:val="4C1C5576"/>
    <w:rsid w:val="4C675BBA"/>
    <w:rsid w:val="4CBE11B0"/>
    <w:rsid w:val="4D442BFB"/>
    <w:rsid w:val="4D781BD4"/>
    <w:rsid w:val="4DA009DA"/>
    <w:rsid w:val="4DA97E72"/>
    <w:rsid w:val="4DB9683E"/>
    <w:rsid w:val="50502E0F"/>
    <w:rsid w:val="505226DD"/>
    <w:rsid w:val="50D650BC"/>
    <w:rsid w:val="513D338D"/>
    <w:rsid w:val="51794369"/>
    <w:rsid w:val="51B2246F"/>
    <w:rsid w:val="51E7154B"/>
    <w:rsid w:val="5244074B"/>
    <w:rsid w:val="532C190B"/>
    <w:rsid w:val="536015B5"/>
    <w:rsid w:val="53764710"/>
    <w:rsid w:val="539906F6"/>
    <w:rsid w:val="554A42CB"/>
    <w:rsid w:val="558B7073"/>
    <w:rsid w:val="55D43B94"/>
    <w:rsid w:val="57B95737"/>
    <w:rsid w:val="58382E23"/>
    <w:rsid w:val="586631C9"/>
    <w:rsid w:val="586F6884"/>
    <w:rsid w:val="5875340D"/>
    <w:rsid w:val="589150FF"/>
    <w:rsid w:val="59D2668C"/>
    <w:rsid w:val="5A2701FB"/>
    <w:rsid w:val="5A643739"/>
    <w:rsid w:val="5AF869C4"/>
    <w:rsid w:val="5BAF4E87"/>
    <w:rsid w:val="5C1F025F"/>
    <w:rsid w:val="5C4A2E02"/>
    <w:rsid w:val="5D1A4465"/>
    <w:rsid w:val="5DF748C4"/>
    <w:rsid w:val="5E40626B"/>
    <w:rsid w:val="5E8C5954"/>
    <w:rsid w:val="5F546472"/>
    <w:rsid w:val="5F96537D"/>
    <w:rsid w:val="5FFD63C3"/>
    <w:rsid w:val="60187E0A"/>
    <w:rsid w:val="609B59DA"/>
    <w:rsid w:val="620D0B5A"/>
    <w:rsid w:val="621041A6"/>
    <w:rsid w:val="63367C3C"/>
    <w:rsid w:val="64472F94"/>
    <w:rsid w:val="645B5E9A"/>
    <w:rsid w:val="647267C2"/>
    <w:rsid w:val="64E41E18"/>
    <w:rsid w:val="64EC4A56"/>
    <w:rsid w:val="65706B30"/>
    <w:rsid w:val="67A535E2"/>
    <w:rsid w:val="67EF0C5A"/>
    <w:rsid w:val="68E54CA7"/>
    <w:rsid w:val="69531548"/>
    <w:rsid w:val="69C86AD4"/>
    <w:rsid w:val="69DA4731"/>
    <w:rsid w:val="6A513DD5"/>
    <w:rsid w:val="6B4252B1"/>
    <w:rsid w:val="6B572E46"/>
    <w:rsid w:val="6B96396E"/>
    <w:rsid w:val="6BF540D9"/>
    <w:rsid w:val="6C2C6080"/>
    <w:rsid w:val="6C496C32"/>
    <w:rsid w:val="6C4B4758"/>
    <w:rsid w:val="6DD0797D"/>
    <w:rsid w:val="6DDB1B0C"/>
    <w:rsid w:val="6E1A0EFE"/>
    <w:rsid w:val="6EFB23E8"/>
    <w:rsid w:val="6F5778B8"/>
    <w:rsid w:val="70473489"/>
    <w:rsid w:val="707A0DD5"/>
    <w:rsid w:val="70D77694"/>
    <w:rsid w:val="71257C6E"/>
    <w:rsid w:val="715E0A8A"/>
    <w:rsid w:val="71600CA6"/>
    <w:rsid w:val="71754026"/>
    <w:rsid w:val="71962B7E"/>
    <w:rsid w:val="7278201F"/>
    <w:rsid w:val="72F766A8"/>
    <w:rsid w:val="73AA445A"/>
    <w:rsid w:val="74314E96"/>
    <w:rsid w:val="744E1B8D"/>
    <w:rsid w:val="74AA048A"/>
    <w:rsid w:val="74B5471E"/>
    <w:rsid w:val="74B72E4D"/>
    <w:rsid w:val="74FB2A94"/>
    <w:rsid w:val="75422A7C"/>
    <w:rsid w:val="76E732D0"/>
    <w:rsid w:val="77701517"/>
    <w:rsid w:val="77B21B30"/>
    <w:rsid w:val="77D9530E"/>
    <w:rsid w:val="77E41C8F"/>
    <w:rsid w:val="77FF632E"/>
    <w:rsid w:val="78210A63"/>
    <w:rsid w:val="78992CEF"/>
    <w:rsid w:val="78B83176"/>
    <w:rsid w:val="78FB7506"/>
    <w:rsid w:val="797846B3"/>
    <w:rsid w:val="79D73ACF"/>
    <w:rsid w:val="79E81839"/>
    <w:rsid w:val="79E87A8A"/>
    <w:rsid w:val="7A7A0605"/>
    <w:rsid w:val="7B036868"/>
    <w:rsid w:val="7BDC53CD"/>
    <w:rsid w:val="7C1726A4"/>
    <w:rsid w:val="7C4116D4"/>
    <w:rsid w:val="7CA915F3"/>
    <w:rsid w:val="7CBA5FD5"/>
    <w:rsid w:val="7CF27D4C"/>
    <w:rsid w:val="7D6F2271"/>
    <w:rsid w:val="7D787377"/>
    <w:rsid w:val="7D8D1A62"/>
    <w:rsid w:val="7DE467BB"/>
    <w:rsid w:val="7E355268"/>
    <w:rsid w:val="7E411335"/>
    <w:rsid w:val="7E5F22E5"/>
    <w:rsid w:val="7EEB23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annotation text"/>
    <w:basedOn w:val="1"/>
    <w:link w:val="16"/>
    <w:qFormat/>
    <w:uiPriority w:val="99"/>
    <w:pPr>
      <w:jc w:val="left"/>
    </w:pPr>
  </w:style>
  <w:style w:type="paragraph" w:styleId="4">
    <w:name w:val="Plain Text"/>
    <w:basedOn w:val="1"/>
    <w:link w:val="18"/>
    <w:qFormat/>
    <w:uiPriority w:val="99"/>
    <w:rPr>
      <w:rFonts w:ascii="宋体" w:hAnsi="Courier New"/>
    </w:rPr>
  </w:style>
  <w:style w:type="paragraph" w:styleId="5">
    <w:name w:val="footer"/>
    <w:basedOn w:val="1"/>
    <w:link w:val="22"/>
    <w:unhideWhenUsed/>
    <w:qFormat/>
    <w:uiPriority w:val="99"/>
    <w:pPr>
      <w:tabs>
        <w:tab w:val="center" w:pos="4153"/>
        <w:tab w:val="right" w:pos="8306"/>
      </w:tabs>
      <w:snapToGrid w:val="0"/>
      <w:jc w:val="left"/>
    </w:pPr>
    <w:rPr>
      <w:sz w:val="18"/>
      <w:szCs w:val="18"/>
    </w:rPr>
  </w:style>
  <w:style w:type="paragraph" w:styleId="6">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annotation subject"/>
    <w:basedOn w:val="3"/>
    <w:next w:val="3"/>
    <w:link w:val="17"/>
    <w:semiHidden/>
    <w:unhideWhenUsed/>
    <w:qFormat/>
    <w:uiPriority w:val="99"/>
    <w:rPr>
      <w:b/>
      <w:bCs/>
    </w:rPr>
  </w:style>
  <w:style w:type="paragraph" w:styleId="9">
    <w:name w:val="Body Text First Indent"/>
    <w:basedOn w:val="2"/>
    <w:qFormat/>
    <w:uiPriority w:val="0"/>
    <w:pPr>
      <w:ind w:firstLine="420" w:firstLineChars="100"/>
    </w:pPr>
  </w:style>
  <w:style w:type="table" w:styleId="11">
    <w:name w:val="Table Grid"/>
    <w:basedOn w:val="10"/>
    <w:qFormat/>
    <w:uiPriority w:val="9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semiHidden/>
    <w:qFormat/>
    <w:uiPriority w:val="99"/>
    <w:rPr>
      <w:sz w:val="21"/>
      <w:szCs w:val="21"/>
    </w:rPr>
  </w:style>
  <w:style w:type="paragraph" w:customStyle="1" w:styleId="14">
    <w:name w:val="Default"/>
    <w:qFormat/>
    <w:uiPriority w:val="99"/>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character" w:customStyle="1" w:styleId="15">
    <w:name w:val="批注文字 字符"/>
    <w:basedOn w:val="12"/>
    <w:qFormat/>
    <w:uiPriority w:val="99"/>
    <w:rPr>
      <w:rFonts w:ascii="Times New Roman" w:hAnsi="Times New Roman" w:eastAsia="宋体" w:cs="Times New Roman"/>
      <w:szCs w:val="21"/>
    </w:rPr>
  </w:style>
  <w:style w:type="character" w:customStyle="1" w:styleId="16">
    <w:name w:val="批注文字 字符1"/>
    <w:link w:val="3"/>
    <w:semiHidden/>
    <w:qFormat/>
    <w:uiPriority w:val="99"/>
    <w:rPr>
      <w:rFonts w:ascii="Times New Roman" w:hAnsi="Times New Roman" w:eastAsia="宋体" w:cs="Times New Roman"/>
      <w:szCs w:val="21"/>
    </w:rPr>
  </w:style>
  <w:style w:type="character" w:customStyle="1" w:styleId="17">
    <w:name w:val="批注主题 字符"/>
    <w:basedOn w:val="16"/>
    <w:link w:val="8"/>
    <w:semiHidden/>
    <w:qFormat/>
    <w:uiPriority w:val="99"/>
    <w:rPr>
      <w:rFonts w:ascii="Times New Roman" w:hAnsi="Times New Roman" w:eastAsia="宋体" w:cs="Times New Roman"/>
      <w:b/>
      <w:bCs/>
      <w:szCs w:val="21"/>
    </w:rPr>
  </w:style>
  <w:style w:type="character" w:customStyle="1" w:styleId="18">
    <w:name w:val="纯文本 字符"/>
    <w:basedOn w:val="12"/>
    <w:link w:val="4"/>
    <w:qFormat/>
    <w:uiPriority w:val="99"/>
    <w:rPr>
      <w:rFonts w:ascii="宋体" w:hAnsi="Courier New" w:eastAsia="宋体" w:cs="Times New Roman"/>
      <w:szCs w:val="21"/>
    </w:rPr>
  </w:style>
  <w:style w:type="paragraph" w:customStyle="1" w:styleId="19">
    <w:name w:val="表格文字"/>
    <w:basedOn w:val="1"/>
    <w:qFormat/>
    <w:uiPriority w:val="0"/>
    <w:pPr>
      <w:spacing w:before="25" w:after="25"/>
      <w:jc w:val="left"/>
    </w:pPr>
    <w:rPr>
      <w:rFonts w:ascii="Calibri" w:hAnsi="Calibri"/>
      <w:bCs/>
      <w:spacing w:val="10"/>
      <w:kern w:val="0"/>
      <w:sz w:val="24"/>
      <w:szCs w:val="20"/>
    </w:rPr>
  </w:style>
  <w:style w:type="character" w:customStyle="1" w:styleId="20">
    <w:name w:val="fontstyle01"/>
    <w:qFormat/>
    <w:uiPriority w:val="0"/>
    <w:rPr>
      <w:rFonts w:hint="eastAsia" w:ascii="宋体" w:hAnsi="宋体" w:eastAsia="宋体"/>
      <w:color w:val="000000"/>
      <w:sz w:val="24"/>
      <w:szCs w:val="24"/>
    </w:rPr>
  </w:style>
  <w:style w:type="character" w:customStyle="1" w:styleId="21">
    <w:name w:val="页眉 字符"/>
    <w:basedOn w:val="12"/>
    <w:link w:val="6"/>
    <w:qFormat/>
    <w:uiPriority w:val="99"/>
    <w:rPr>
      <w:rFonts w:ascii="Times New Roman" w:hAnsi="Times New Roman" w:eastAsia="宋体" w:cs="Times New Roman"/>
      <w:sz w:val="18"/>
      <w:szCs w:val="18"/>
    </w:rPr>
  </w:style>
  <w:style w:type="character" w:customStyle="1" w:styleId="22">
    <w:name w:val="页脚 字符"/>
    <w:basedOn w:val="12"/>
    <w:link w:val="5"/>
    <w:qFormat/>
    <w:uiPriority w:val="99"/>
    <w:rPr>
      <w:rFonts w:ascii="Times New Roman" w:hAnsi="Times New Roman" w:eastAsia="宋体" w:cs="Times New Roman"/>
      <w:sz w:val="18"/>
      <w:szCs w:val="18"/>
    </w:rPr>
  </w:style>
  <w:style w:type="character" w:styleId="23">
    <w:name w:val="Placeholder Text"/>
    <w:basedOn w:val="12"/>
    <w:semiHidden/>
    <w:qFormat/>
    <w:uiPriority w:val="99"/>
    <w:rPr>
      <w:color w:val="808080"/>
    </w:rPr>
  </w:style>
  <w:style w:type="paragraph" w:customStyle="1" w:styleId="24">
    <w:name w:val="样式1"/>
    <w:basedOn w:val="1"/>
    <w:qFormat/>
    <w:uiPriority w:val="0"/>
  </w:style>
  <w:style w:type="character" w:customStyle="1" w:styleId="25">
    <w:name w:val="font21"/>
    <w:basedOn w:val="12"/>
    <w:qFormat/>
    <w:uiPriority w:val="0"/>
    <w:rPr>
      <w:rFonts w:hint="default" w:ascii="Calibri" w:hAnsi="Calibri" w:cs="Calibri"/>
      <w:color w:val="000000"/>
      <w:sz w:val="24"/>
      <w:szCs w:val="24"/>
      <w:u w:val="none"/>
    </w:rPr>
  </w:style>
  <w:style w:type="character" w:customStyle="1" w:styleId="26">
    <w:name w:val="font41"/>
    <w:basedOn w:val="12"/>
    <w:qFormat/>
    <w:uiPriority w:val="0"/>
    <w:rPr>
      <w:rFonts w:ascii="宋体-简" w:hAnsi="宋体-简" w:eastAsia="宋体-简" w:cs="宋体-简"/>
      <w:color w:val="000000"/>
      <w:sz w:val="24"/>
      <w:szCs w:val="24"/>
      <w:u w:val="none"/>
    </w:rPr>
  </w:style>
  <w:style w:type="character" w:customStyle="1" w:styleId="27">
    <w:name w:val="font51"/>
    <w:basedOn w:val="12"/>
    <w:qFormat/>
    <w:uiPriority w:val="0"/>
    <w:rPr>
      <w:rFonts w:hint="default" w:ascii="宋体-简" w:hAnsi="宋体-简" w:eastAsia="宋体-简" w:cs="宋体-简"/>
      <w:color w:val="000000"/>
      <w:sz w:val="24"/>
      <w:szCs w:val="24"/>
      <w:u w:val="none"/>
    </w:rPr>
  </w:style>
  <w:style w:type="character" w:customStyle="1" w:styleId="28">
    <w:name w:val="font11"/>
    <w:basedOn w:val="12"/>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9096a1c-88ca-43d7-960c-214e8f4d5596}"/>
        <w:style w:val=""/>
        <w:category>
          <w:name w:val="常规"/>
          <w:gallery w:val="placeholder"/>
        </w:category>
        <w:types>
          <w:type w:val="bbPlcHdr"/>
        </w:types>
        <w:behaviors>
          <w:behavior w:val="content"/>
        </w:behaviors>
        <w:description w:val=""/>
        <w:guid w:val="{89096a1c-88ca-43d7-960c-214e8f4d5596}"/>
      </w:docPartPr>
      <w:docPartBody>
        <w:p w14:paraId="31D9254B">
          <w:r>
            <w:rPr>
              <w:rStyle w:val="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5"/>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character" w:styleId="3">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3660</Words>
  <Characters>4166</Characters>
  <Lines>26</Lines>
  <Paragraphs>7</Paragraphs>
  <TotalTime>0</TotalTime>
  <ScaleCrop>false</ScaleCrop>
  <LinksUpToDate>false</LinksUpToDate>
  <CharactersWithSpaces>4237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2021-01-18T01:58:00Z</dcterms:created>
  <dc:creator>c k</dc:creator>
  <cp:lastModifiedBy>老阳</cp:lastModifiedBy>
  <cp:lastPrinted>2021-01-18T07:59:00Z</cp:lastPrinted>
  <dcterms:modified xsi:type="dcterms:W3CDTF">2026-10-27T08:52:01Z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7D9B7394078341DA82353C190CCFB404_13</vt:lpwstr>
  </property>
  <property fmtid="{D5CDD505-2E9C-101B-9397-08002B2CF9AE}" pid="4" name="KSOTemplateDocerSaveRecord">
    <vt:lpwstr>eyJoZGlkIjoiOTZkZDVmNzBiZGNiZTJiMTNjOTFhZTJiYjI4ZWQ4OTAiLCJ1c2VySWQiOiI0MzU5NDIxNTAifQ==</vt:lpwstr>
  </property>
</Properties>
</file>