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A4D42">
      <w:pPr>
        <w:widowControl/>
        <w:jc w:val="both"/>
        <w:rPr>
          <w:rFonts w:hint="eastAsia" w:cs="宋体"/>
          <w:b/>
          <w:bCs/>
          <w:sz w:val="28"/>
          <w:szCs w:val="28"/>
          <w:lang w:val="en-US" w:eastAsia="zh-CN"/>
        </w:rPr>
      </w:pPr>
      <w:r>
        <w:rPr>
          <w:rFonts w:hint="eastAsia" w:ascii="宋体" w:hAnsi="宋体" w:eastAsia="宋体" w:cs="宋体"/>
          <w:b/>
          <w:bCs/>
          <w:kern w:val="0"/>
          <w:sz w:val="28"/>
          <w:szCs w:val="28"/>
          <w:lang w:val="en-US" w:eastAsia="zh-CN"/>
        </w:rPr>
        <w:t>附件1</w:t>
      </w:r>
    </w:p>
    <w:p w14:paraId="4CF3B170">
      <w:pPr>
        <w:pStyle w:val="18"/>
        <w:ind w:left="-708" w:leftChars="-337"/>
        <w:rPr>
          <w:rFonts w:hint="default" w:eastAsia="宋体" w:cs="宋体"/>
          <w:b/>
          <w:bCs/>
          <w:sz w:val="28"/>
          <w:szCs w:val="28"/>
          <w:lang w:val="en-US" w:eastAsia="zh-CN"/>
        </w:rPr>
      </w:pPr>
      <w:r>
        <w:rPr>
          <w:rFonts w:hint="eastAsia" w:cs="宋体"/>
          <w:b/>
          <w:bCs/>
          <w:sz w:val="28"/>
          <w:szCs w:val="28"/>
          <w:lang w:val="en-US" w:eastAsia="zh-CN"/>
        </w:rPr>
        <w:t xml:space="preserve">                            </w:t>
      </w:r>
      <w:r>
        <w:rPr>
          <w:rFonts w:hint="eastAsia" w:cs="宋体"/>
          <w:b/>
          <w:bCs/>
          <w:sz w:val="44"/>
          <w:szCs w:val="44"/>
          <w:lang w:val="en-US" w:eastAsia="zh-CN"/>
        </w:rPr>
        <w:t>采购需求</w:t>
      </w:r>
    </w:p>
    <w:p w14:paraId="09FBC62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8B4DC3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w:t>
      </w:r>
    </w:p>
    <w:p w14:paraId="21003D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1.标注“▲”的条款为实质性条款，如有负偏离或不响应的，则投标文件无效</w:t>
      </w:r>
      <w:r>
        <w:rPr>
          <w:rFonts w:hint="eastAsia" w:ascii="宋体" w:hAnsi="宋体" w:cs="宋体"/>
          <w:color w:val="auto"/>
          <w:sz w:val="24"/>
          <w:szCs w:val="24"/>
          <w:highlight w:val="none"/>
          <w:lang w:val="en-US" w:eastAsia="zh-CN"/>
        </w:rPr>
        <w:t>。</w:t>
      </w:r>
    </w:p>
    <w:p w14:paraId="16DA09F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2.商务条款评审中允许负偏离的条款数为0项。技术需求评审中，每台设备允许负偏离的条款数为2项</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如超出允许范围，则投标文件无效。</w:t>
      </w:r>
    </w:p>
    <w:p w14:paraId="508A23B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eastAsia="仿宋" w:cs="宋体"/>
          <w:b/>
          <w:bCs/>
          <w:color w:val="FF0000"/>
          <w:kern w:val="0"/>
          <w:sz w:val="38"/>
          <w:szCs w:val="38"/>
          <w:lang w:val="en-US"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.供应商必须自行为其竞标产品侵犯他人的知识产权或者专利成果的行为承担相应法律责任。</w:t>
      </w:r>
    </w:p>
    <w:p w14:paraId="78387114">
      <w:pPr>
        <w:pStyle w:val="18"/>
        <w:ind w:left="0" w:leftChars="0" w:firstLine="281" w:firstLineChars="100"/>
        <w:rPr>
          <w:rFonts w:cs="宋体"/>
          <w:b/>
          <w:bCs/>
          <w:sz w:val="28"/>
          <w:szCs w:val="28"/>
        </w:rPr>
      </w:pPr>
      <w:r>
        <w:rPr>
          <w:rFonts w:hint="eastAsia" w:cs="宋体"/>
          <w:b/>
          <w:bCs/>
          <w:sz w:val="28"/>
          <w:szCs w:val="28"/>
        </w:rPr>
        <w:t>一、采购清单、技术规格参数、质量标准和要求</w:t>
      </w:r>
    </w:p>
    <w:p w14:paraId="29FB495E">
      <w:pPr>
        <w:pStyle w:val="18"/>
        <w:ind w:left="0" w:leftChars="0"/>
        <w:rPr>
          <w:rFonts w:hint="default" w:eastAsia="宋体"/>
          <w:b/>
          <w:bCs/>
          <w:lang w:val="en-US" w:eastAsia="zh-CN"/>
        </w:rPr>
      </w:pPr>
      <w:r>
        <w:rPr>
          <w:rFonts w:hint="eastAsia" w:cs="宋体"/>
          <w:b/>
          <w:bCs/>
        </w:rPr>
        <w:t>（一）采购清单</w:t>
      </w:r>
      <w:r>
        <w:rPr>
          <w:b/>
          <w:bCs/>
        </w:rPr>
        <w:t> </w:t>
      </w:r>
    </w:p>
    <w:p w14:paraId="5AD80A9A">
      <w:pPr>
        <w:pStyle w:val="18"/>
        <w:ind w:left="-708" w:leftChars="-337"/>
        <w:rPr>
          <w:rFonts w:hint="eastAsia"/>
          <w:b/>
          <w:bCs/>
          <w:color w:val="0000FF"/>
          <w:sz w:val="18"/>
          <w:szCs w:val="18"/>
          <w:lang w:val="en-US" w:eastAsia="zh-CN"/>
        </w:rPr>
      </w:pPr>
      <w:r>
        <w:rPr>
          <w:rFonts w:hint="eastAsia"/>
          <w:b/>
          <w:bCs/>
          <w:lang w:val="en-US" w:eastAsia="zh-CN"/>
        </w:rPr>
        <w:t xml:space="preserve">     </w:t>
      </w:r>
    </w:p>
    <w:tbl>
      <w:tblPr>
        <w:tblStyle w:val="15"/>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2144"/>
        <w:gridCol w:w="796"/>
        <w:gridCol w:w="1474"/>
        <w:gridCol w:w="1500"/>
        <w:gridCol w:w="2543"/>
      </w:tblGrid>
      <w:tr w14:paraId="0566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 w:type="dxa"/>
            <w:vAlign w:val="center"/>
          </w:tcPr>
          <w:p w14:paraId="79F0CC7B">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序号</w:t>
            </w:r>
          </w:p>
        </w:tc>
        <w:tc>
          <w:tcPr>
            <w:tcW w:w="2144" w:type="dxa"/>
            <w:vAlign w:val="center"/>
          </w:tcPr>
          <w:p w14:paraId="0CE425C8">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项目名称</w:t>
            </w:r>
          </w:p>
        </w:tc>
        <w:tc>
          <w:tcPr>
            <w:tcW w:w="796" w:type="dxa"/>
            <w:vAlign w:val="center"/>
          </w:tcPr>
          <w:p w14:paraId="5BDDBDE3">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数量</w:t>
            </w:r>
          </w:p>
        </w:tc>
        <w:tc>
          <w:tcPr>
            <w:tcW w:w="1474" w:type="dxa"/>
            <w:vAlign w:val="center"/>
          </w:tcPr>
          <w:p w14:paraId="3982FC44">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上控单价</w:t>
            </w:r>
            <w:r>
              <w:rPr>
                <w:rFonts w:hint="eastAsia" w:eastAsia="宋体" w:cs="宋体"/>
                <w:b w:val="0"/>
                <w:bCs/>
                <w:color w:val="auto"/>
                <w:szCs w:val="24"/>
                <w:highlight w:val="none"/>
                <w:lang w:val="en-US" w:eastAsia="zh-CN"/>
              </w:rPr>
              <w:t>（元）</w:t>
            </w:r>
          </w:p>
        </w:tc>
        <w:tc>
          <w:tcPr>
            <w:tcW w:w="1500" w:type="dxa"/>
            <w:vAlign w:val="center"/>
          </w:tcPr>
          <w:p w14:paraId="25F152CC">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上控价小计</w:t>
            </w:r>
            <w:r>
              <w:rPr>
                <w:rFonts w:hint="eastAsia" w:eastAsia="宋体" w:cs="宋体"/>
                <w:b w:val="0"/>
                <w:bCs/>
                <w:color w:val="auto"/>
                <w:szCs w:val="24"/>
                <w:highlight w:val="none"/>
                <w:lang w:val="en-US" w:eastAsia="zh-CN"/>
              </w:rPr>
              <w:t>（元）</w:t>
            </w:r>
          </w:p>
        </w:tc>
        <w:tc>
          <w:tcPr>
            <w:tcW w:w="2543" w:type="dxa"/>
            <w:vAlign w:val="center"/>
          </w:tcPr>
          <w:p w14:paraId="5BF1303E">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技术参数要求</w:t>
            </w:r>
          </w:p>
        </w:tc>
      </w:tr>
      <w:tr w14:paraId="04E8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26" w:type="dxa"/>
            <w:vAlign w:val="center"/>
          </w:tcPr>
          <w:p w14:paraId="0CA5AC56">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1</w:t>
            </w:r>
          </w:p>
        </w:tc>
        <w:tc>
          <w:tcPr>
            <w:tcW w:w="2144" w:type="dxa"/>
            <w:vAlign w:val="center"/>
          </w:tcPr>
          <w:p w14:paraId="32425AEC">
            <w:pPr>
              <w:pStyle w:val="4"/>
              <w:adjustRightInd w:val="0"/>
              <w:spacing w:line="360" w:lineRule="auto"/>
              <w:ind w:firstLine="0" w:firstLineChars="0"/>
              <w:jc w:val="center"/>
              <w:outlineLvl w:val="9"/>
              <w:rPr>
                <w:rFonts w:hint="eastAsia"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白带分析仪</w:t>
            </w:r>
          </w:p>
        </w:tc>
        <w:tc>
          <w:tcPr>
            <w:tcW w:w="796" w:type="dxa"/>
            <w:vAlign w:val="center"/>
          </w:tcPr>
          <w:p w14:paraId="2E5336D2">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1</w:t>
            </w:r>
          </w:p>
        </w:tc>
        <w:tc>
          <w:tcPr>
            <w:tcW w:w="1474" w:type="dxa"/>
            <w:vAlign w:val="center"/>
          </w:tcPr>
          <w:p w14:paraId="1D830FBD">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20000.00</w:t>
            </w:r>
          </w:p>
        </w:tc>
        <w:tc>
          <w:tcPr>
            <w:tcW w:w="1500" w:type="dxa"/>
            <w:vAlign w:val="center"/>
          </w:tcPr>
          <w:p w14:paraId="3CF13F07">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20000.00</w:t>
            </w:r>
          </w:p>
        </w:tc>
        <w:tc>
          <w:tcPr>
            <w:tcW w:w="2543" w:type="dxa"/>
            <w:vMerge w:val="restart"/>
            <w:vAlign w:val="center"/>
          </w:tcPr>
          <w:p w14:paraId="5FB5AB96">
            <w:pPr>
              <w:pStyle w:val="4"/>
              <w:adjustRightInd w:val="0"/>
              <w:spacing w:line="360" w:lineRule="auto"/>
              <w:ind w:firstLine="0" w:firstLineChars="0"/>
              <w:jc w:val="center"/>
              <w:outlineLvl w:val="9"/>
              <w:rPr>
                <w:rFonts w:hint="eastAsia"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rPr>
              <w:t>详见技术参数、性能（配置）及其他</w:t>
            </w:r>
            <w:r>
              <w:rPr>
                <w:rFonts w:hint="eastAsia" w:ascii="宋体" w:hAnsi="宋体" w:eastAsia="宋体" w:cs="宋体"/>
                <w:b w:val="0"/>
                <w:bCs/>
                <w:color w:val="auto"/>
                <w:szCs w:val="24"/>
                <w:highlight w:val="none"/>
                <w:lang w:val="en-US" w:eastAsia="zh-CN"/>
              </w:rPr>
              <w:t>要求</w:t>
            </w:r>
          </w:p>
        </w:tc>
      </w:tr>
      <w:tr w14:paraId="5567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26" w:type="dxa"/>
            <w:vAlign w:val="center"/>
          </w:tcPr>
          <w:p w14:paraId="6800A8AC">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2</w:t>
            </w:r>
          </w:p>
        </w:tc>
        <w:tc>
          <w:tcPr>
            <w:tcW w:w="2144" w:type="dxa"/>
            <w:vAlign w:val="center"/>
          </w:tcPr>
          <w:p w14:paraId="45A18985">
            <w:pPr>
              <w:pStyle w:val="4"/>
              <w:adjustRightInd w:val="0"/>
              <w:spacing w:line="360" w:lineRule="auto"/>
              <w:ind w:firstLine="0" w:firstLineChars="0"/>
              <w:jc w:val="center"/>
              <w:outlineLvl w:val="9"/>
              <w:rPr>
                <w:rFonts w:hint="eastAsia" w:ascii="宋体" w:hAnsi="宋体" w:eastAsia="宋体" w:cs="宋体"/>
                <w:b w:val="0"/>
                <w:bCs/>
                <w:color w:val="auto"/>
                <w:szCs w:val="24"/>
                <w:highlight w:val="none"/>
                <w:lang w:val="en-US" w:eastAsia="zh-CN"/>
              </w:rPr>
            </w:pPr>
            <w:r>
              <w:rPr>
                <w:rFonts w:hint="eastAsia" w:ascii="宋体" w:hAnsi="宋体" w:eastAsia="宋体" w:cs="宋体"/>
                <w:b w:val="0"/>
                <w:bCs/>
                <w:color w:val="auto"/>
                <w:szCs w:val="24"/>
                <w:highlight w:val="none"/>
                <w:lang w:val="en-US" w:eastAsia="zh-CN"/>
              </w:rPr>
              <w:t>全自动化学发光仪</w:t>
            </w:r>
          </w:p>
        </w:tc>
        <w:tc>
          <w:tcPr>
            <w:tcW w:w="796" w:type="dxa"/>
            <w:vAlign w:val="center"/>
          </w:tcPr>
          <w:p w14:paraId="41654580">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1</w:t>
            </w:r>
          </w:p>
        </w:tc>
        <w:tc>
          <w:tcPr>
            <w:tcW w:w="1474" w:type="dxa"/>
            <w:vAlign w:val="center"/>
          </w:tcPr>
          <w:p w14:paraId="68796B99">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20000.00</w:t>
            </w:r>
          </w:p>
        </w:tc>
        <w:tc>
          <w:tcPr>
            <w:tcW w:w="1500" w:type="dxa"/>
            <w:vAlign w:val="center"/>
          </w:tcPr>
          <w:p w14:paraId="4C5F5C9F">
            <w:pPr>
              <w:pStyle w:val="4"/>
              <w:adjustRightInd w:val="0"/>
              <w:spacing w:line="360" w:lineRule="auto"/>
              <w:ind w:firstLine="0" w:firstLineChars="0"/>
              <w:jc w:val="center"/>
              <w:outlineLvl w:val="9"/>
              <w:rPr>
                <w:rFonts w:hint="default" w:ascii="宋体" w:hAnsi="宋体" w:eastAsia="宋体" w:cs="宋体"/>
                <w:b w:val="0"/>
                <w:bCs/>
                <w:color w:val="auto"/>
                <w:szCs w:val="24"/>
                <w:highlight w:val="none"/>
                <w:lang w:val="en-US" w:eastAsia="zh-CN"/>
              </w:rPr>
            </w:pPr>
            <w:r>
              <w:rPr>
                <w:rFonts w:hint="eastAsia" w:cs="宋体"/>
                <w:b w:val="0"/>
                <w:bCs/>
                <w:color w:val="auto"/>
                <w:szCs w:val="24"/>
                <w:highlight w:val="none"/>
                <w:lang w:val="en-US" w:eastAsia="zh-CN"/>
              </w:rPr>
              <w:t>20000.00</w:t>
            </w:r>
          </w:p>
        </w:tc>
        <w:tc>
          <w:tcPr>
            <w:tcW w:w="2543" w:type="dxa"/>
            <w:vMerge w:val="continue"/>
            <w:vAlign w:val="center"/>
          </w:tcPr>
          <w:p w14:paraId="39A2C539">
            <w:pPr>
              <w:pStyle w:val="4"/>
              <w:adjustRightInd w:val="0"/>
              <w:spacing w:line="360" w:lineRule="auto"/>
              <w:ind w:firstLine="0" w:firstLineChars="0"/>
              <w:jc w:val="center"/>
              <w:outlineLvl w:val="9"/>
              <w:rPr>
                <w:rFonts w:hint="eastAsia" w:ascii="宋体" w:hAnsi="宋体" w:eastAsia="宋体" w:cs="宋体"/>
                <w:b w:val="0"/>
                <w:bCs/>
                <w:color w:val="auto"/>
                <w:szCs w:val="24"/>
                <w:highlight w:val="none"/>
                <w:lang w:val="en-US" w:eastAsia="zh-CN"/>
              </w:rPr>
            </w:pPr>
          </w:p>
        </w:tc>
      </w:tr>
      <w:tr w14:paraId="4F6A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283" w:type="dxa"/>
            <w:gridSpan w:val="6"/>
            <w:vAlign w:val="center"/>
          </w:tcPr>
          <w:p w14:paraId="01168953">
            <w:pPr>
              <w:pStyle w:val="4"/>
              <w:adjustRightInd w:val="0"/>
              <w:spacing w:line="360" w:lineRule="auto"/>
              <w:ind w:firstLine="0" w:firstLineChars="0"/>
              <w:jc w:val="both"/>
              <w:outlineLvl w:val="9"/>
              <w:rPr>
                <w:rFonts w:hint="default" w:ascii="宋体" w:hAnsi="宋体" w:eastAsia="宋体" w:cs="宋体"/>
                <w:b w:val="0"/>
                <w:bCs/>
                <w:color w:val="auto"/>
                <w:szCs w:val="24"/>
                <w:highlight w:val="none"/>
                <w:lang w:val="en-US" w:eastAsia="zh-CN"/>
              </w:rPr>
            </w:pPr>
            <w:r>
              <w:rPr>
                <w:rFonts w:hint="eastAsia" w:eastAsia="宋体" w:cs="宋体"/>
                <w:b w:val="0"/>
                <w:bCs/>
                <w:color w:val="auto"/>
                <w:szCs w:val="24"/>
                <w:highlight w:val="none"/>
                <w:lang w:val="en-US" w:eastAsia="zh-CN"/>
              </w:rPr>
              <w:t>项目</w:t>
            </w:r>
            <w:r>
              <w:rPr>
                <w:rFonts w:hint="eastAsia" w:ascii="宋体" w:hAnsi="宋体" w:eastAsia="宋体" w:cs="宋体"/>
                <w:b w:val="0"/>
                <w:bCs/>
                <w:color w:val="auto"/>
                <w:szCs w:val="24"/>
                <w:highlight w:val="none"/>
                <w:lang w:val="en-US" w:eastAsia="zh-CN"/>
              </w:rPr>
              <w:t>总预算</w:t>
            </w:r>
            <w:r>
              <w:rPr>
                <w:rFonts w:hint="eastAsia" w:eastAsia="宋体" w:cs="宋体"/>
                <w:b w:val="0"/>
                <w:bCs/>
                <w:color w:val="auto"/>
                <w:szCs w:val="24"/>
                <w:highlight w:val="none"/>
                <w:lang w:val="en-US" w:eastAsia="zh-CN"/>
              </w:rPr>
              <w:t>控制</w:t>
            </w:r>
            <w:r>
              <w:rPr>
                <w:rFonts w:hint="eastAsia" w:ascii="宋体" w:hAnsi="宋体" w:eastAsia="宋体" w:cs="宋体"/>
                <w:b w:val="0"/>
                <w:bCs/>
                <w:color w:val="auto"/>
                <w:szCs w:val="24"/>
                <w:highlight w:val="none"/>
                <w:lang w:val="en-US" w:eastAsia="zh-CN"/>
              </w:rPr>
              <w:t>价：</w:t>
            </w:r>
            <w:r>
              <w:rPr>
                <w:rFonts w:hint="eastAsia" w:cs="宋体"/>
                <w:b w:val="0"/>
                <w:bCs/>
                <w:color w:val="auto"/>
                <w:szCs w:val="24"/>
                <w:highlight w:val="none"/>
                <w:lang w:val="en-US" w:eastAsia="zh-CN"/>
              </w:rPr>
              <w:t>40000.00</w:t>
            </w:r>
            <w:r>
              <w:rPr>
                <w:rFonts w:hint="eastAsia" w:ascii="宋体" w:hAnsi="宋体" w:eastAsia="宋体" w:cs="宋体"/>
                <w:b w:val="0"/>
                <w:bCs/>
                <w:color w:val="auto"/>
                <w:szCs w:val="24"/>
                <w:highlight w:val="none"/>
                <w:lang w:val="en-US" w:eastAsia="zh-CN"/>
              </w:rPr>
              <w:t xml:space="preserve"> 元</w:t>
            </w:r>
          </w:p>
        </w:tc>
      </w:tr>
    </w:tbl>
    <w:p w14:paraId="22241684">
      <w:pPr>
        <w:widowControl/>
        <w:numPr>
          <w:ilvl w:val="0"/>
          <w:numId w:val="0"/>
        </w:numPr>
        <w:spacing w:line="240" w:lineRule="auto"/>
        <w:jc w:val="left"/>
        <w:rPr>
          <w:rFonts w:hint="eastAsia" w:cs="宋体"/>
          <w:b/>
          <w:bCs/>
          <w:color w:val="000000"/>
          <w:kern w:val="0"/>
          <w:sz w:val="24"/>
          <w:szCs w:val="24"/>
          <w:lang w:val="en-US" w:eastAsia="zh-CN" w:bidi="ar-SA"/>
        </w:rPr>
      </w:pPr>
    </w:p>
    <w:p w14:paraId="6824A9AA">
      <w:pPr>
        <w:widowControl/>
        <w:numPr>
          <w:ilvl w:val="0"/>
          <w:numId w:val="0"/>
        </w:numPr>
        <w:spacing w:line="360" w:lineRule="auto"/>
        <w:jc w:val="left"/>
        <w:rPr>
          <w:rFonts w:hint="default" w:ascii="Times New Roman" w:hAnsi="Times New Roman" w:eastAsia="宋体" w:cs="宋体"/>
          <w:b/>
          <w:bCs/>
          <w:color w:val="000000"/>
          <w:kern w:val="0"/>
          <w:sz w:val="24"/>
          <w:szCs w:val="24"/>
          <w:lang w:val="en-US" w:eastAsia="zh-CN" w:bidi="ar-SA"/>
        </w:rPr>
      </w:pPr>
      <w:r>
        <w:rPr>
          <w:rFonts w:hint="eastAsia" w:cs="宋体"/>
          <w:b/>
          <w:bCs/>
          <w:color w:val="000000"/>
          <w:kern w:val="0"/>
          <w:sz w:val="24"/>
          <w:szCs w:val="24"/>
          <w:lang w:val="en-US" w:eastAsia="zh-CN" w:bidi="ar-SA"/>
        </w:rPr>
        <w:t>（二）</w:t>
      </w:r>
      <w:r>
        <w:rPr>
          <w:rFonts w:hint="eastAsia" w:ascii="Times New Roman" w:hAnsi="Times New Roman" w:eastAsia="宋体" w:cs="宋体"/>
          <w:b/>
          <w:bCs/>
          <w:color w:val="000000"/>
          <w:kern w:val="0"/>
          <w:sz w:val="24"/>
          <w:szCs w:val="24"/>
          <w:lang w:val="en-US" w:eastAsia="zh-CN" w:bidi="ar-SA"/>
        </w:rPr>
        <w:t>技术规格参数</w:t>
      </w:r>
      <w:r>
        <w:rPr>
          <w:rFonts w:hint="eastAsia" w:cs="宋体"/>
          <w:b/>
          <w:bCs/>
          <w:color w:val="000000"/>
          <w:kern w:val="0"/>
          <w:sz w:val="24"/>
          <w:szCs w:val="24"/>
          <w:lang w:val="en-US" w:eastAsia="zh-CN" w:bidi="ar-SA"/>
        </w:rPr>
        <w:t>要求</w:t>
      </w:r>
    </w:p>
    <w:tbl>
      <w:tblPr>
        <w:tblStyle w:val="14"/>
        <w:tblW w:w="9705" w:type="dxa"/>
        <w:tblInd w:w="0" w:type="dxa"/>
        <w:tblLayout w:type="fixed"/>
        <w:tblCellMar>
          <w:top w:w="0" w:type="dxa"/>
          <w:left w:w="108" w:type="dxa"/>
          <w:bottom w:w="0" w:type="dxa"/>
          <w:right w:w="108" w:type="dxa"/>
        </w:tblCellMar>
      </w:tblPr>
      <w:tblGrid>
        <w:gridCol w:w="745"/>
        <w:gridCol w:w="756"/>
        <w:gridCol w:w="730"/>
        <w:gridCol w:w="7474"/>
      </w:tblGrid>
      <w:tr w14:paraId="2B2BDD1A">
        <w:tblPrEx>
          <w:tblCellMar>
            <w:top w:w="0" w:type="dxa"/>
            <w:left w:w="108" w:type="dxa"/>
            <w:bottom w:w="0" w:type="dxa"/>
            <w:right w:w="108" w:type="dxa"/>
          </w:tblCellMar>
        </w:tblPrEx>
        <w:trPr>
          <w:trHeight w:val="713" w:hRule="atLeast"/>
        </w:trPr>
        <w:tc>
          <w:tcPr>
            <w:tcW w:w="745" w:type="dxa"/>
            <w:tcBorders>
              <w:top w:val="single" w:color="000000" w:sz="4" w:space="0"/>
              <w:left w:val="single" w:color="000000" w:sz="4" w:space="0"/>
              <w:bottom w:val="single" w:color="000000" w:sz="4" w:space="0"/>
              <w:right w:val="single" w:color="000000" w:sz="4" w:space="0"/>
            </w:tcBorders>
            <w:noWrap w:val="0"/>
            <w:vAlign w:val="center"/>
          </w:tcPr>
          <w:p w14:paraId="0E0BC872">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C8D9E6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7042766">
            <w:pPr>
              <w:widowControl/>
              <w:jc w:val="center"/>
              <w:textAlignment w:val="center"/>
              <w:rPr>
                <w:rFonts w:hint="eastAsia" w:ascii="宋体" w:hAnsi="宋体" w:eastAsia="宋体" w:cs="宋体"/>
                <w:color w:val="000000"/>
                <w:sz w:val="24"/>
                <w:szCs w:val="24"/>
                <w:lang w:eastAsia="zh-CN"/>
              </w:rPr>
            </w:pPr>
            <w:r>
              <w:rPr>
                <w:rFonts w:hint="eastAsia" w:ascii="宋体" w:hAnsi="宋体" w:cs="宋体"/>
                <w:color w:val="000000"/>
                <w:sz w:val="24"/>
                <w:szCs w:val="24"/>
                <w:lang w:eastAsia="zh-CN"/>
              </w:rPr>
              <w:t>数量</w:t>
            </w:r>
          </w:p>
        </w:tc>
        <w:tc>
          <w:tcPr>
            <w:tcW w:w="7474" w:type="dxa"/>
            <w:tcBorders>
              <w:top w:val="single" w:color="000000" w:sz="4" w:space="0"/>
              <w:left w:val="single" w:color="000000" w:sz="4" w:space="0"/>
              <w:bottom w:val="single" w:color="000000" w:sz="4" w:space="0"/>
              <w:right w:val="single" w:color="000000" w:sz="4" w:space="0"/>
            </w:tcBorders>
            <w:noWrap w:val="0"/>
            <w:vAlign w:val="center"/>
          </w:tcPr>
          <w:p w14:paraId="29C98D16">
            <w:pPr>
              <w:widowControl/>
              <w:jc w:val="center"/>
              <w:textAlignment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技术参数要求</w:t>
            </w:r>
          </w:p>
        </w:tc>
      </w:tr>
      <w:tr w14:paraId="69DC1779">
        <w:tblPrEx>
          <w:tblCellMar>
            <w:top w:w="0" w:type="dxa"/>
            <w:left w:w="108" w:type="dxa"/>
            <w:bottom w:w="0" w:type="dxa"/>
            <w:right w:w="108" w:type="dxa"/>
          </w:tblCellMar>
        </w:tblPrEx>
        <w:trPr>
          <w:trHeight w:val="90" w:hRule="atLeast"/>
        </w:trPr>
        <w:tc>
          <w:tcPr>
            <w:tcW w:w="745" w:type="dxa"/>
            <w:tcBorders>
              <w:top w:val="single" w:color="000000" w:sz="4" w:space="0"/>
              <w:left w:val="single" w:color="000000" w:sz="4" w:space="0"/>
              <w:bottom w:val="single" w:color="000000" w:sz="4" w:space="0"/>
              <w:right w:val="single" w:color="000000" w:sz="4" w:space="0"/>
            </w:tcBorders>
            <w:noWrap w:val="0"/>
            <w:vAlign w:val="center"/>
          </w:tcPr>
          <w:p w14:paraId="713F76AA">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3EF9EC7">
            <w:pPr>
              <w:pStyle w:val="4"/>
              <w:adjustRightInd w:val="0"/>
              <w:spacing w:line="360" w:lineRule="auto"/>
              <w:ind w:firstLine="0" w:firstLineChars="0"/>
              <w:outlineLvl w:val="9"/>
              <w:rPr>
                <w:rFonts w:hint="eastAsia" w:cs="宋体"/>
                <w:b w:val="0"/>
                <w:bCs/>
                <w:color w:val="auto"/>
                <w:sz w:val="21"/>
                <w:szCs w:val="21"/>
                <w:highlight w:val="none"/>
                <w:lang w:val="en-US" w:eastAsia="zh-CN"/>
              </w:rPr>
            </w:pPr>
            <w:r>
              <w:rPr>
                <w:rFonts w:hint="eastAsia" w:cs="宋体"/>
                <w:b w:val="0"/>
                <w:bCs/>
                <w:color w:val="auto"/>
                <w:sz w:val="21"/>
                <w:szCs w:val="21"/>
                <w:highlight w:val="none"/>
                <w:lang w:val="en-US" w:eastAsia="zh-CN"/>
              </w:rPr>
              <w:t>白带分析仪</w:t>
            </w:r>
          </w:p>
          <w:p w14:paraId="3C753ABB">
            <w:pPr>
              <w:pStyle w:val="23"/>
              <w:jc w:val="center"/>
              <w:rPr>
                <w:rFonts w:hint="eastAsia" w:ascii="宋体" w:hAnsi="宋体" w:eastAsia="宋体" w:cs="宋体"/>
                <w:sz w:val="21"/>
                <w:szCs w:val="21"/>
                <w:lang w:val="en-US" w:eastAsia="zh-CN"/>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39F77E1">
            <w:pPr>
              <w:pStyle w:val="23"/>
              <w:jc w:val="both"/>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1台</w:t>
            </w:r>
          </w:p>
        </w:tc>
        <w:tc>
          <w:tcPr>
            <w:tcW w:w="7474" w:type="dxa"/>
            <w:tcBorders>
              <w:top w:val="single" w:color="000000" w:sz="4" w:space="0"/>
              <w:left w:val="single" w:color="000000" w:sz="4" w:space="0"/>
              <w:bottom w:val="single" w:color="000000" w:sz="4" w:space="0"/>
              <w:right w:val="single" w:color="000000" w:sz="4" w:space="0"/>
            </w:tcBorders>
            <w:noWrap w:val="0"/>
            <w:vAlign w:val="center"/>
          </w:tcPr>
          <w:p w14:paraId="674D3A1E">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1.检测速度：标本检测速度≥50样本/h，具备急诊标本添加功能；</w:t>
            </w:r>
          </w:p>
          <w:p w14:paraId="3237C856">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2.具备干化学酶法及显微形态学分析双重检测功能。全自动完成干化判读、镜检识别实验，包括加样、温育、制片、对焦、拍照及结果判断、图像识别全过程实验；</w:t>
            </w:r>
          </w:p>
          <w:p w14:paraId="0C3AC3FF">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3.干化学酶法与显微形态学分析为并联式设计，二者在各自独立通道进行试验，同步检测，互不干扰；</w:t>
            </w:r>
          </w:p>
          <w:p w14:paraId="678F2986">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4.干化学检测指标≥8，且至少包括酸碱度（PH）、过氧化氢、白细胞酯酶、凝固酶、脯氨酸氨基肽酶、唾液酸苷酶、乙酰氨基葡萄糖苷酶等；</w:t>
            </w:r>
          </w:p>
          <w:p w14:paraId="1752BDC9">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5.形态学检测至少包括白细胞、红细胞、上皮细胞、杆菌、念珠菌（含单孢子，芽生孢子，菌丝）、滴虫等有形成分等；</w:t>
            </w:r>
          </w:p>
          <w:p w14:paraId="50901228">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6.形态学检测具备自动染色功能，染色为红色，对比度高；</w:t>
            </w:r>
          </w:p>
          <w:p w14:paraId="73221220">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7.干化学检测板卡支持不停机装载；</w:t>
            </w:r>
          </w:p>
          <w:p w14:paraId="5FEB5B75">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8.轨道式进样，独立样本架，可一次批量或多次连续上样，具有样本不停机加载功能、急诊优先功能；</w:t>
            </w:r>
          </w:p>
          <w:p w14:paraId="1059FAB9">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9.干化学和形态学检测结果自动判读，结果自动传输至LIS系统，出具图文报告；</w:t>
            </w:r>
          </w:p>
          <w:p w14:paraId="467E94D0">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10.样本自动进样检测，不停机加载，进样架≥4个；</w:t>
            </w:r>
          </w:p>
          <w:p w14:paraId="67EA74F7">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▲11.样本转移系统应具备有效的防交叉污染设计，可采用一次性枪头、液路清洗消毒、或其他经临床验证的等效方案；</w:t>
            </w:r>
          </w:p>
          <w:p w14:paraId="1B3F6EF3">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12.形态学检测配备自动分析软件，可智能识别形态学照片。同时应有镜下视频拍摄；</w:t>
            </w:r>
          </w:p>
          <w:p w14:paraId="0699C830">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13.内置显微镜，自动聚焦拍摄照片及视频，相机拍摄像素≥1000万；</w:t>
            </w:r>
          </w:p>
          <w:p w14:paraId="7181CCA2">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14.形态学照片回放支持放大倍数≥10000倍；</w:t>
            </w:r>
          </w:p>
          <w:p w14:paraId="1C669D3B">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15.每个检测样本拍摄≥20个视野照片，同步拍摄视频≥20个； </w:t>
            </w:r>
          </w:p>
          <w:p w14:paraId="55B9D071">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 样本信息、照片及结果在软件同一界面完整显示，可显示整视野图及有形成分归类图；</w:t>
            </w:r>
          </w:p>
          <w:p w14:paraId="35F4BE26">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17.干化学检测试剂配套有注册证质控品，配套软件具备质量控制与管理功能；</w:t>
            </w:r>
          </w:p>
          <w:p w14:paraId="3A96C804">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细菌性阴道病、滴虫性阴道炎、外阴阴道假丝酵母菌病与传统镜检或培养方法相比符合率≥90%；</w:t>
            </w:r>
          </w:p>
          <w:p w14:paraId="0CDC33C5">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19.具备样本液不足报警、堵孔报警、液面探测、Tip头不足报警、试剂不足报警、板卡用尽报警、玻片用尽报警、废弃仓清理报警等；</w:t>
            </w:r>
          </w:p>
          <w:p w14:paraId="58A57491">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r>
              <w:rPr>
                <w:rFonts w:hint="default" w:ascii="宋体" w:hAnsi="宋体" w:eastAsia="宋体" w:cs="宋体"/>
                <w:color w:val="FF0000"/>
                <w:sz w:val="21"/>
                <w:szCs w:val="21"/>
                <w:lang w:val="en-US" w:eastAsia="zh-CN"/>
              </w:rPr>
              <w:t>配置满足LIS连接及软件运行需求的操作电脑</w:t>
            </w:r>
            <w:r>
              <w:rPr>
                <w:rFonts w:hint="eastAsia" w:ascii="宋体" w:hAnsi="宋体" w:eastAsia="宋体" w:cs="宋体"/>
                <w:color w:val="FF0000"/>
                <w:sz w:val="21"/>
                <w:szCs w:val="21"/>
                <w:lang w:val="en-US" w:eastAsia="zh-CN"/>
              </w:rPr>
              <w:t>1套</w:t>
            </w:r>
            <w:r>
              <w:rPr>
                <w:rFonts w:hint="default" w:ascii="宋体" w:hAnsi="宋体" w:eastAsia="宋体" w:cs="宋体"/>
                <w:color w:val="FF0000"/>
                <w:sz w:val="21"/>
                <w:szCs w:val="21"/>
                <w:lang w:val="en-US" w:eastAsia="zh-CN"/>
              </w:rPr>
              <w:t>，具体配置（CPU、内存、硬盘、操作系统等）由投标人响应</w:t>
            </w:r>
            <w:r>
              <w:rPr>
                <w:rFonts w:hint="eastAsia" w:ascii="宋体" w:hAnsi="宋体" w:eastAsia="宋体" w:cs="宋体"/>
                <w:color w:val="FF0000"/>
                <w:sz w:val="21"/>
                <w:szCs w:val="21"/>
                <w:lang w:val="en-US" w:eastAsia="zh-CN"/>
              </w:rPr>
              <w:t>；</w:t>
            </w:r>
          </w:p>
          <w:p w14:paraId="6B5BB91B">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▲21.联网功能：负责仪器与医院Lis系统双向通讯对接，并承担以上由此产生的一切费用。</w:t>
            </w:r>
          </w:p>
          <w:p w14:paraId="1A74D7F2">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b/>
                <w:bCs w:val="0"/>
                <w:color w:val="000000" w:themeColor="text1"/>
                <w:sz w:val="21"/>
                <w:szCs w:val="21"/>
                <w:lang w:val="en-US" w:eastAsia="zh-CN"/>
                <w14:textFill>
                  <w14:solidFill>
                    <w14:schemeClr w14:val="tx1"/>
                  </w14:solidFill>
                </w14:textFill>
              </w:rPr>
            </w:pPr>
            <w:r>
              <w:rPr>
                <w:rFonts w:hint="eastAsia" w:ascii="宋体" w:hAnsi="宋体" w:eastAsia="宋体" w:cs="宋体"/>
                <w:b/>
                <w:bCs w:val="0"/>
                <w:color w:val="000000" w:themeColor="text1"/>
                <w:sz w:val="21"/>
                <w:szCs w:val="21"/>
                <w:lang w:val="en-US" w:eastAsia="zh-CN"/>
                <w14:textFill>
                  <w14:solidFill>
                    <w14:schemeClr w14:val="tx1"/>
                  </w14:solidFill>
                </w14:textFill>
              </w:rPr>
              <w:t>22.仪器装机完成需要提供校准报告及完成仪器的性能验证，设备使用满1年后，每年免费提供仪器校准服务，并出具报告；</w:t>
            </w:r>
          </w:p>
          <w:p w14:paraId="79989F60">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eastAsia="宋体"/>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b/>
                <w:bCs w:val="0"/>
                <w:color w:val="000000" w:themeColor="text1"/>
                <w:sz w:val="21"/>
                <w:szCs w:val="21"/>
                <w:lang w:val="en-US" w:eastAsia="zh-CN"/>
                <w14:textFill>
                  <w14:solidFill>
                    <w14:schemeClr w14:val="tx1"/>
                  </w14:solidFill>
                </w14:textFill>
              </w:rPr>
              <w:t>23.仪器配套使用的耗材/试剂要求：检测试剂+耗材的报价按检测人次成本不允许超过收费价格30%，设备使用期限内本仪器所需使用的校准品、质控品等免费提供</w:t>
            </w:r>
            <w:r>
              <w:rPr>
                <w:rFonts w:hint="eastAsia" w:ascii="宋体" w:hAnsi="宋体" w:cs="宋体"/>
                <w:b/>
                <w:bCs w:val="0"/>
                <w:color w:val="000000" w:themeColor="text1"/>
                <w:sz w:val="21"/>
                <w:szCs w:val="21"/>
                <w:lang w:val="en-US" w:eastAsia="zh-CN"/>
                <w14:textFill>
                  <w14:solidFill>
                    <w14:schemeClr w14:val="tx1"/>
                  </w14:solidFill>
                </w14:textFill>
              </w:rPr>
              <w:t>。</w:t>
            </w:r>
            <w:r>
              <w:rPr>
                <w:rFonts w:hint="eastAsia" w:ascii="宋体" w:hAnsi="宋体" w:eastAsia="宋体" w:cs="宋体"/>
                <w:b/>
                <w:bCs w:val="0"/>
                <w:spacing w:val="10"/>
                <w:kern w:val="0"/>
                <w:sz w:val="21"/>
                <w:szCs w:val="21"/>
                <w:lang w:val="en-US" w:eastAsia="zh-CN" w:bidi="ar-SA"/>
              </w:rPr>
              <w:t>如检测</w:t>
            </w:r>
            <w:r>
              <w:rPr>
                <w:rFonts w:hint="eastAsia" w:ascii="宋体" w:hAnsi="宋体" w:cs="宋体"/>
                <w:b/>
                <w:bCs w:val="0"/>
                <w:spacing w:val="10"/>
                <w:kern w:val="0"/>
                <w:sz w:val="21"/>
                <w:szCs w:val="21"/>
                <w:lang w:val="en-US" w:eastAsia="zh-CN" w:bidi="ar-SA"/>
              </w:rPr>
              <w:t>项目</w:t>
            </w:r>
            <w:r>
              <w:rPr>
                <w:rFonts w:hint="eastAsia" w:ascii="宋体" w:hAnsi="宋体" w:eastAsia="宋体" w:cs="宋体"/>
                <w:b/>
                <w:bCs w:val="0"/>
                <w:spacing w:val="10"/>
                <w:kern w:val="0"/>
                <w:sz w:val="21"/>
                <w:szCs w:val="21"/>
                <w:lang w:val="en-US" w:eastAsia="zh-CN" w:bidi="ar-SA"/>
              </w:rPr>
              <w:t>广西医保收费有下调的，除集采项目检测试剂外，其他检测试剂的供应价格需随按收费标准进行调整（如收费标准上调，则不配送价格不调整）（需提供承诺函）。</w:t>
            </w:r>
            <w:r>
              <w:rPr>
                <w:rFonts w:hint="eastAsia" w:ascii="宋体" w:hAnsi="宋体" w:eastAsia="宋体" w:cs="宋体"/>
                <w:b/>
                <w:bCs w:val="0"/>
                <w:color w:val="000000" w:themeColor="text1"/>
                <w:sz w:val="21"/>
                <w:szCs w:val="21"/>
                <w:lang w:val="en-US" w:eastAsia="zh-CN"/>
                <w14:textFill>
                  <w14:solidFill>
                    <w14:schemeClr w14:val="tx1"/>
                  </w14:solidFill>
                </w14:textFill>
              </w:rPr>
              <w:t>（需提供承诺函）。</w:t>
            </w:r>
          </w:p>
        </w:tc>
      </w:tr>
      <w:tr w14:paraId="520304AF">
        <w:tblPrEx>
          <w:tblCellMar>
            <w:top w:w="0" w:type="dxa"/>
            <w:left w:w="108" w:type="dxa"/>
            <w:bottom w:w="0" w:type="dxa"/>
            <w:right w:w="108" w:type="dxa"/>
          </w:tblCellMar>
        </w:tblPrEx>
        <w:trPr>
          <w:trHeight w:val="90" w:hRule="atLeast"/>
        </w:trPr>
        <w:tc>
          <w:tcPr>
            <w:tcW w:w="745" w:type="dxa"/>
            <w:tcBorders>
              <w:top w:val="single" w:color="000000" w:sz="4" w:space="0"/>
              <w:left w:val="single" w:color="000000" w:sz="4" w:space="0"/>
              <w:bottom w:val="single" w:color="000000" w:sz="4" w:space="0"/>
              <w:right w:val="single" w:color="000000" w:sz="4" w:space="0"/>
            </w:tcBorders>
            <w:noWrap w:val="0"/>
            <w:vAlign w:val="center"/>
          </w:tcPr>
          <w:p w14:paraId="50277D89">
            <w:pPr>
              <w:widowControl/>
              <w:jc w:val="center"/>
              <w:textAlignment w:val="center"/>
              <w:rPr>
                <w:rFonts w:hint="eastAsia"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2</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2B401C7">
            <w:pPr>
              <w:pStyle w:val="5"/>
              <w:numPr>
                <w:ilvl w:val="0"/>
                <w:numId w:val="0"/>
              </w:numPr>
              <w:rPr>
                <w:rFonts w:hint="default"/>
                <w:b w:val="0"/>
                <w:bCs w:val="0"/>
                <w:sz w:val="21"/>
                <w:szCs w:val="21"/>
                <w:lang w:val="en-US" w:eastAsia="zh-CN"/>
              </w:rPr>
            </w:pPr>
            <w:r>
              <w:rPr>
                <w:rFonts w:hint="default"/>
                <w:b w:val="0"/>
                <w:bCs w:val="0"/>
                <w:sz w:val="21"/>
                <w:szCs w:val="21"/>
                <w:lang w:val="en-US" w:eastAsia="zh-CN"/>
              </w:rPr>
              <w:t>全自动化学发光仪</w:t>
            </w:r>
          </w:p>
          <w:p w14:paraId="230CD0AE">
            <w:pPr>
              <w:pStyle w:val="23"/>
              <w:jc w:val="center"/>
              <w:rPr>
                <w:rFonts w:hint="eastAsia" w:ascii="宋体" w:hAnsi="宋体" w:eastAsia="宋体" w:cs="宋体"/>
                <w:sz w:val="21"/>
                <w:szCs w:val="21"/>
                <w:lang w:val="en-US" w:eastAsia="zh-CN"/>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71B1E1E">
            <w:pPr>
              <w:pStyle w:val="23"/>
              <w:jc w:val="both"/>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1台</w:t>
            </w:r>
          </w:p>
        </w:tc>
        <w:tc>
          <w:tcPr>
            <w:tcW w:w="7474" w:type="dxa"/>
            <w:tcBorders>
              <w:top w:val="single" w:color="000000" w:sz="4" w:space="0"/>
              <w:left w:val="single" w:color="000000" w:sz="4" w:space="0"/>
              <w:bottom w:val="single" w:color="000000" w:sz="4" w:space="0"/>
              <w:right w:val="single" w:color="000000" w:sz="4" w:space="0"/>
            </w:tcBorders>
            <w:noWrap w:val="0"/>
            <w:vAlign w:val="center"/>
          </w:tcPr>
          <w:p w14:paraId="2115E891">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1.仪器分析类</w:t>
            </w:r>
            <w:r>
              <w:rPr>
                <w:rFonts w:hint="eastAsia" w:ascii="宋体" w:hAnsi="宋体" w:eastAsia="宋体" w:cs="宋体"/>
                <w:color w:val="000000" w:themeColor="text1"/>
                <w:sz w:val="21"/>
                <w:szCs w:val="21"/>
                <w:lang w:val="en-US" w:eastAsia="zh-CN"/>
                <w14:textFill>
                  <w14:solidFill>
                    <w14:schemeClr w14:val="tx1"/>
                  </w14:solidFill>
                </w14:textFill>
              </w:rPr>
              <w:t>型：仪器要求全新设备，与适用检测试剂配合使用，可多模块联机，可通过标准化接口（HL7、ASTM等协议）与实验室自</w:t>
            </w:r>
            <w:r>
              <w:rPr>
                <w:rFonts w:hint="eastAsia" w:ascii="宋体" w:hAnsi="宋体" w:eastAsia="宋体" w:cs="宋体"/>
                <w:sz w:val="21"/>
                <w:szCs w:val="21"/>
                <w:lang w:val="en-US" w:eastAsia="zh-CN"/>
              </w:rPr>
              <w:t>动化流水线连接升级；</w:t>
            </w:r>
          </w:p>
          <w:p w14:paraId="73A7E788">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▲2.测定方法:酶促化学发光或电化学发光免疫测定法；</w:t>
            </w:r>
          </w:p>
          <w:p w14:paraId="58D65935">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▲3.测试速度:单模块最大测试速度≥600T/H；</w:t>
            </w:r>
          </w:p>
          <w:p w14:paraId="74AE2C85">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4.样本针清洗方式:样本针具备有效清洗功能，样本针携带污染率≤1×10⁻⁵（提供验证方法及检测报告）；</w:t>
            </w:r>
          </w:p>
          <w:p w14:paraId="1DF4C0EF">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5免疫分析仪采用重复用加样针加样方式，无需使用一次性吸样耗材；</w:t>
            </w:r>
          </w:p>
          <w:p w14:paraId="448E1268">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6.试剂针:具备液面探测检测、防撞检测、空吸检测功能；</w:t>
            </w:r>
          </w:p>
          <w:p w14:paraId="1188D67F">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7.单模块试剂位≥40个，支持不停机添加试剂；</w:t>
            </w:r>
          </w:p>
          <w:p w14:paraId="111180C2">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8.采用一次性反应杯，单模块一次性加载数量≥3000个，可连续供给、随时添加；</w:t>
            </w:r>
          </w:p>
          <w:p w14:paraId="18BDA3BF">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9.试剂盘制冷：试剂盘冷藏2℃～8℃；</w:t>
            </w:r>
          </w:p>
          <w:p w14:paraId="4833F9A2">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10.进样方式：支持随时连续进样、自动重测和自动稀释，支持急诊优先插入，样本位≥300个；</w:t>
            </w:r>
          </w:p>
          <w:p w14:paraId="301F1FFB">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11.混匀模式:非接触式混匀；</w:t>
            </w:r>
          </w:p>
          <w:p w14:paraId="1D3F8BB7">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12.生物安全:具备生物安全防护功能，反应后的样本、试剂、反应杯等废弃物按规范分类收集处理，符合实验室生物安全要求；</w:t>
            </w:r>
          </w:p>
          <w:p w14:paraId="4EFE3DC4">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▲13.检测项目要求：可检测项目≥135项，可满足肿瘤标志物、甲状腺功能、炎症、自免等常规检测项目外，可满足结核分枝杆菌特异性细胞</w:t>
            </w:r>
            <w:bookmarkStart w:id="0" w:name="OLE_LINK11"/>
            <w:bookmarkStart w:id="1" w:name="OLE_LINK12"/>
            <w:r>
              <w:rPr>
                <w:rFonts w:hint="eastAsia" w:ascii="宋体" w:hAnsi="宋体" w:eastAsia="宋体" w:cs="宋体"/>
                <w:sz w:val="21"/>
                <w:szCs w:val="21"/>
                <w:lang w:val="en-US" w:eastAsia="zh-CN"/>
              </w:rPr>
              <w:t>免疫反应检测</w:t>
            </w:r>
            <w:bookmarkEnd w:id="0"/>
            <w:bookmarkEnd w:id="1"/>
            <w:r>
              <w:rPr>
                <w:rFonts w:hint="eastAsia" w:ascii="宋体" w:hAnsi="宋体" w:eastAsia="宋体" w:cs="宋体"/>
                <w:sz w:val="21"/>
                <w:szCs w:val="21"/>
                <w:lang w:val="en-US" w:eastAsia="zh-CN"/>
              </w:rPr>
              <w:t>；</w:t>
            </w:r>
          </w:p>
          <w:p w14:paraId="1A86BDBA">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14.可开展白介素-2受体检测；</w:t>
            </w:r>
          </w:p>
          <w:p w14:paraId="1B98FAF0">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15..可开展优生优育系列检测；</w:t>
            </w:r>
          </w:p>
          <w:p w14:paraId="609DA539">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16.可开展肺炎支原体、肺炎衣原体检测；</w:t>
            </w:r>
          </w:p>
          <w:p w14:paraId="7A59AEC5">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17.在仪器开展的甲型肝炎，戊型肝炎，优生优育项目，须提供相关机构出具的室间质评合格证明；</w:t>
            </w:r>
          </w:p>
          <w:p w14:paraId="4279F9F8">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b/>
                <w:b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b/>
                <w:bCs w:val="0"/>
                <w:color w:val="000000" w:themeColor="text1"/>
                <w:sz w:val="21"/>
                <w:szCs w:val="21"/>
                <w:lang w:val="en-US" w:eastAsia="zh-CN"/>
                <w14:textFill>
                  <w14:solidFill>
                    <w14:schemeClr w14:val="tx1"/>
                  </w14:solidFill>
                </w14:textFill>
              </w:rPr>
              <w:t>18.</w:t>
            </w:r>
            <w:r>
              <w:rPr>
                <w:rFonts w:hint="eastAsia" w:ascii="宋体" w:hAnsi="宋体" w:cs="宋体"/>
                <w:b/>
                <w:bCs w:val="0"/>
                <w:color w:val="000000" w:themeColor="text1"/>
                <w:sz w:val="21"/>
                <w:szCs w:val="21"/>
                <w:lang w:val="en-US" w:eastAsia="zh-CN"/>
                <w14:textFill>
                  <w14:solidFill>
                    <w14:schemeClr w14:val="tx1"/>
                  </w14:solidFill>
                </w14:textFill>
              </w:rPr>
              <w:t>设备投入使用后，</w:t>
            </w:r>
            <w:r>
              <w:rPr>
                <w:rFonts w:hint="eastAsia" w:ascii="宋体" w:hAnsi="宋体" w:eastAsia="宋体" w:cs="宋体"/>
                <w:b/>
                <w:bCs w:val="0"/>
                <w:color w:val="000000" w:themeColor="text1"/>
                <w:sz w:val="21"/>
                <w:szCs w:val="21"/>
                <w:lang w:val="en-US" w:eastAsia="zh-CN"/>
                <w14:textFill>
                  <w14:solidFill>
                    <w14:schemeClr w14:val="tx1"/>
                  </w14:solidFill>
                </w14:textFill>
              </w:rPr>
              <w:t>每年免费提供仪器校准服务，并出具报告；</w:t>
            </w:r>
          </w:p>
          <w:p w14:paraId="79E957EF">
            <w:pPr>
              <w:pStyle w:val="23"/>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▲19.联网功能：负责仪器与医院Lis系统双向通讯对接，并承担以上由此产生的一切费用。</w:t>
            </w:r>
          </w:p>
          <w:p w14:paraId="07808EC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b/>
                <w:bCs w:val="0"/>
                <w:spacing w:val="10"/>
                <w:kern w:val="0"/>
                <w:sz w:val="21"/>
                <w:szCs w:val="21"/>
                <w:lang w:val="en-US" w:eastAsia="zh-CN" w:bidi="ar-SA"/>
              </w:rPr>
              <w:t>20.仪器配套使用的耗材/试剂要求：除集采项目检测试剂外，其他检测试剂的报价按检测人次成本不允许超过收费价格30%，设备使用期限内本仪器所需使用的校准品、质控品、清洗液、样本稀释液、反应杯等免费提供</w:t>
            </w:r>
            <w:r>
              <w:rPr>
                <w:rFonts w:hint="eastAsia" w:ascii="宋体" w:hAnsi="宋体" w:cs="宋体"/>
                <w:b/>
                <w:bCs w:val="0"/>
                <w:spacing w:val="10"/>
                <w:kern w:val="0"/>
                <w:sz w:val="21"/>
                <w:szCs w:val="21"/>
                <w:lang w:val="en-US" w:eastAsia="zh-CN" w:bidi="ar-SA"/>
              </w:rPr>
              <w:t>。</w:t>
            </w:r>
            <w:r>
              <w:rPr>
                <w:rFonts w:hint="eastAsia" w:ascii="宋体" w:hAnsi="宋体" w:eastAsia="宋体" w:cs="宋体"/>
                <w:b/>
                <w:bCs w:val="0"/>
                <w:spacing w:val="10"/>
                <w:kern w:val="0"/>
                <w:sz w:val="21"/>
                <w:szCs w:val="21"/>
                <w:lang w:val="en-US" w:eastAsia="zh-CN" w:bidi="ar-SA"/>
              </w:rPr>
              <w:t>如检测</w:t>
            </w:r>
            <w:r>
              <w:rPr>
                <w:rFonts w:hint="eastAsia" w:ascii="宋体" w:hAnsi="宋体" w:cs="宋体"/>
                <w:b/>
                <w:bCs w:val="0"/>
                <w:spacing w:val="10"/>
                <w:kern w:val="0"/>
                <w:sz w:val="21"/>
                <w:szCs w:val="21"/>
                <w:lang w:val="en-US" w:eastAsia="zh-CN" w:bidi="ar-SA"/>
              </w:rPr>
              <w:t>项目</w:t>
            </w:r>
            <w:r>
              <w:rPr>
                <w:rFonts w:hint="eastAsia" w:ascii="宋体" w:hAnsi="宋体" w:eastAsia="宋体" w:cs="宋体"/>
                <w:b/>
                <w:bCs w:val="0"/>
                <w:spacing w:val="10"/>
                <w:kern w:val="0"/>
                <w:sz w:val="21"/>
                <w:szCs w:val="21"/>
                <w:lang w:val="en-US" w:eastAsia="zh-CN" w:bidi="ar-SA"/>
              </w:rPr>
              <w:t>广西医保收费有下调的，除集采项目检测试剂外，其他检测试剂的供应价格需随按收费标准进行调整（如收费标准上调，则不配送价格不调整）（需提供承诺函）。</w:t>
            </w:r>
          </w:p>
        </w:tc>
      </w:tr>
    </w:tbl>
    <w:p w14:paraId="025653DD">
      <w:pPr>
        <w:pStyle w:val="18"/>
        <w:ind w:left="-708" w:leftChars="-337" w:firstLine="480" w:firstLineChars="200"/>
        <w:rPr>
          <w:rFonts w:hint="eastAsia"/>
          <w:lang w:val="en-US" w:eastAsia="zh-CN"/>
        </w:rPr>
      </w:pPr>
    </w:p>
    <w:p w14:paraId="1CE038A3">
      <w:pPr>
        <w:keepNext w:val="0"/>
        <w:keepLines w:val="0"/>
        <w:pageBreakBefore w:val="0"/>
        <w:kinsoku/>
        <w:wordWrap/>
        <w:overflowPunct/>
        <w:topLinePunct w:val="0"/>
        <w:bidi w:val="0"/>
        <w:snapToGrid/>
        <w:spacing w:line="460" w:lineRule="exact"/>
        <w:ind w:firstLine="352" w:firstLineChars="147"/>
        <w:jc w:val="left"/>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b/>
          <w:bCs/>
          <w:color w:val="000000"/>
          <w:kern w:val="0"/>
          <w:sz w:val="24"/>
          <w:szCs w:val="24"/>
          <w:lang w:val="en-US" w:eastAsia="zh-CN"/>
        </w:rPr>
        <w:t>二、商务要求</w:t>
      </w:r>
    </w:p>
    <w:p w14:paraId="7D08C5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（一）产品要求</w:t>
      </w:r>
    </w:p>
    <w:p w14:paraId="7B1548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1.投标人在竞价文件中必须提交设备配置清单</w:t>
      </w:r>
    </w:p>
    <w:p w14:paraId="4C8142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2.投标产品必须是具备合法资质的制造商生产、生产日期为近半年的全新正品，并满足招标采购文件的要求，若产品在运输或安装过程中损坏或擦伤须无偿调换相同产品。</w:t>
      </w:r>
    </w:p>
    <w:p w14:paraId="392532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3.投标人所投产品参数应同等或优于以上各项参数要求，产品、辅材及生产工艺符合国家相关规范。</w:t>
      </w:r>
    </w:p>
    <w:p w14:paraId="723B91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4.投标人应保证所提供的货物或其任何一部分均不会侵犯任何第三方的专利权、商标权等，如在使用过程中出现的一切经济和法律责任均由投标人负责。</w:t>
      </w:r>
    </w:p>
    <w:p w14:paraId="73BC6E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医疗器械监督管理条例》（国务院令第739号）医疗器械分类管理要求具有有效的医疗器械生产许可证或医疗器械经营许可或者备案（按《医疗器械监督管理条例》免于经营备案和无需办理医疗器械经营许可或者备案的情形除外）</w:t>
      </w:r>
    </w:p>
    <w:p w14:paraId="16CEE22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6.投标人需承诺在设备使用内免费无条件开放其所提供的所有系统各功能数据接口，以确保可供其他信息系统的接入或调用，如由于采购人业务需要设备与采购人信息系统连接，</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由中标供应商负责接入医院信息系统，</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采购人</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不额外</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支付任何</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费用。</w:t>
      </w:r>
    </w:p>
    <w:p w14:paraId="717185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7.投标总价必须包含货物及货物运抵指定交货地点的各种费用和安装调校、售后服务、税金、验收检验及其它所有费用的总和，如另有要求请在投标文件中注明。</w:t>
      </w:r>
    </w:p>
    <w:p w14:paraId="67C228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（二）售后服务和资质</w:t>
      </w:r>
    </w:p>
    <w:p w14:paraId="09B1BF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1.质保期：</w:t>
      </w:r>
      <w:r>
        <w:rPr>
          <w:rFonts w:hint="eastAsia" w:ascii="宋体" w:hAnsi="宋体" w:eastAsia="宋体" w:cs="宋体"/>
          <w:color w:val="FF0000"/>
          <w:sz w:val="24"/>
          <w:szCs w:val="24"/>
          <w:highlight w:val="none"/>
          <w:lang w:val="en-US" w:eastAsia="zh-CN"/>
        </w:rPr>
        <w:t>设备</w:t>
      </w:r>
      <w:r>
        <w:rPr>
          <w:rFonts w:hint="eastAsia" w:ascii="宋体" w:hAnsi="宋体" w:eastAsia="宋体" w:cs="宋体"/>
          <w:color w:val="auto"/>
          <w:sz w:val="24"/>
          <w:szCs w:val="24"/>
          <w:highlight w:val="none"/>
          <w:lang w:val="en-US" w:eastAsia="zh-CN"/>
        </w:rPr>
        <w:t>安装完毕通过验收投入使用之日起</w:t>
      </w:r>
      <w:r>
        <w:rPr>
          <w:rFonts w:hint="eastAsia" w:ascii="宋体" w:hAnsi="宋体" w:eastAsia="宋体" w:cs="宋体"/>
          <w:color w:val="FF0000"/>
          <w:sz w:val="24"/>
          <w:szCs w:val="24"/>
          <w:highlight w:val="none"/>
          <w:u w:val="single"/>
          <w:lang w:val="en-US" w:eastAsia="zh-CN"/>
        </w:rPr>
        <w:t>不少于 5年</w:t>
      </w:r>
      <w:r>
        <w:rPr>
          <w:rFonts w:hint="eastAsia" w:ascii="宋体" w:hAnsi="宋体" w:eastAsia="宋体" w:cs="宋体"/>
          <w:color w:val="auto"/>
          <w:sz w:val="24"/>
          <w:szCs w:val="24"/>
          <w:highlight w:val="none"/>
          <w:lang w:val="en-US" w:eastAsia="zh-CN"/>
        </w:rPr>
        <w:t>；</w:t>
      </w:r>
    </w:p>
    <w:p w14:paraId="44E7CF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2.投标人所投产品必须提供产品“三包”服务；定期安排相关人员回访进行质量跟踪；保证提供临床应用和售后技术服务支持方式；保修期后提供终身维修服务及配件供应；其他售后服务按厂家承诺实行。</w:t>
      </w:r>
    </w:p>
    <w:p w14:paraId="36E10A0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4FE1CE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（三）其他</w:t>
      </w:r>
    </w:p>
    <w:p w14:paraId="3DD970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1.签订合同后，30天内仪器设备安装调试结束并交付使用。投标人予以特别注意：如出现未能到期供货的情况，采购人有权单方终止合同的执行，所有的经济损失由逾期供货商单方承担。</w:t>
      </w:r>
    </w:p>
    <w:p w14:paraId="02636F2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2.交货地点：贺州市八步区莲塘镇万安街22号</w:t>
      </w:r>
      <w:r>
        <w:rPr>
          <w:rFonts w:hint="eastAsia" w:ascii="宋体" w:hAnsi="宋体" w:cs="宋体"/>
          <w:b/>
          <w:bCs/>
          <w:color w:val="auto"/>
          <w:sz w:val="24"/>
          <w:szCs w:val="24"/>
          <w:highlight w:val="none"/>
          <w:lang w:val="en-US" w:eastAsia="zh-CN"/>
        </w:rPr>
        <w:t>贺州市</w:t>
      </w:r>
      <w:r>
        <w:rPr>
          <w:rFonts w:hint="eastAsia" w:ascii="宋体" w:hAnsi="宋体" w:eastAsia="宋体" w:cs="宋体"/>
          <w:b/>
          <w:bCs/>
          <w:color w:val="auto"/>
          <w:sz w:val="24"/>
          <w:szCs w:val="24"/>
          <w:highlight w:val="none"/>
          <w:lang w:val="en-US" w:eastAsia="zh-CN"/>
        </w:rPr>
        <w:t>八步区人民医院指定地点</w:t>
      </w:r>
      <w:r>
        <w:rPr>
          <w:rFonts w:hint="eastAsia" w:ascii="宋体" w:hAnsi="宋体" w:cs="宋体"/>
          <w:b/>
          <w:bCs/>
          <w:color w:val="auto"/>
          <w:sz w:val="24"/>
          <w:szCs w:val="24"/>
          <w:highlight w:val="none"/>
          <w:lang w:val="en-US" w:eastAsia="zh-CN"/>
        </w:rPr>
        <w:t>。</w:t>
      </w:r>
    </w:p>
    <w:p w14:paraId="0FA158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3.付款条件（进度和方式）：</w:t>
      </w:r>
    </w:p>
    <w:p w14:paraId="25EA0D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全部货物送达指定地点、安装调试并验收合格后，双方签署验收合格表单，中标人开具全额发票给采购人，采购人收到发票后10个工作日内按总合同金额的90%对公转账到中标人账户。验收合格第 12个月后，采购人收到中标人的请款材料后10个工作日内，按总合同金额的10%对公转账到中标人账户（不计利息）。</w:t>
      </w:r>
    </w:p>
    <w:p w14:paraId="32DF01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6BDC4D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4.合同签订：采购人和中标人应当自成交通知书发出后</w:t>
      </w:r>
      <w:sdt>
        <w:sdtPr>
          <w:rPr>
            <w:rFonts w:hint="eastAsia" w:ascii="宋体" w:hAnsi="宋体" w:eastAsia="宋体" w:cs="宋体"/>
            <w:color w:val="auto"/>
            <w:sz w:val="24"/>
            <w:szCs w:val="24"/>
            <w:highlight w:val="none"/>
            <w:lang w:val="en-US" w:eastAsia="zh-CN"/>
          </w:rPr>
          <w:alias w:val="无特殊情况不建议修改"/>
          <w:tag w:val="无特殊情况不建议修改"/>
          <w:id w:val="-183904816"/>
          <w:placeholder>
            <w:docPart w:val="{89096a1c-88ca-43d7-960c-214e8f4d5596}"/>
          </w:placeholder>
          <w15:color w:val="FF0000"/>
        </w:sdtPr>
        <w:sdtEndPr>
          <w:rPr>
            <w:rFonts w:hint="eastAsia" w:ascii="宋体" w:hAnsi="宋体" w:eastAsia="宋体" w:cs="宋体"/>
            <w:color w:val="auto"/>
            <w:sz w:val="24"/>
            <w:szCs w:val="24"/>
            <w:highlight w:val="none"/>
            <w:lang w:val="en-US" w:eastAsia="zh-CN"/>
          </w:rPr>
        </w:sdtEndPr>
        <w:sdtContent>
          <w:r>
            <w:rPr>
              <w:rFonts w:hint="eastAsia" w:ascii="宋体" w:hAnsi="宋体" w:eastAsia="宋体" w:cs="宋体"/>
              <w:color w:val="auto"/>
              <w:sz w:val="24"/>
              <w:szCs w:val="24"/>
              <w:highlight w:val="none"/>
              <w:lang w:val="en-US" w:eastAsia="zh-CN"/>
            </w:rPr>
            <w:t>25</w:t>
          </w:r>
        </w:sdtContent>
      </w:sdt>
      <w:r>
        <w:rPr>
          <w:rFonts w:hint="eastAsia" w:ascii="宋体" w:hAnsi="宋体" w:eastAsia="宋体" w:cs="宋体"/>
          <w:color w:val="auto"/>
          <w:sz w:val="24"/>
          <w:szCs w:val="24"/>
          <w:highlight w:val="none"/>
          <w:lang w:val="en-US" w:eastAsia="zh-CN"/>
        </w:rPr>
        <w:t>日内签订采购合同。</w:t>
      </w:r>
    </w:p>
    <w:p w14:paraId="50C83C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cs="宋体"/>
          <w:b/>
          <w:bCs/>
          <w:color w:val="auto"/>
          <w:sz w:val="24"/>
          <w:szCs w:val="24"/>
          <w:highlight w:val="none"/>
          <w:lang w:val="en-US" w:eastAsia="zh-CN"/>
        </w:rPr>
        <w:t>报价要求及评审方法</w:t>
      </w:r>
    </w:p>
    <w:p w14:paraId="7FD9CF6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1.报价要求:本项目设备和配套专机专用试剂需分开报价。专机专用试剂采用优惠价格报价，除集采检测试剂外，其他检测试剂（耗材）的报价按</w:t>
      </w:r>
      <w:r>
        <w:rPr>
          <w:rFonts w:hint="eastAsia" w:ascii="宋体" w:hAnsi="宋体" w:cs="宋体"/>
          <w:b/>
          <w:bCs/>
          <w:color w:val="000000" w:themeColor="text1"/>
          <w:sz w:val="24"/>
          <w:szCs w:val="24"/>
          <w:highlight w:val="none"/>
          <w:lang w:val="en-US" w:eastAsia="zh-CN"/>
          <w14:textFill>
            <w14:solidFill>
              <w14:schemeClr w14:val="tx1"/>
            </w14:solidFill>
          </w14:textFill>
        </w:rPr>
        <w:t>项目</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检测</w:t>
      </w:r>
      <w:r>
        <w:rPr>
          <w:rFonts w:hint="eastAsia" w:ascii="宋体" w:hAnsi="宋体" w:cs="宋体"/>
          <w:b/>
          <w:bCs/>
          <w:color w:val="000000" w:themeColor="text1"/>
          <w:sz w:val="24"/>
          <w:szCs w:val="24"/>
          <w:highlight w:val="none"/>
          <w:lang w:val="en-US" w:eastAsia="zh-CN"/>
          <w14:textFill>
            <w14:solidFill>
              <w14:schemeClr w14:val="tx1"/>
            </w14:solidFill>
          </w14:textFill>
        </w:rPr>
        <w:t>每</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人份</w:t>
      </w:r>
      <w:r>
        <w:rPr>
          <w:rFonts w:hint="eastAsia" w:ascii="宋体" w:hAnsi="宋体" w:cs="宋体"/>
          <w:b/>
          <w:bCs/>
          <w:color w:val="000000" w:themeColor="text1"/>
          <w:sz w:val="24"/>
          <w:szCs w:val="24"/>
          <w:highlight w:val="none"/>
          <w:lang w:val="en-US" w:eastAsia="zh-CN"/>
          <w14:textFill>
            <w14:solidFill>
              <w14:schemeClr w14:val="tx1"/>
            </w14:solidFill>
          </w14:textFill>
        </w:rPr>
        <w:t>核算</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成本不允许超过收费价格30%，如超出30%范围，则报价无效。</w:t>
      </w:r>
    </w:p>
    <w:p w14:paraId="69CE76F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2.评审办法</w:t>
      </w:r>
    </w:p>
    <w:p w14:paraId="4286914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谈判小组按照评标方法依法对响应文件进行详细评审，详细评审为最低评标价法（即最终评标价最低的中标）</w:t>
      </w:r>
    </w:p>
    <w:p w14:paraId="2933D3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评标报价=设备报价*</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0%+试剂</w:t>
      </w:r>
      <w:r>
        <w:rPr>
          <w:rFonts w:hint="eastAsia" w:ascii="宋体" w:hAnsi="宋体" w:cs="宋体"/>
          <w:color w:val="auto"/>
          <w:sz w:val="24"/>
          <w:szCs w:val="24"/>
          <w:highlight w:val="none"/>
          <w:lang w:val="en-US" w:eastAsia="zh-CN"/>
        </w:rPr>
        <w:t>（耗材）</w:t>
      </w:r>
      <w:r>
        <w:rPr>
          <w:rFonts w:hint="eastAsia" w:ascii="宋体" w:hAnsi="宋体" w:eastAsia="宋体" w:cs="宋体"/>
          <w:color w:val="auto"/>
          <w:sz w:val="24"/>
          <w:szCs w:val="24"/>
          <w:highlight w:val="none"/>
          <w:lang w:val="en-US" w:eastAsia="zh-CN"/>
        </w:rPr>
        <w:t>报价</w:t>
      </w:r>
      <w:r>
        <w:rPr>
          <w:rFonts w:hint="eastAsia" w:ascii="宋体" w:hAnsi="宋体" w:cs="宋体"/>
          <w:color w:val="auto"/>
          <w:sz w:val="24"/>
          <w:szCs w:val="24"/>
          <w:highlight w:val="none"/>
          <w:lang w:val="en-US" w:eastAsia="zh-CN"/>
        </w:rPr>
        <w:t>（单人份测试</w:t>
      </w:r>
      <w:r>
        <w:rPr>
          <w:rFonts w:hint="eastAsia" w:ascii="宋体" w:hAnsi="宋体" w:eastAsia="宋体" w:cs="宋体"/>
          <w:color w:val="auto"/>
          <w:sz w:val="24"/>
          <w:szCs w:val="24"/>
          <w:highlight w:val="none"/>
          <w:lang w:val="en-US" w:eastAsia="zh-CN"/>
        </w:rPr>
        <w:t>均价）*</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0%</w:t>
      </w:r>
    </w:p>
    <w:p w14:paraId="3993F8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注：设备的成交金额为成交供应商的最终报价金额，专机专用试剂的供货价为成交供应商的最终试剂报价</w:t>
      </w:r>
      <w:r>
        <w:rPr>
          <w:rFonts w:hint="eastAsia" w:ascii="宋体" w:hAnsi="宋体" w:cs="宋体"/>
          <w:color w:val="auto"/>
          <w:sz w:val="24"/>
          <w:szCs w:val="24"/>
          <w:highlight w:val="none"/>
          <w:lang w:val="en-US" w:eastAsia="zh-CN"/>
        </w:rPr>
        <w:t>。</w:t>
      </w:r>
    </w:p>
    <w:p w14:paraId="17318D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68B30698">
      <w:pPr>
        <w:pStyle w:val="3"/>
        <w:rPr>
          <w:rFonts w:hint="eastAsia" w:ascii="宋体" w:hAnsi="宋体" w:eastAsia="宋体" w:cs="宋体"/>
          <w:color w:val="auto"/>
          <w:sz w:val="24"/>
          <w:szCs w:val="24"/>
          <w:highlight w:val="none"/>
          <w:lang w:val="en-US" w:eastAsia="zh-CN"/>
        </w:rPr>
      </w:pPr>
    </w:p>
    <w:p w14:paraId="000D16DB">
      <w:pPr>
        <w:pStyle w:val="3"/>
        <w:rPr>
          <w:rFonts w:hint="eastAsia" w:ascii="宋体" w:hAnsi="宋体" w:eastAsia="宋体" w:cs="宋体"/>
          <w:color w:val="auto"/>
          <w:sz w:val="24"/>
          <w:szCs w:val="24"/>
          <w:highlight w:val="none"/>
          <w:lang w:val="en-US" w:eastAsia="zh-CN"/>
        </w:rPr>
      </w:pPr>
    </w:p>
    <w:p w14:paraId="79A9B745">
      <w:pPr>
        <w:pStyle w:val="3"/>
        <w:rPr>
          <w:rFonts w:hint="eastAsia" w:ascii="宋体" w:hAnsi="宋体" w:eastAsia="宋体" w:cs="宋体"/>
          <w:color w:val="auto"/>
          <w:sz w:val="24"/>
          <w:szCs w:val="24"/>
          <w:highlight w:val="none"/>
          <w:lang w:val="en-US" w:eastAsia="zh-CN"/>
        </w:rPr>
      </w:pPr>
    </w:p>
    <w:p w14:paraId="7EC4B691">
      <w:pPr>
        <w:pStyle w:val="3"/>
        <w:rPr>
          <w:rFonts w:hint="eastAsia" w:ascii="宋体" w:hAnsi="宋体" w:eastAsia="宋体" w:cs="宋体"/>
          <w:color w:val="auto"/>
          <w:sz w:val="24"/>
          <w:szCs w:val="24"/>
          <w:highlight w:val="none"/>
          <w:lang w:val="en-US" w:eastAsia="zh-CN"/>
        </w:rPr>
      </w:pPr>
    </w:p>
    <w:p w14:paraId="142A77CF">
      <w:pPr>
        <w:pStyle w:val="3"/>
        <w:rPr>
          <w:rFonts w:hint="eastAsia" w:ascii="宋体" w:hAnsi="宋体" w:eastAsia="宋体" w:cs="宋体"/>
          <w:color w:val="auto"/>
          <w:sz w:val="24"/>
          <w:szCs w:val="24"/>
          <w:highlight w:val="none"/>
          <w:lang w:val="en-US" w:eastAsia="zh-CN"/>
        </w:rPr>
      </w:pPr>
    </w:p>
    <w:p w14:paraId="3FCC3775">
      <w:pPr>
        <w:pStyle w:val="3"/>
        <w:rPr>
          <w:rFonts w:hint="eastAsia" w:ascii="宋体" w:hAnsi="宋体" w:eastAsia="宋体" w:cs="宋体"/>
          <w:color w:val="auto"/>
          <w:sz w:val="24"/>
          <w:szCs w:val="24"/>
          <w:highlight w:val="none"/>
          <w:lang w:val="en-US" w:eastAsia="zh-CN"/>
        </w:rPr>
      </w:pPr>
    </w:p>
    <w:p w14:paraId="3D8EA2B2">
      <w:pPr>
        <w:pStyle w:val="3"/>
        <w:rPr>
          <w:rFonts w:hint="eastAsia" w:ascii="宋体" w:hAnsi="宋体" w:eastAsia="宋体" w:cs="宋体"/>
          <w:color w:val="auto"/>
          <w:sz w:val="24"/>
          <w:szCs w:val="24"/>
          <w:highlight w:val="none"/>
          <w:lang w:val="en-US" w:eastAsia="zh-CN"/>
        </w:rPr>
      </w:pPr>
    </w:p>
    <w:sectPr>
      <w:headerReference r:id="rId3" w:type="default"/>
      <w:footerReference r:id="rId4" w:type="default"/>
      <w:pgSz w:w="11906" w:h="16838"/>
      <w:pgMar w:top="1440" w:right="1800"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宋体-简">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AD8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CCA88">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CCCA88">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93381">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12CF86"/>
    <w:multiLevelType w:val="singleLevel"/>
    <w:tmpl w:val="9C12CF86"/>
    <w:lvl w:ilvl="0" w:tentative="0">
      <w:start w:val="1"/>
      <w:numFmt w:val="bullet"/>
      <w:pStyle w:val="5"/>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2509"/>
    <w:rsid w:val="00095D83"/>
    <w:rsid w:val="000A6C18"/>
    <w:rsid w:val="000B7E2D"/>
    <w:rsid w:val="000E1AA6"/>
    <w:rsid w:val="00204183"/>
    <w:rsid w:val="00241CD6"/>
    <w:rsid w:val="002C7944"/>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0F9432B"/>
    <w:rsid w:val="01124992"/>
    <w:rsid w:val="01CB43E2"/>
    <w:rsid w:val="02615DF0"/>
    <w:rsid w:val="02BA39DB"/>
    <w:rsid w:val="02DB2768"/>
    <w:rsid w:val="030F2C50"/>
    <w:rsid w:val="0348159A"/>
    <w:rsid w:val="03675EC4"/>
    <w:rsid w:val="03B56736"/>
    <w:rsid w:val="03D8291E"/>
    <w:rsid w:val="03E322AC"/>
    <w:rsid w:val="040D0B9B"/>
    <w:rsid w:val="04115E30"/>
    <w:rsid w:val="04AB3B8E"/>
    <w:rsid w:val="04CC1D57"/>
    <w:rsid w:val="04D60F6D"/>
    <w:rsid w:val="04EF3743"/>
    <w:rsid w:val="05184F9C"/>
    <w:rsid w:val="052C5176"/>
    <w:rsid w:val="056B6E2D"/>
    <w:rsid w:val="06B86A37"/>
    <w:rsid w:val="06C90C44"/>
    <w:rsid w:val="073F4A62"/>
    <w:rsid w:val="076C2F7E"/>
    <w:rsid w:val="077F1D90"/>
    <w:rsid w:val="079A08EA"/>
    <w:rsid w:val="084710F9"/>
    <w:rsid w:val="08997EFF"/>
    <w:rsid w:val="09167A44"/>
    <w:rsid w:val="099D32E7"/>
    <w:rsid w:val="0A1D552E"/>
    <w:rsid w:val="0A795D65"/>
    <w:rsid w:val="0BE43E2A"/>
    <w:rsid w:val="0C140FB0"/>
    <w:rsid w:val="0C755F49"/>
    <w:rsid w:val="0C7D0506"/>
    <w:rsid w:val="0CC05EEA"/>
    <w:rsid w:val="0CDB522D"/>
    <w:rsid w:val="0D3E2800"/>
    <w:rsid w:val="0E6A2D0C"/>
    <w:rsid w:val="0F781A43"/>
    <w:rsid w:val="0F902CCD"/>
    <w:rsid w:val="0FC14BAE"/>
    <w:rsid w:val="10C1473A"/>
    <w:rsid w:val="10C97A40"/>
    <w:rsid w:val="110A4333"/>
    <w:rsid w:val="122B15C9"/>
    <w:rsid w:val="12A05ABE"/>
    <w:rsid w:val="12C16C73"/>
    <w:rsid w:val="12C97D37"/>
    <w:rsid w:val="12EB3CF0"/>
    <w:rsid w:val="13274D28"/>
    <w:rsid w:val="1393060F"/>
    <w:rsid w:val="13BD743A"/>
    <w:rsid w:val="13F6294C"/>
    <w:rsid w:val="14172444"/>
    <w:rsid w:val="144533BC"/>
    <w:rsid w:val="14A443BC"/>
    <w:rsid w:val="14B24AC5"/>
    <w:rsid w:val="16274A39"/>
    <w:rsid w:val="166F4544"/>
    <w:rsid w:val="167454D7"/>
    <w:rsid w:val="16BE59A3"/>
    <w:rsid w:val="17005FBC"/>
    <w:rsid w:val="17D336D0"/>
    <w:rsid w:val="17F35B20"/>
    <w:rsid w:val="183F0D66"/>
    <w:rsid w:val="18D56FD4"/>
    <w:rsid w:val="19622F5E"/>
    <w:rsid w:val="19D15A86"/>
    <w:rsid w:val="1A3146DE"/>
    <w:rsid w:val="1AC56B29"/>
    <w:rsid w:val="1B252495"/>
    <w:rsid w:val="1B66485B"/>
    <w:rsid w:val="1CDD0B4D"/>
    <w:rsid w:val="1D3C0585"/>
    <w:rsid w:val="1D481582"/>
    <w:rsid w:val="1D9376EB"/>
    <w:rsid w:val="1E94348E"/>
    <w:rsid w:val="1E9B2DB3"/>
    <w:rsid w:val="1F3F5AEF"/>
    <w:rsid w:val="1F9D6372"/>
    <w:rsid w:val="1F9E1039"/>
    <w:rsid w:val="1FC55FF4"/>
    <w:rsid w:val="2040567B"/>
    <w:rsid w:val="214B2529"/>
    <w:rsid w:val="21557A06"/>
    <w:rsid w:val="21B710F4"/>
    <w:rsid w:val="21DD4C64"/>
    <w:rsid w:val="2218153E"/>
    <w:rsid w:val="22790A2E"/>
    <w:rsid w:val="24831FDA"/>
    <w:rsid w:val="248C335D"/>
    <w:rsid w:val="25050C41"/>
    <w:rsid w:val="2554310B"/>
    <w:rsid w:val="25732682"/>
    <w:rsid w:val="25773183"/>
    <w:rsid w:val="25FA451E"/>
    <w:rsid w:val="26431704"/>
    <w:rsid w:val="264D0AF2"/>
    <w:rsid w:val="264D28A0"/>
    <w:rsid w:val="267678D7"/>
    <w:rsid w:val="26CD4569"/>
    <w:rsid w:val="279B3ADF"/>
    <w:rsid w:val="27BF157B"/>
    <w:rsid w:val="27D01D3D"/>
    <w:rsid w:val="28110468"/>
    <w:rsid w:val="282B0E7A"/>
    <w:rsid w:val="284B72B3"/>
    <w:rsid w:val="284D302B"/>
    <w:rsid w:val="28D64DCE"/>
    <w:rsid w:val="293A4A87"/>
    <w:rsid w:val="29461546"/>
    <w:rsid w:val="295061F9"/>
    <w:rsid w:val="29A50C45"/>
    <w:rsid w:val="2A7D2983"/>
    <w:rsid w:val="2B1C36F6"/>
    <w:rsid w:val="2B5302F9"/>
    <w:rsid w:val="2B626DED"/>
    <w:rsid w:val="2BFF288E"/>
    <w:rsid w:val="2CA70AD9"/>
    <w:rsid w:val="2D0F4D53"/>
    <w:rsid w:val="2D542766"/>
    <w:rsid w:val="2D8D5C78"/>
    <w:rsid w:val="2D962D7E"/>
    <w:rsid w:val="2E1D524D"/>
    <w:rsid w:val="2E44559E"/>
    <w:rsid w:val="2E534ACF"/>
    <w:rsid w:val="2F882B9B"/>
    <w:rsid w:val="303348B4"/>
    <w:rsid w:val="30731155"/>
    <w:rsid w:val="30935850"/>
    <w:rsid w:val="30DE46AE"/>
    <w:rsid w:val="311834AF"/>
    <w:rsid w:val="318469E5"/>
    <w:rsid w:val="3194337D"/>
    <w:rsid w:val="32046D5C"/>
    <w:rsid w:val="338729B4"/>
    <w:rsid w:val="3460122F"/>
    <w:rsid w:val="347E631A"/>
    <w:rsid w:val="348B5182"/>
    <w:rsid w:val="34C04E88"/>
    <w:rsid w:val="35215623"/>
    <w:rsid w:val="35337105"/>
    <w:rsid w:val="35586B6B"/>
    <w:rsid w:val="35B50461"/>
    <w:rsid w:val="35B91D00"/>
    <w:rsid w:val="36160F00"/>
    <w:rsid w:val="36222D63"/>
    <w:rsid w:val="36581519"/>
    <w:rsid w:val="36767BF1"/>
    <w:rsid w:val="3684230E"/>
    <w:rsid w:val="36F748BD"/>
    <w:rsid w:val="37296A11"/>
    <w:rsid w:val="372A1E73"/>
    <w:rsid w:val="3737378F"/>
    <w:rsid w:val="37AD13F0"/>
    <w:rsid w:val="37AD7642"/>
    <w:rsid w:val="37DC7F27"/>
    <w:rsid w:val="3806606D"/>
    <w:rsid w:val="388859B9"/>
    <w:rsid w:val="396E4BAF"/>
    <w:rsid w:val="396F26D5"/>
    <w:rsid w:val="397701BE"/>
    <w:rsid w:val="39AE76A2"/>
    <w:rsid w:val="3A5C534F"/>
    <w:rsid w:val="3B075461"/>
    <w:rsid w:val="3B0774FE"/>
    <w:rsid w:val="3B546CEC"/>
    <w:rsid w:val="3BAE1BDB"/>
    <w:rsid w:val="3C536A3E"/>
    <w:rsid w:val="3C742582"/>
    <w:rsid w:val="3C865DF7"/>
    <w:rsid w:val="3C920BB5"/>
    <w:rsid w:val="3CED228F"/>
    <w:rsid w:val="3D7719D5"/>
    <w:rsid w:val="3D9F0CFD"/>
    <w:rsid w:val="3E2C55C2"/>
    <w:rsid w:val="3E3C34CE"/>
    <w:rsid w:val="3E42660A"/>
    <w:rsid w:val="3EF773F5"/>
    <w:rsid w:val="3F43263A"/>
    <w:rsid w:val="3F8769CB"/>
    <w:rsid w:val="40055B41"/>
    <w:rsid w:val="40514BEA"/>
    <w:rsid w:val="40AE0DB3"/>
    <w:rsid w:val="41366ED0"/>
    <w:rsid w:val="41491977"/>
    <w:rsid w:val="4174214E"/>
    <w:rsid w:val="419A0B8C"/>
    <w:rsid w:val="41EE5E2D"/>
    <w:rsid w:val="42784CF1"/>
    <w:rsid w:val="430D71E7"/>
    <w:rsid w:val="43217136"/>
    <w:rsid w:val="43765214"/>
    <w:rsid w:val="440F6F8F"/>
    <w:rsid w:val="443859E1"/>
    <w:rsid w:val="445175A7"/>
    <w:rsid w:val="45C81AEB"/>
    <w:rsid w:val="462C5579"/>
    <w:rsid w:val="46E97F6B"/>
    <w:rsid w:val="470703F1"/>
    <w:rsid w:val="47264D1B"/>
    <w:rsid w:val="475278BE"/>
    <w:rsid w:val="47C512CB"/>
    <w:rsid w:val="480E5EDB"/>
    <w:rsid w:val="4828061F"/>
    <w:rsid w:val="482D3E87"/>
    <w:rsid w:val="48763A80"/>
    <w:rsid w:val="4876582E"/>
    <w:rsid w:val="48B210C6"/>
    <w:rsid w:val="48D85C25"/>
    <w:rsid w:val="49860475"/>
    <w:rsid w:val="49A62143"/>
    <w:rsid w:val="49BC1967"/>
    <w:rsid w:val="4AF8077D"/>
    <w:rsid w:val="4B201A81"/>
    <w:rsid w:val="4B753505"/>
    <w:rsid w:val="4C1C5576"/>
    <w:rsid w:val="4C675BBA"/>
    <w:rsid w:val="4CBE11B0"/>
    <w:rsid w:val="4D442BFB"/>
    <w:rsid w:val="4D781BD4"/>
    <w:rsid w:val="4DA009DA"/>
    <w:rsid w:val="4DA97E72"/>
    <w:rsid w:val="4DB9683E"/>
    <w:rsid w:val="4EA30A98"/>
    <w:rsid w:val="4F455F5A"/>
    <w:rsid w:val="4FF44D7B"/>
    <w:rsid w:val="50502E0F"/>
    <w:rsid w:val="505226DD"/>
    <w:rsid w:val="50D650BC"/>
    <w:rsid w:val="513D338D"/>
    <w:rsid w:val="51501DDC"/>
    <w:rsid w:val="51794369"/>
    <w:rsid w:val="51B2246F"/>
    <w:rsid w:val="51E7154B"/>
    <w:rsid w:val="5244074B"/>
    <w:rsid w:val="532C190B"/>
    <w:rsid w:val="53435FC3"/>
    <w:rsid w:val="536015B5"/>
    <w:rsid w:val="53764710"/>
    <w:rsid w:val="539906F6"/>
    <w:rsid w:val="53D766C1"/>
    <w:rsid w:val="540255D9"/>
    <w:rsid w:val="548D63DA"/>
    <w:rsid w:val="554A42CB"/>
    <w:rsid w:val="558B7073"/>
    <w:rsid w:val="55D43B94"/>
    <w:rsid w:val="57B95737"/>
    <w:rsid w:val="58382E23"/>
    <w:rsid w:val="586631C9"/>
    <w:rsid w:val="586F6884"/>
    <w:rsid w:val="5875340D"/>
    <w:rsid w:val="58781CC6"/>
    <w:rsid w:val="589150FF"/>
    <w:rsid w:val="58A65CBC"/>
    <w:rsid w:val="59457283"/>
    <w:rsid w:val="59D2668C"/>
    <w:rsid w:val="59F023FC"/>
    <w:rsid w:val="5A2701FB"/>
    <w:rsid w:val="5A5B4884"/>
    <w:rsid w:val="5A643739"/>
    <w:rsid w:val="5AF869C4"/>
    <w:rsid w:val="5BAF4E87"/>
    <w:rsid w:val="5C1F025F"/>
    <w:rsid w:val="5D1A4465"/>
    <w:rsid w:val="5DA84E4F"/>
    <w:rsid w:val="5DF748C4"/>
    <w:rsid w:val="5E40626B"/>
    <w:rsid w:val="5E8C5954"/>
    <w:rsid w:val="5F546472"/>
    <w:rsid w:val="5F96537D"/>
    <w:rsid w:val="5FF160F1"/>
    <w:rsid w:val="5FFD63C3"/>
    <w:rsid w:val="60187E0A"/>
    <w:rsid w:val="60655BC8"/>
    <w:rsid w:val="60732927"/>
    <w:rsid w:val="60872B90"/>
    <w:rsid w:val="609B59DA"/>
    <w:rsid w:val="61B01959"/>
    <w:rsid w:val="620D0B5A"/>
    <w:rsid w:val="621041A6"/>
    <w:rsid w:val="628C7CD0"/>
    <w:rsid w:val="62B64D4D"/>
    <w:rsid w:val="63367C3C"/>
    <w:rsid w:val="641E2BAA"/>
    <w:rsid w:val="64472F94"/>
    <w:rsid w:val="645B5E9A"/>
    <w:rsid w:val="647267C2"/>
    <w:rsid w:val="64AF7CA6"/>
    <w:rsid w:val="64E41E18"/>
    <w:rsid w:val="64EC4A56"/>
    <w:rsid w:val="65706B30"/>
    <w:rsid w:val="67A535E2"/>
    <w:rsid w:val="67EF0C5A"/>
    <w:rsid w:val="68E54CA7"/>
    <w:rsid w:val="69531548"/>
    <w:rsid w:val="69C86AD4"/>
    <w:rsid w:val="69DA4731"/>
    <w:rsid w:val="6A513DD5"/>
    <w:rsid w:val="6B4252B1"/>
    <w:rsid w:val="6B572E46"/>
    <w:rsid w:val="6B96396E"/>
    <w:rsid w:val="6BF540D9"/>
    <w:rsid w:val="6BF80185"/>
    <w:rsid w:val="6C2C6080"/>
    <w:rsid w:val="6C3B7931"/>
    <w:rsid w:val="6C496C32"/>
    <w:rsid w:val="6C4B4758"/>
    <w:rsid w:val="6C506213"/>
    <w:rsid w:val="6C652DB8"/>
    <w:rsid w:val="6CAB3449"/>
    <w:rsid w:val="6DD0797D"/>
    <w:rsid w:val="6DDB1B0C"/>
    <w:rsid w:val="6E1A0EFE"/>
    <w:rsid w:val="6E5F2DE6"/>
    <w:rsid w:val="6F5778B8"/>
    <w:rsid w:val="70473489"/>
    <w:rsid w:val="70761FC0"/>
    <w:rsid w:val="707A0DD5"/>
    <w:rsid w:val="70D77694"/>
    <w:rsid w:val="71257C6E"/>
    <w:rsid w:val="715E0A8A"/>
    <w:rsid w:val="71600CA6"/>
    <w:rsid w:val="71754026"/>
    <w:rsid w:val="71962B7E"/>
    <w:rsid w:val="724B4ECE"/>
    <w:rsid w:val="7278201F"/>
    <w:rsid w:val="72F766A8"/>
    <w:rsid w:val="73AA445A"/>
    <w:rsid w:val="74314E96"/>
    <w:rsid w:val="744E1B8D"/>
    <w:rsid w:val="74AA048A"/>
    <w:rsid w:val="74AC5FB0"/>
    <w:rsid w:val="74B5471E"/>
    <w:rsid w:val="74B72E4D"/>
    <w:rsid w:val="74C74B98"/>
    <w:rsid w:val="74F139B2"/>
    <w:rsid w:val="74FB2A94"/>
    <w:rsid w:val="75422A7C"/>
    <w:rsid w:val="76B4114C"/>
    <w:rsid w:val="76E732D0"/>
    <w:rsid w:val="77B21B30"/>
    <w:rsid w:val="77D9530E"/>
    <w:rsid w:val="77E41C8F"/>
    <w:rsid w:val="77FF632E"/>
    <w:rsid w:val="78210A63"/>
    <w:rsid w:val="78992CEF"/>
    <w:rsid w:val="78B83176"/>
    <w:rsid w:val="78FB7506"/>
    <w:rsid w:val="79144124"/>
    <w:rsid w:val="791D7113"/>
    <w:rsid w:val="797846B3"/>
    <w:rsid w:val="79D73ACF"/>
    <w:rsid w:val="79E81839"/>
    <w:rsid w:val="79E87A8A"/>
    <w:rsid w:val="7A2A00A3"/>
    <w:rsid w:val="7A2A1655"/>
    <w:rsid w:val="7A7A0605"/>
    <w:rsid w:val="7A844288"/>
    <w:rsid w:val="7ABD7EC9"/>
    <w:rsid w:val="7B036868"/>
    <w:rsid w:val="7B446F42"/>
    <w:rsid w:val="7BAC2D3A"/>
    <w:rsid w:val="7BDC53CD"/>
    <w:rsid w:val="7C1726A4"/>
    <w:rsid w:val="7C1E5B11"/>
    <w:rsid w:val="7C4116D4"/>
    <w:rsid w:val="7CA915F3"/>
    <w:rsid w:val="7CBA5FD5"/>
    <w:rsid w:val="7CC8489E"/>
    <w:rsid w:val="7CF27D4C"/>
    <w:rsid w:val="7D6F2271"/>
    <w:rsid w:val="7D787377"/>
    <w:rsid w:val="7D8D1A62"/>
    <w:rsid w:val="7DCE5B9D"/>
    <w:rsid w:val="7DE467BB"/>
    <w:rsid w:val="7E355268"/>
    <w:rsid w:val="7E411335"/>
    <w:rsid w:val="7E5F22E5"/>
    <w:rsid w:val="7EA1645A"/>
    <w:rsid w:val="7EEB2310"/>
    <w:rsid w:val="7F030EC3"/>
    <w:rsid w:val="7FB307DA"/>
    <w:rsid w:val="7FDA60C7"/>
    <w:rsid w:val="7FE16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qFormat/>
    <w:uiPriority w:val="99"/>
    <w:pPr>
      <w:jc w:val="left"/>
    </w:pPr>
  </w:style>
  <w:style w:type="paragraph" w:styleId="3">
    <w:name w:val="Body Text"/>
    <w:basedOn w:val="1"/>
    <w:unhideWhenUsed/>
    <w:qFormat/>
    <w:uiPriority w:val="99"/>
    <w:pPr>
      <w:spacing w:after="120"/>
    </w:pPr>
  </w:style>
  <w:style w:type="paragraph" w:styleId="4">
    <w:name w:val="Body Text Indent"/>
    <w:basedOn w:val="1"/>
    <w:next w:val="5"/>
    <w:qFormat/>
    <w:uiPriority w:val="0"/>
    <w:pPr>
      <w:spacing w:line="480" w:lineRule="exact"/>
      <w:ind w:firstLine="480" w:firstLineChars="200"/>
    </w:pPr>
    <w:rPr>
      <w:rFonts w:ascii="宋体" w:hAnsi="宋体"/>
      <w:sz w:val="24"/>
    </w:rPr>
  </w:style>
  <w:style w:type="paragraph" w:styleId="5">
    <w:name w:val="List Bullet 2"/>
    <w:basedOn w:val="1"/>
    <w:next w:val="6"/>
    <w:semiHidden/>
    <w:unhideWhenUsed/>
    <w:qFormat/>
    <w:uiPriority w:val="99"/>
    <w:pPr>
      <w:numPr>
        <w:ilvl w:val="0"/>
        <w:numId w:val="1"/>
      </w:numPr>
    </w:pPr>
  </w:style>
  <w:style w:type="paragraph" w:customStyle="1" w:styleId="6">
    <w:name w:val="正文1"/>
    <w:basedOn w:val="7"/>
    <w:next w:val="4"/>
    <w:qFormat/>
    <w:uiPriority w:val="0"/>
    <w:pPr>
      <w:ind w:left="0" w:leftChars="0" w:firstLine="480" w:firstLineChars="200"/>
    </w:pPr>
    <w:rPr>
      <w:rFonts w:ascii="仿宋_GB2312" w:hAnsi="Courier New" w:eastAsia="仿宋_GB2312"/>
      <w:kern w:val="28"/>
      <w:sz w:val="24"/>
    </w:rPr>
  </w:style>
  <w:style w:type="paragraph" w:styleId="7">
    <w:name w:val="toc 3"/>
    <w:basedOn w:val="1"/>
    <w:next w:val="1"/>
    <w:qFormat/>
    <w:uiPriority w:val="0"/>
    <w:pPr>
      <w:spacing w:line="460" w:lineRule="exact"/>
      <w:ind w:left="840" w:leftChars="400" w:firstLine="482"/>
    </w:pPr>
    <w:rPr>
      <w:rFonts w:ascii="宋体" w:hAnsi="宋体"/>
    </w:rPr>
  </w:style>
  <w:style w:type="paragraph" w:styleId="8">
    <w:name w:val="Plain Text"/>
    <w:basedOn w:val="1"/>
    <w:link w:val="22"/>
    <w:qFormat/>
    <w:uiPriority w:val="99"/>
    <w:rPr>
      <w:rFonts w:ascii="宋体" w:hAnsi="Courier New"/>
    </w:rPr>
  </w:style>
  <w:style w:type="paragraph" w:styleId="9">
    <w:name w:val="footer"/>
    <w:basedOn w:val="1"/>
    <w:link w:val="26"/>
    <w:unhideWhenUsed/>
    <w:qFormat/>
    <w:uiPriority w:val="99"/>
    <w:pPr>
      <w:tabs>
        <w:tab w:val="center" w:pos="4153"/>
        <w:tab w:val="right" w:pos="8306"/>
      </w:tabs>
      <w:snapToGrid w:val="0"/>
      <w:jc w:val="lef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annotation subject"/>
    <w:basedOn w:val="2"/>
    <w:next w:val="2"/>
    <w:link w:val="21"/>
    <w:semiHidden/>
    <w:unhideWhenUsed/>
    <w:qFormat/>
    <w:uiPriority w:val="99"/>
    <w:rPr>
      <w:b/>
      <w:bCs/>
    </w:rPr>
  </w:style>
  <w:style w:type="paragraph" w:styleId="13">
    <w:name w:val="Body Text First Indent"/>
    <w:basedOn w:val="3"/>
    <w:qFormat/>
    <w:uiPriority w:val="0"/>
    <w:pPr>
      <w:ind w:firstLine="420" w:firstLineChars="100"/>
    </w:pPr>
  </w:style>
  <w:style w:type="table" w:styleId="15">
    <w:name w:val="Table Grid"/>
    <w:basedOn w:val="14"/>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annotation reference"/>
    <w:semiHidden/>
    <w:qFormat/>
    <w:uiPriority w:val="99"/>
    <w:rPr>
      <w:sz w:val="21"/>
      <w:szCs w:val="21"/>
    </w:rPr>
  </w:style>
  <w:style w:type="paragraph" w:customStyle="1" w:styleId="18">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9">
    <w:name w:val="批注文字 字符"/>
    <w:basedOn w:val="16"/>
    <w:qFormat/>
    <w:uiPriority w:val="99"/>
    <w:rPr>
      <w:rFonts w:ascii="Times New Roman" w:hAnsi="Times New Roman" w:eastAsia="宋体" w:cs="Times New Roman"/>
      <w:szCs w:val="21"/>
    </w:rPr>
  </w:style>
  <w:style w:type="character" w:customStyle="1" w:styleId="20">
    <w:name w:val="批注文字 字符1"/>
    <w:link w:val="2"/>
    <w:semiHidden/>
    <w:qFormat/>
    <w:uiPriority w:val="99"/>
    <w:rPr>
      <w:rFonts w:ascii="Times New Roman" w:hAnsi="Times New Roman" w:eastAsia="宋体" w:cs="Times New Roman"/>
      <w:szCs w:val="21"/>
    </w:rPr>
  </w:style>
  <w:style w:type="character" w:customStyle="1" w:styleId="21">
    <w:name w:val="批注主题 字符"/>
    <w:basedOn w:val="20"/>
    <w:link w:val="12"/>
    <w:semiHidden/>
    <w:qFormat/>
    <w:uiPriority w:val="99"/>
    <w:rPr>
      <w:rFonts w:ascii="Times New Roman" w:hAnsi="Times New Roman" w:eastAsia="宋体" w:cs="Times New Roman"/>
      <w:b/>
      <w:bCs/>
      <w:szCs w:val="21"/>
    </w:rPr>
  </w:style>
  <w:style w:type="character" w:customStyle="1" w:styleId="22">
    <w:name w:val="纯文本 字符"/>
    <w:basedOn w:val="16"/>
    <w:link w:val="8"/>
    <w:qFormat/>
    <w:uiPriority w:val="99"/>
    <w:rPr>
      <w:rFonts w:ascii="宋体" w:hAnsi="Courier New" w:eastAsia="宋体" w:cs="Times New Roman"/>
      <w:szCs w:val="21"/>
    </w:rPr>
  </w:style>
  <w:style w:type="paragraph" w:customStyle="1" w:styleId="23">
    <w:name w:val="表格文字"/>
    <w:basedOn w:val="1"/>
    <w:qFormat/>
    <w:uiPriority w:val="0"/>
    <w:pPr>
      <w:spacing w:before="25" w:after="25"/>
      <w:jc w:val="left"/>
    </w:pPr>
    <w:rPr>
      <w:rFonts w:ascii="Calibri" w:hAnsi="Calibri"/>
      <w:bCs/>
      <w:spacing w:val="10"/>
      <w:kern w:val="0"/>
      <w:sz w:val="24"/>
      <w:szCs w:val="20"/>
    </w:rPr>
  </w:style>
  <w:style w:type="character" w:customStyle="1" w:styleId="24">
    <w:name w:val="fontstyle01"/>
    <w:qFormat/>
    <w:uiPriority w:val="0"/>
    <w:rPr>
      <w:rFonts w:hint="eastAsia" w:ascii="宋体" w:hAnsi="宋体" w:eastAsia="宋体"/>
      <w:color w:val="000000"/>
      <w:sz w:val="24"/>
      <w:szCs w:val="24"/>
    </w:rPr>
  </w:style>
  <w:style w:type="character" w:customStyle="1" w:styleId="25">
    <w:name w:val="页眉 字符"/>
    <w:basedOn w:val="16"/>
    <w:link w:val="10"/>
    <w:qFormat/>
    <w:uiPriority w:val="99"/>
    <w:rPr>
      <w:rFonts w:ascii="Times New Roman" w:hAnsi="Times New Roman" w:eastAsia="宋体" w:cs="Times New Roman"/>
      <w:sz w:val="18"/>
      <w:szCs w:val="18"/>
    </w:rPr>
  </w:style>
  <w:style w:type="character" w:customStyle="1" w:styleId="26">
    <w:name w:val="页脚 字符"/>
    <w:basedOn w:val="16"/>
    <w:link w:val="9"/>
    <w:qFormat/>
    <w:uiPriority w:val="99"/>
    <w:rPr>
      <w:rFonts w:ascii="Times New Roman" w:hAnsi="Times New Roman" w:eastAsia="宋体" w:cs="Times New Roman"/>
      <w:sz w:val="18"/>
      <w:szCs w:val="18"/>
    </w:rPr>
  </w:style>
  <w:style w:type="character" w:styleId="27">
    <w:name w:val="Placeholder Text"/>
    <w:basedOn w:val="16"/>
    <w:semiHidden/>
    <w:qFormat/>
    <w:uiPriority w:val="99"/>
    <w:rPr>
      <w:color w:val="808080"/>
    </w:rPr>
  </w:style>
  <w:style w:type="paragraph" w:customStyle="1" w:styleId="28">
    <w:name w:val="样式1"/>
    <w:basedOn w:val="1"/>
    <w:qFormat/>
    <w:uiPriority w:val="0"/>
  </w:style>
  <w:style w:type="character" w:customStyle="1" w:styleId="29">
    <w:name w:val="font21"/>
    <w:basedOn w:val="16"/>
    <w:qFormat/>
    <w:uiPriority w:val="0"/>
    <w:rPr>
      <w:rFonts w:hint="default" w:ascii="Calibri" w:hAnsi="Calibri" w:cs="Calibri"/>
      <w:color w:val="000000"/>
      <w:sz w:val="24"/>
      <w:szCs w:val="24"/>
      <w:u w:val="none"/>
    </w:rPr>
  </w:style>
  <w:style w:type="character" w:customStyle="1" w:styleId="30">
    <w:name w:val="font41"/>
    <w:basedOn w:val="16"/>
    <w:qFormat/>
    <w:uiPriority w:val="0"/>
    <w:rPr>
      <w:rFonts w:ascii="宋体-简" w:hAnsi="宋体-简" w:eastAsia="宋体-简" w:cs="宋体-简"/>
      <w:color w:val="000000"/>
      <w:sz w:val="24"/>
      <w:szCs w:val="24"/>
      <w:u w:val="none"/>
    </w:rPr>
  </w:style>
  <w:style w:type="character" w:customStyle="1" w:styleId="31">
    <w:name w:val="font51"/>
    <w:basedOn w:val="16"/>
    <w:qFormat/>
    <w:uiPriority w:val="0"/>
    <w:rPr>
      <w:rFonts w:hint="default" w:ascii="宋体-简" w:hAnsi="宋体-简" w:eastAsia="宋体-简" w:cs="宋体-简"/>
      <w:color w:val="000000"/>
      <w:sz w:val="24"/>
      <w:szCs w:val="24"/>
      <w:u w:val="none"/>
    </w:rPr>
  </w:style>
  <w:style w:type="character" w:customStyle="1" w:styleId="32">
    <w:name w:val="font11"/>
    <w:basedOn w:val="16"/>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9096a1c-88ca-43d7-960c-214e8f4d5596}"/>
        <w:style w:val=""/>
        <w:category>
          <w:name w:val="常规"/>
          <w:gallery w:val="placeholder"/>
        </w:category>
        <w:types>
          <w:type w:val="bbPlcHdr"/>
        </w:types>
        <w:behaviors>
          <w:behavior w:val="content"/>
        </w:behaviors>
        <w:description w:val=""/>
        <w:guid w:val="{89096a1c-88ca-43d7-960c-214e8f4d5596}"/>
      </w:docPartPr>
      <w:docPartBody>
        <w:p w14:paraId="31D9254B">
          <w:r>
            <w:rPr>
              <w:rStyle w:val="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3476</Words>
  <Characters>3657</Characters>
  <Lines>26</Lines>
  <Paragraphs>7</Paragraphs>
  <TotalTime>1</TotalTime>
  <ScaleCrop>false</ScaleCrop>
  <LinksUpToDate>false</LinksUpToDate>
  <CharactersWithSpaces>3700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2026-10-29T00:34:33Z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B1C8ADB6A08C49D88EF48001F8D355A1_13</vt:lpwstr>
  </property>
  <property fmtid="{D5CDD505-2E9C-101B-9397-08002B2CF9AE}" pid="4" name="KSOTemplateDocerSaveRecord">
    <vt:lpwstr>eyJoZGlkIjoiOTZkZDVmNzBiZGNiZTJiMTNjOTFhZTJiYjI4ZWQ4OTAiLCJ1c2VySWQiOiI0MzU5NDIxNTAifQ==</vt:lpwstr>
  </property>
</Properties>
</file>